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 xml:space="preserve">信阳市城市管理局行政许可权责清单、岗责体系 </w:t>
      </w:r>
    </w:p>
    <w:p>
      <w:pPr>
        <w:jc w:val="center"/>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lang w:val="en-US" w:eastAsia="zh-CN"/>
        </w:rPr>
        <w:t>行政许可类（共10项）</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920"/>
        <w:gridCol w:w="669"/>
        <w:gridCol w:w="1000"/>
        <w:gridCol w:w="3491"/>
        <w:gridCol w:w="4239"/>
        <w:gridCol w:w="740"/>
        <w:gridCol w:w="1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66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职权名称</w:t>
            </w:r>
          </w:p>
        </w:tc>
        <w:tc>
          <w:tcPr>
            <w:tcW w:w="100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91" w:type="dxa"/>
            <w:vAlign w:val="center"/>
          </w:tcPr>
          <w:p>
            <w:pPr>
              <w:jc w:val="center"/>
              <w:rPr>
                <w:rFonts w:hint="eastAsia" w:ascii="黑体" w:hAnsi="黑体" w:eastAsia="黑体" w:cs="黑体"/>
              </w:rPr>
            </w:pPr>
            <w:r>
              <w:rPr>
                <w:rFonts w:hint="eastAsia" w:ascii="黑体" w:hAnsi="黑体" w:eastAsia="黑体" w:cs="黑体"/>
                <w:lang w:val="en-US" w:eastAsia="zh-CN"/>
              </w:rPr>
              <w:t>实施依据</w:t>
            </w:r>
          </w:p>
        </w:tc>
        <w:tc>
          <w:tcPr>
            <w:tcW w:w="423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74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w:t>
            </w:r>
          </w:p>
          <w:p>
            <w:pPr>
              <w:jc w:val="center"/>
              <w:rPr>
                <w:rFonts w:hint="eastAsia" w:ascii="黑体" w:hAnsi="黑体" w:eastAsia="黑体" w:cs="黑体"/>
                <w:lang w:val="en-US" w:eastAsia="zh-CN"/>
              </w:rPr>
            </w:pPr>
            <w:r>
              <w:rPr>
                <w:rFonts w:hint="eastAsia" w:ascii="黑体" w:hAnsi="黑体" w:eastAsia="黑体" w:cs="黑体"/>
                <w:lang w:val="en-US" w:eastAsia="zh-CN"/>
              </w:rPr>
              <w:t>期限</w:t>
            </w:r>
          </w:p>
        </w:tc>
        <w:tc>
          <w:tcPr>
            <w:tcW w:w="18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669" w:type="dxa"/>
            <w:vAlign w:val="center"/>
          </w:tcPr>
          <w:p>
            <w:pPr>
              <w:jc w:val="center"/>
              <w:rPr>
                <w:rFonts w:hint="eastAsia" w:ascii="仿宋" w:hAnsi="仿宋" w:eastAsia="仿宋" w:cs="仿宋"/>
              </w:rPr>
            </w:pPr>
            <w:r>
              <w:rPr>
                <w:rFonts w:hint="eastAsia" w:ascii="仿宋" w:hAnsi="仿宋" w:eastAsia="仿宋" w:cs="仿宋"/>
              </w:rPr>
              <w:t>市政设施建设类审批</w:t>
            </w:r>
          </w:p>
        </w:tc>
        <w:tc>
          <w:tcPr>
            <w:tcW w:w="100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91" w:type="dxa"/>
            <w:vAlign w:val="center"/>
          </w:tcPr>
          <w:p>
            <w:pPr>
              <w:rPr>
                <w:rFonts w:hint="eastAsia" w:ascii="仿宋" w:hAnsi="仿宋" w:eastAsia="仿宋" w:cs="仿宋"/>
              </w:rPr>
            </w:pPr>
            <w:r>
              <w:rPr>
                <w:rFonts w:hint="eastAsia" w:ascii="仿宋" w:hAnsi="仿宋" w:eastAsia="仿宋" w:cs="仿宋"/>
                <w:lang w:val="en-US" w:eastAsia="zh-CN"/>
              </w:rPr>
              <w:t>《城市道路管理条例》（1996年6月4日国务院令第198号，2011年1月1日予以修改）第三十条：未经市政工程行政主管部门和公安交通管理部门批准，任何单位和个人不得占用或挖掘城市道路。第三十三条：因工程建设需要挖掘城市道路的，应当持城市规划部门批准签发的文件和有关设计文件，到市政工程行政主管部门和公安交通管理部门办理审批手续，方可按照规定挖掘。新建、扩建、改建的城市道路交付使用后5年内、大修的城市道路竣工后3年内不得挖掘；因特殊情况需要挖掘的，须经县级以上城市人民政府批准。</w:t>
            </w:r>
          </w:p>
        </w:tc>
        <w:tc>
          <w:tcPr>
            <w:tcW w:w="4239"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tc>
        <w:tc>
          <w:tcPr>
            <w:tcW w:w="740"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810"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552" w:type="dxa"/>
            <w:gridSpan w:val="8"/>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66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职权名称</w:t>
            </w:r>
          </w:p>
        </w:tc>
        <w:tc>
          <w:tcPr>
            <w:tcW w:w="100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91"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423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74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18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2</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669" w:type="dxa"/>
            <w:vAlign w:val="center"/>
          </w:tcPr>
          <w:p>
            <w:pPr>
              <w:jc w:val="center"/>
              <w:rPr>
                <w:rFonts w:hint="eastAsia" w:ascii="仿宋" w:hAnsi="仿宋" w:eastAsia="仿宋" w:cs="仿宋"/>
              </w:rPr>
            </w:pPr>
            <w:r>
              <w:rPr>
                <w:rFonts w:hint="eastAsia" w:ascii="仿宋" w:hAnsi="仿宋" w:eastAsia="仿宋" w:cs="仿宋"/>
              </w:rPr>
              <w:t>设置大型户外广告及在城市建筑物、设施上悬挂、张贴宣传品审批</w:t>
            </w:r>
          </w:p>
        </w:tc>
        <w:tc>
          <w:tcPr>
            <w:tcW w:w="100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91"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市市容和环境卫生管理条例》（1992年6月28日国务院令第101号，2011年1月1日予以修改）第十一条：……大型户外广告的设置必须征得城市人民政府市容环境卫生行政主管部门同意后，按照有关规定办理审批手续。第十七条：……单位和个人在城市建筑物、设施上张挂、张贴宣传品等，须经城市人民政府市容环境卫生行政主管部门或者其他有关部门批准。</w:t>
            </w:r>
          </w:p>
          <w:p>
            <w:pPr>
              <w:rPr>
                <w:rFonts w:hint="eastAsia" w:ascii="仿宋" w:hAnsi="仿宋" w:eastAsia="仿宋" w:cs="仿宋"/>
              </w:rPr>
            </w:pPr>
          </w:p>
        </w:tc>
        <w:tc>
          <w:tcPr>
            <w:tcW w:w="4239" w:type="dxa"/>
            <w:vAlign w:val="center"/>
          </w:tcPr>
          <w:p>
            <w:pPr>
              <w:jc w:val="left"/>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jc w:val="left"/>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jc w:val="left"/>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jc w:val="left"/>
              <w:rPr>
                <w:rFonts w:hint="eastAsia" w:ascii="仿宋" w:hAnsi="仿宋" w:eastAsia="仿宋" w:cs="仿宋"/>
              </w:rPr>
            </w:pPr>
          </w:p>
        </w:tc>
        <w:tc>
          <w:tcPr>
            <w:tcW w:w="740" w:type="dxa"/>
            <w:vAlign w:val="center"/>
          </w:tcPr>
          <w:p>
            <w:pPr>
              <w:jc w:val="left"/>
              <w:rPr>
                <w:rFonts w:hint="eastAsia" w:ascii="仿宋" w:hAnsi="仿宋" w:eastAsia="仿宋" w:cs="仿宋"/>
                <w:lang w:val="en-US" w:eastAsia="zh-CN"/>
              </w:rPr>
            </w:pPr>
            <w:r>
              <w:rPr>
                <w:rFonts w:hint="eastAsia" w:ascii="仿宋" w:hAnsi="仿宋" w:eastAsia="仿宋" w:cs="仿宋"/>
                <w:lang w:val="en-US" w:eastAsia="zh-CN"/>
              </w:rPr>
              <w:t>1个工作日</w:t>
            </w:r>
          </w:p>
          <w:p>
            <w:pPr>
              <w:jc w:val="left"/>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810" w:type="dxa"/>
            <w:vAlign w:val="center"/>
          </w:tcPr>
          <w:p>
            <w:pPr>
              <w:jc w:val="left"/>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552" w:type="dxa"/>
            <w:gridSpan w:val="8"/>
            <w:tcBorders>
              <w:bottom w:val="single" w:color="auto" w:sz="4" w:space="0"/>
            </w:tcBorders>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p/>
    <w:p/>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920"/>
        <w:gridCol w:w="880"/>
        <w:gridCol w:w="910"/>
        <w:gridCol w:w="3370"/>
        <w:gridCol w:w="3480"/>
        <w:gridCol w:w="900"/>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88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37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48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90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w:t>
            </w:r>
          </w:p>
          <w:p>
            <w:pPr>
              <w:jc w:val="center"/>
              <w:rPr>
                <w:rFonts w:hint="eastAsia" w:ascii="黑体" w:hAnsi="黑体" w:eastAsia="黑体" w:cs="黑体"/>
                <w:lang w:val="en-US" w:eastAsia="zh-CN"/>
              </w:rPr>
            </w:pPr>
            <w:r>
              <w:rPr>
                <w:rFonts w:hint="eastAsia" w:ascii="黑体" w:hAnsi="黑体" w:eastAsia="黑体" w:cs="黑体"/>
                <w:lang w:val="en-US" w:eastAsia="zh-CN"/>
              </w:rPr>
              <w:t>期限</w:t>
            </w:r>
          </w:p>
        </w:tc>
        <w:tc>
          <w:tcPr>
            <w:tcW w:w="192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3</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88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因工程建设需要拆除、改动、迁移供水、排水与污水处理设施审核</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370"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镇排水与污水管理条例》（2013年10月2日国务院令第641号）第四十三条：……因工程建设需要拆除、改动城镇排水与污水处理设施的，建设单位应当制定拆除、改动方案，报城镇排水主管部门审核，并承担重建、改建和采取临时措施的费用。</w:t>
            </w:r>
          </w:p>
          <w:p>
            <w:pPr>
              <w:rPr>
                <w:rFonts w:hint="eastAsia" w:ascii="仿宋" w:hAnsi="仿宋" w:eastAsia="仿宋" w:cs="仿宋"/>
                <w:lang w:val="en-US" w:eastAsia="zh-CN"/>
              </w:rPr>
            </w:pPr>
            <w:r>
              <w:rPr>
                <w:rFonts w:hint="eastAsia" w:ascii="仿宋" w:hAnsi="仿宋" w:eastAsia="仿宋" w:cs="仿宋"/>
                <w:lang w:val="en-US" w:eastAsia="zh-CN"/>
              </w:rPr>
              <w:t>《城市供水条例》（1994年7月19日国务院令第158号）第三十条：因工程建设确需改装、拆除或者迁移城市公共供水设施的，建设单位应当报经县级以上人民政府城市规划行政主管部门和城市供水行政主管部门批准，并采取相应的补救措施。</w:t>
            </w:r>
          </w:p>
          <w:p>
            <w:pPr>
              <w:rPr>
                <w:rFonts w:hint="eastAsia" w:ascii="仿宋" w:hAnsi="仿宋" w:eastAsia="仿宋" w:cs="仿宋"/>
                <w:lang w:val="en-US" w:eastAsia="zh-CN"/>
              </w:rPr>
            </w:pPr>
          </w:p>
        </w:tc>
        <w:tc>
          <w:tcPr>
            <w:tcW w:w="3480"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lang w:val="en-US" w:eastAsia="zh-CN"/>
              </w:rPr>
            </w:pPr>
          </w:p>
        </w:tc>
        <w:tc>
          <w:tcPr>
            <w:tcW w:w="900"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067" w:type="dxa"/>
            <w:gridSpan w:val="8"/>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920"/>
        <w:gridCol w:w="1056"/>
        <w:gridCol w:w="910"/>
        <w:gridCol w:w="3454"/>
        <w:gridCol w:w="3809"/>
        <w:gridCol w:w="750"/>
        <w:gridCol w:w="2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1056"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5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80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75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20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4</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行政许可</w:t>
            </w:r>
          </w:p>
        </w:tc>
        <w:tc>
          <w:tcPr>
            <w:tcW w:w="1056" w:type="dxa"/>
            <w:vAlign w:val="center"/>
          </w:tcPr>
          <w:p>
            <w:pPr>
              <w:jc w:val="center"/>
              <w:rPr>
                <w:rFonts w:hint="eastAsia" w:ascii="仿宋" w:hAnsi="仿宋" w:eastAsia="仿宋" w:cs="仿宋"/>
              </w:rPr>
            </w:pPr>
            <w:r>
              <w:rPr>
                <w:rFonts w:hint="eastAsia" w:ascii="仿宋" w:hAnsi="仿宋" w:eastAsia="仿宋" w:cs="仿宋"/>
              </w:rPr>
              <w:t>停止供水（气）、改（迁、拆）公共供水的审批</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市供水条例》（国务院令第158号）第二十二条城市自来水供水企业和自建设施对外供水的企业应当保持不间断供水。由于工程施工、设备维修等原因确需停止供水的，应当经城市供水行政主管部门批准并提前24小时通知用水单位和个人，因发生灾害或者紧急事故，不能提前通知的，应当在抢修的同时通知用水单位和个人，尽快恢复正常供水并报告城市供水行政主管部门。</w:t>
            </w:r>
          </w:p>
          <w:p>
            <w:pPr>
              <w:rPr>
                <w:rFonts w:hint="eastAsia" w:ascii="仿宋" w:hAnsi="仿宋" w:eastAsia="仿宋" w:cs="仿宋"/>
              </w:rPr>
            </w:pPr>
            <w:r>
              <w:rPr>
                <w:rFonts w:hint="eastAsia" w:ascii="仿宋" w:hAnsi="仿宋" w:eastAsia="仿宋" w:cs="仿宋"/>
                <w:lang w:val="en-US" w:eastAsia="zh-CN"/>
              </w:rPr>
              <w:t>《城市供水条例》第三十条：因工程建设需改装、拆除或者迁移城市公共供水设施的，建设单位应当报经县级以上人民政府城市规划行政主管部门和城市供水行政主管部门批准，并采取相应的补救措施。</w:t>
            </w:r>
          </w:p>
        </w:tc>
        <w:tc>
          <w:tcPr>
            <w:tcW w:w="3809"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750"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2020"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602" w:type="dxa"/>
            <w:gridSpan w:val="8"/>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920"/>
        <w:gridCol w:w="1056"/>
        <w:gridCol w:w="910"/>
        <w:gridCol w:w="3454"/>
        <w:gridCol w:w="3599"/>
        <w:gridCol w:w="697"/>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1056"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5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59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697"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192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5</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1056" w:type="dxa"/>
            <w:vAlign w:val="center"/>
          </w:tcPr>
          <w:p>
            <w:pPr>
              <w:jc w:val="center"/>
              <w:rPr>
                <w:rFonts w:hint="eastAsia" w:ascii="仿宋" w:hAnsi="仿宋" w:eastAsia="仿宋" w:cs="仿宋"/>
              </w:rPr>
            </w:pPr>
            <w:r>
              <w:rPr>
                <w:rFonts w:hint="eastAsia" w:ascii="仿宋" w:hAnsi="仿宋" w:eastAsia="仿宋" w:cs="仿宋"/>
              </w:rPr>
              <w:t>从事生活垃圾（含粪便）经营性清扫、收集、运输、处理服务审批</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国务院对确需保留的行政审批项目设定行政许可的决定》（2004年6月29日国务院令第412号，2009年1月29日予以修改）附件第102项：从事城市生活垃圾经营性清扫、收集、运输、处理服务审批，实施机关：所在城市的市人民政府市容环境卫生行政主管部门。</w:t>
            </w:r>
          </w:p>
          <w:p>
            <w:pPr>
              <w:rPr>
                <w:rFonts w:hint="eastAsia" w:ascii="仿宋" w:hAnsi="仿宋" w:eastAsia="仿宋" w:cs="仿宋"/>
              </w:rPr>
            </w:pPr>
          </w:p>
        </w:tc>
        <w:tc>
          <w:tcPr>
            <w:tcW w:w="3599"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697"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243" w:type="dxa"/>
            <w:gridSpan w:val="8"/>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920"/>
        <w:gridCol w:w="1056"/>
        <w:gridCol w:w="910"/>
        <w:gridCol w:w="3454"/>
        <w:gridCol w:w="3539"/>
        <w:gridCol w:w="40"/>
        <w:gridCol w:w="717"/>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1056"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5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579" w:type="dxa"/>
            <w:gridSpan w:val="2"/>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717"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192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4"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6</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1056" w:type="dxa"/>
            <w:vAlign w:val="center"/>
          </w:tcPr>
          <w:p>
            <w:pPr>
              <w:jc w:val="center"/>
              <w:rPr>
                <w:rFonts w:hint="eastAsia" w:ascii="仿宋" w:hAnsi="仿宋" w:eastAsia="仿宋" w:cs="仿宋"/>
              </w:rPr>
            </w:pPr>
            <w:r>
              <w:rPr>
                <w:rFonts w:hint="eastAsia" w:ascii="仿宋" w:hAnsi="仿宋" w:eastAsia="仿宋" w:cs="仿宋"/>
              </w:rPr>
              <w:t>关闭、闲置、拆除城市环卫设施许可</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国务院对确需保留的行政审批项目设定行政许可的决定》（2004年6月29日国务院令第412号，2009年1月29日予以修改）附件第102项：从事城市生活垃圾经营性清扫、收集、运输、处理服务审批，实施机关：所在城市的市人民政府市容环境卫生行政主管部门。</w:t>
            </w:r>
          </w:p>
          <w:p>
            <w:pPr>
              <w:rPr>
                <w:rFonts w:hint="eastAsia" w:ascii="仿宋" w:hAnsi="仿宋" w:eastAsia="仿宋" w:cs="仿宋"/>
              </w:rPr>
            </w:pPr>
          </w:p>
        </w:tc>
        <w:tc>
          <w:tcPr>
            <w:tcW w:w="3579" w:type="dxa"/>
            <w:gridSpan w:val="2"/>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717"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243" w:type="dxa"/>
            <w:gridSpan w:val="9"/>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1056"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5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53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757" w:type="dxa"/>
            <w:gridSpan w:val="2"/>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192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7</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1056" w:type="dxa"/>
            <w:vAlign w:val="center"/>
          </w:tcPr>
          <w:p>
            <w:pPr>
              <w:jc w:val="center"/>
              <w:rPr>
                <w:rFonts w:hint="eastAsia" w:ascii="仿宋" w:hAnsi="仿宋" w:eastAsia="仿宋" w:cs="仿宋"/>
              </w:rPr>
            </w:pPr>
            <w:r>
              <w:rPr>
                <w:rFonts w:hint="eastAsia" w:ascii="仿宋" w:hAnsi="仿宋" w:eastAsia="仿宋" w:cs="仿宋"/>
              </w:rPr>
              <w:t>燃气经营许可证核发</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镇燃气管理条例》（2010年11月19日国务院令第583号）第十五条：国家对燃气经营实行许可证制度。从事燃气经营活动的企业，应当具备下列条件：……符合前款规定条件的，由县级以上地方人民政府燃气管理部门核发燃气经营许可证。……。</w:t>
            </w:r>
          </w:p>
          <w:p>
            <w:pPr>
              <w:rPr>
                <w:rFonts w:hint="eastAsia" w:ascii="仿宋" w:hAnsi="仿宋" w:eastAsia="仿宋" w:cs="仿宋"/>
              </w:rPr>
            </w:pPr>
          </w:p>
        </w:tc>
        <w:tc>
          <w:tcPr>
            <w:tcW w:w="3539"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757" w:type="dxa"/>
            <w:gridSpan w:val="2"/>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243" w:type="dxa"/>
            <w:gridSpan w:val="9"/>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920"/>
        <w:gridCol w:w="1056"/>
        <w:gridCol w:w="910"/>
        <w:gridCol w:w="3454"/>
        <w:gridCol w:w="3539"/>
        <w:gridCol w:w="70"/>
        <w:gridCol w:w="687"/>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序号</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职权</w:t>
            </w:r>
          </w:p>
          <w:p>
            <w:pPr>
              <w:jc w:val="center"/>
              <w:rPr>
                <w:rFonts w:hint="eastAsia" w:ascii="仿宋" w:hAnsi="仿宋" w:eastAsia="仿宋" w:cs="仿宋"/>
                <w:lang w:val="en-US" w:eastAsia="zh-CN"/>
              </w:rPr>
            </w:pPr>
            <w:r>
              <w:rPr>
                <w:rFonts w:hint="eastAsia" w:ascii="仿宋" w:hAnsi="仿宋" w:eastAsia="仿宋" w:cs="仿宋"/>
                <w:lang w:val="en-US" w:eastAsia="zh-CN"/>
              </w:rPr>
              <w:t>类别</w:t>
            </w:r>
          </w:p>
        </w:tc>
        <w:tc>
          <w:tcPr>
            <w:tcW w:w="1056"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职权</w:t>
            </w:r>
          </w:p>
          <w:p>
            <w:pPr>
              <w:jc w:val="center"/>
              <w:rPr>
                <w:rFonts w:hint="eastAsia" w:ascii="仿宋" w:hAnsi="仿宋" w:eastAsia="仿宋" w:cs="仿宋"/>
                <w:lang w:val="en-US" w:eastAsia="zh-CN"/>
              </w:rPr>
            </w:pPr>
            <w:r>
              <w:rPr>
                <w:rFonts w:hint="eastAsia" w:ascii="仿宋" w:hAnsi="仿宋" w:eastAsia="仿宋" w:cs="仿宋"/>
                <w:lang w:val="en-US" w:eastAsia="zh-CN"/>
              </w:rPr>
              <w:t>名称</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实施</w:t>
            </w:r>
          </w:p>
          <w:p>
            <w:pPr>
              <w:jc w:val="center"/>
              <w:rPr>
                <w:rFonts w:hint="eastAsia" w:ascii="仿宋" w:hAnsi="仿宋" w:eastAsia="仿宋" w:cs="仿宋"/>
                <w:lang w:val="en-US" w:eastAsia="zh-CN"/>
              </w:rPr>
            </w:pPr>
            <w:r>
              <w:rPr>
                <w:rFonts w:hint="eastAsia" w:ascii="仿宋" w:hAnsi="仿宋" w:eastAsia="仿宋" w:cs="仿宋"/>
                <w:lang w:val="en-US" w:eastAsia="zh-CN"/>
              </w:rPr>
              <w:t>主体</w:t>
            </w:r>
          </w:p>
        </w:tc>
        <w:tc>
          <w:tcPr>
            <w:tcW w:w="3454"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实施依据</w:t>
            </w:r>
          </w:p>
        </w:tc>
        <w:tc>
          <w:tcPr>
            <w:tcW w:w="3539"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责任方式</w:t>
            </w:r>
          </w:p>
        </w:tc>
        <w:tc>
          <w:tcPr>
            <w:tcW w:w="757" w:type="dxa"/>
            <w:gridSpan w:val="2"/>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办理期限</w:t>
            </w:r>
          </w:p>
        </w:tc>
        <w:tc>
          <w:tcPr>
            <w:tcW w:w="1924"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4"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8</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1056" w:type="dxa"/>
            <w:vAlign w:val="center"/>
          </w:tcPr>
          <w:p>
            <w:pPr>
              <w:jc w:val="center"/>
              <w:rPr>
                <w:rFonts w:hint="eastAsia" w:ascii="仿宋" w:hAnsi="仿宋" w:eastAsia="仿宋" w:cs="仿宋"/>
              </w:rPr>
            </w:pPr>
            <w:r>
              <w:rPr>
                <w:rFonts w:hint="eastAsia" w:ascii="仿宋" w:hAnsi="仿宋" w:eastAsia="仿宋" w:cs="仿宋"/>
              </w:rPr>
              <w:t>燃气经营者改动市政燃气设施审批</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镇燃气管理条例》（2010年11月19日国务院令第583号）第三十八条：燃气经营者改动市政燃气设施，应当制定改动方案，报县级以上地方政府燃气管理部门批准。改动方案应当符合燃气发展规划，明确安全施工要求，有安全防护和保障正常用气的措施。</w:t>
            </w:r>
          </w:p>
          <w:p>
            <w:pPr>
              <w:rPr>
                <w:rFonts w:hint="eastAsia" w:ascii="仿宋" w:hAnsi="仿宋" w:eastAsia="仿宋" w:cs="仿宋"/>
                <w:lang w:val="en-US" w:eastAsia="zh-CN"/>
              </w:rPr>
            </w:pPr>
            <w:r>
              <w:rPr>
                <w:rFonts w:hint="eastAsia" w:ascii="仿宋" w:hAnsi="仿宋" w:eastAsia="仿宋" w:cs="仿宋"/>
                <w:lang w:val="en-US" w:eastAsia="zh-CN"/>
              </w:rPr>
              <w:t>《国务院关于第六批取消和调整行政审批项目的决定》（国发〔2012〕52号）附件2（一）第21项：燃气经营者改动市政燃气设施审批，下放至设区的市级、县级人民政府燃气管理部门。</w:t>
            </w:r>
          </w:p>
          <w:p>
            <w:pPr>
              <w:rPr>
                <w:rFonts w:hint="eastAsia" w:ascii="仿宋" w:hAnsi="仿宋" w:eastAsia="仿宋" w:cs="仿宋"/>
              </w:rPr>
            </w:pPr>
          </w:p>
        </w:tc>
        <w:tc>
          <w:tcPr>
            <w:tcW w:w="3539"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757" w:type="dxa"/>
            <w:gridSpan w:val="2"/>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243" w:type="dxa"/>
            <w:gridSpan w:val="9"/>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1056"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5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609" w:type="dxa"/>
            <w:gridSpan w:val="2"/>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687"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192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9</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行政许可</w:t>
            </w:r>
          </w:p>
        </w:tc>
        <w:tc>
          <w:tcPr>
            <w:tcW w:w="1056" w:type="dxa"/>
            <w:vAlign w:val="center"/>
          </w:tcPr>
          <w:p>
            <w:pPr>
              <w:jc w:val="center"/>
              <w:rPr>
                <w:rFonts w:hint="eastAsia" w:ascii="仿宋" w:hAnsi="仿宋" w:eastAsia="仿宋" w:cs="仿宋"/>
              </w:rPr>
            </w:pPr>
            <w:r>
              <w:rPr>
                <w:rFonts w:hint="eastAsia" w:ascii="仿宋" w:hAnsi="仿宋" w:eastAsia="仿宋" w:cs="仿宋"/>
              </w:rPr>
              <w:t>城镇污水排入排水管网许可</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镇排水与污水处理条例》（2013年10月2日国务院令第641号）第二十一条：从事工业、建筑、餐饮、医疗等活动的企业事业单位、个体工商户（以下称排水户）向城镇排水设施排放污水的，应当向城镇排水主管部门申请领取污水排入排水管网许可证。城镇排水主管部门应当按照国家有关标准，重点对影响城镇排水与污水处理设施安全运行的事项进行审查。排水户应当按照污水排入排水管网许可证的要求排放污水。</w:t>
            </w:r>
          </w:p>
          <w:p>
            <w:pPr>
              <w:rPr>
                <w:rFonts w:hint="eastAsia" w:ascii="仿宋" w:hAnsi="仿宋" w:eastAsia="仿宋" w:cs="仿宋"/>
                <w:lang w:val="en-US" w:eastAsia="zh-CN"/>
              </w:rPr>
            </w:pPr>
            <w:r>
              <w:rPr>
                <w:rFonts w:hint="eastAsia" w:ascii="仿宋" w:hAnsi="仿宋" w:eastAsia="仿宋" w:cs="仿宋"/>
                <w:lang w:val="en-US" w:eastAsia="zh-CN"/>
              </w:rPr>
              <w:t>《城镇污水排入排水管网许可管理办法》第三条：直辖市、市、县人民政府城镇排水与污水处理主管部门（以下简称城镇排水主管部门）负责本行政区域内排水许可证书的颁发和监督管理。</w:t>
            </w:r>
          </w:p>
          <w:p>
            <w:pPr>
              <w:rPr>
                <w:rFonts w:hint="eastAsia" w:ascii="仿宋" w:hAnsi="仿宋" w:eastAsia="仿宋" w:cs="仿宋"/>
              </w:rPr>
            </w:pPr>
          </w:p>
        </w:tc>
        <w:tc>
          <w:tcPr>
            <w:tcW w:w="3609" w:type="dxa"/>
            <w:gridSpan w:val="2"/>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687"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243" w:type="dxa"/>
            <w:gridSpan w:val="9"/>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920"/>
        <w:gridCol w:w="1056"/>
        <w:gridCol w:w="910"/>
        <w:gridCol w:w="3454"/>
        <w:gridCol w:w="3619"/>
        <w:gridCol w:w="677"/>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83"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92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类别</w:t>
            </w:r>
          </w:p>
        </w:tc>
        <w:tc>
          <w:tcPr>
            <w:tcW w:w="1056"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职权</w:t>
            </w:r>
          </w:p>
          <w:p>
            <w:pPr>
              <w:jc w:val="center"/>
              <w:rPr>
                <w:rFonts w:hint="eastAsia" w:ascii="黑体" w:hAnsi="黑体" w:eastAsia="黑体" w:cs="黑体"/>
                <w:lang w:val="en-US" w:eastAsia="zh-CN"/>
              </w:rPr>
            </w:pPr>
            <w:r>
              <w:rPr>
                <w:rFonts w:hint="eastAsia" w:ascii="黑体" w:hAnsi="黑体" w:eastAsia="黑体" w:cs="黑体"/>
                <w:lang w:val="en-US" w:eastAsia="zh-CN"/>
              </w:rPr>
              <w:t>名称</w:t>
            </w:r>
          </w:p>
        </w:tc>
        <w:tc>
          <w:tcPr>
            <w:tcW w:w="910"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w:t>
            </w:r>
          </w:p>
          <w:p>
            <w:pPr>
              <w:jc w:val="center"/>
              <w:rPr>
                <w:rFonts w:hint="eastAsia" w:ascii="黑体" w:hAnsi="黑体" w:eastAsia="黑体" w:cs="黑体"/>
                <w:lang w:val="en-US" w:eastAsia="zh-CN"/>
              </w:rPr>
            </w:pPr>
            <w:r>
              <w:rPr>
                <w:rFonts w:hint="eastAsia" w:ascii="黑体" w:hAnsi="黑体" w:eastAsia="黑体" w:cs="黑体"/>
                <w:lang w:val="en-US" w:eastAsia="zh-CN"/>
              </w:rPr>
              <w:t>主体</w:t>
            </w:r>
          </w:p>
        </w:tc>
        <w:tc>
          <w:tcPr>
            <w:tcW w:w="345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实施依据</w:t>
            </w:r>
          </w:p>
        </w:tc>
        <w:tc>
          <w:tcPr>
            <w:tcW w:w="3619"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责任方式</w:t>
            </w:r>
          </w:p>
        </w:tc>
        <w:tc>
          <w:tcPr>
            <w:tcW w:w="677"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办理期限</w:t>
            </w:r>
          </w:p>
        </w:tc>
        <w:tc>
          <w:tcPr>
            <w:tcW w:w="1924" w:type="dxa"/>
            <w:vAlign w:val="center"/>
          </w:tcPr>
          <w:p>
            <w:pPr>
              <w:jc w:val="center"/>
              <w:rPr>
                <w:rFonts w:hint="eastAsia" w:ascii="黑体" w:hAnsi="黑体" w:eastAsia="黑体" w:cs="黑体"/>
                <w:lang w:val="en-US" w:eastAsia="zh-CN"/>
              </w:rPr>
            </w:pPr>
            <w:r>
              <w:rPr>
                <w:rFonts w:hint="eastAsia" w:ascii="黑体" w:hAnsi="黑体" w:eastAsia="黑体" w:cs="黑体"/>
                <w:lang w:val="en-US" w:eastAsia="zh-CN"/>
              </w:rPr>
              <w:t>违法责任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83"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10</w:t>
            </w:r>
          </w:p>
        </w:tc>
        <w:tc>
          <w:tcPr>
            <w:tcW w:w="92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行政</w:t>
            </w:r>
          </w:p>
          <w:p>
            <w:pPr>
              <w:jc w:val="center"/>
              <w:rPr>
                <w:rFonts w:hint="eastAsia" w:ascii="仿宋" w:hAnsi="仿宋" w:eastAsia="仿宋" w:cs="仿宋"/>
                <w:lang w:val="en-US" w:eastAsia="zh-CN"/>
              </w:rPr>
            </w:pPr>
            <w:r>
              <w:rPr>
                <w:rFonts w:hint="eastAsia" w:ascii="仿宋" w:hAnsi="仿宋" w:eastAsia="仿宋" w:cs="仿宋"/>
                <w:lang w:val="en-US" w:eastAsia="zh-CN"/>
              </w:rPr>
              <w:t>许可</w:t>
            </w:r>
          </w:p>
        </w:tc>
        <w:tc>
          <w:tcPr>
            <w:tcW w:w="1056" w:type="dxa"/>
            <w:vAlign w:val="center"/>
          </w:tcPr>
          <w:p>
            <w:pPr>
              <w:jc w:val="center"/>
              <w:rPr>
                <w:rFonts w:hint="eastAsia" w:ascii="仿宋" w:hAnsi="仿宋" w:eastAsia="仿宋" w:cs="仿宋"/>
              </w:rPr>
            </w:pPr>
            <w:r>
              <w:rPr>
                <w:rFonts w:hint="eastAsia" w:ascii="仿宋" w:hAnsi="仿宋" w:eastAsia="仿宋" w:cs="仿宋"/>
              </w:rPr>
              <w:t>特殊车辆在城市道路上行驶（包括经过城市桥梁）审批</w:t>
            </w:r>
          </w:p>
        </w:tc>
        <w:tc>
          <w:tcPr>
            <w:tcW w:w="910"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信阳市城市管理局</w:t>
            </w:r>
          </w:p>
        </w:tc>
        <w:tc>
          <w:tcPr>
            <w:tcW w:w="3454"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城市道路管理条例》（1996年6月4日国务院令第198号，2011年1月1日予以修改）第二十八条：履带车、铁轮车或者超重、超高、超长车辆需要在城市道路上行驶的，事先须征得市政工程行政主管部门同意，并按照公安交通管理部门指定的时间、路线行驶。</w:t>
            </w:r>
          </w:p>
          <w:p>
            <w:pPr>
              <w:rPr>
                <w:rFonts w:hint="eastAsia" w:ascii="仿宋" w:hAnsi="仿宋" w:eastAsia="仿宋" w:cs="仿宋"/>
                <w:lang w:val="en-US" w:eastAsia="zh-CN"/>
              </w:rPr>
            </w:pPr>
            <w:r>
              <w:rPr>
                <w:rFonts w:hint="eastAsia" w:ascii="仿宋" w:hAnsi="仿宋" w:eastAsia="仿宋" w:cs="仿宋"/>
                <w:lang w:val="en-US" w:eastAsia="zh-CN"/>
              </w:rPr>
              <w:t>军用车辆执行任务需要在城市道路上行驶的，可以不受前款限制，但是应当按照规定采取安全保护措施。</w:t>
            </w:r>
          </w:p>
          <w:p>
            <w:pPr>
              <w:rPr>
                <w:rFonts w:hint="eastAsia" w:ascii="仿宋" w:hAnsi="仿宋" w:eastAsia="仿宋" w:cs="仿宋"/>
              </w:rPr>
            </w:pPr>
          </w:p>
        </w:tc>
        <w:tc>
          <w:tcPr>
            <w:tcW w:w="3619"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受理：工作人员通过窗口或河南政务服务网接收申请材料，所交材料不齐全或不符合法定要求的，签发《一次性告知书》。如所交材料存在可以当场更正的错误，申请人可当场更正。如所交材料齐全，应当场做出是否受理决定，并签发《受理通知书》或《不予受理通知书》。</w:t>
            </w:r>
          </w:p>
          <w:p>
            <w:pPr>
              <w:rPr>
                <w:rFonts w:hint="eastAsia" w:ascii="仿宋" w:hAnsi="仿宋" w:eastAsia="仿宋" w:cs="仿宋"/>
                <w:lang w:val="en-US" w:eastAsia="zh-CN"/>
              </w:rPr>
            </w:pPr>
            <w:r>
              <w:rPr>
                <w:rFonts w:hint="eastAsia" w:ascii="仿宋" w:hAnsi="仿宋" w:eastAsia="仿宋" w:cs="仿宋"/>
                <w:lang w:val="en-US" w:eastAsia="zh-CN"/>
              </w:rPr>
              <w:t>2.审核：在受理申请材料后，由行政审批科对内容进行审查。如有必要，启动特殊环节进行辅助审查。通过对资料内容进行审查及现场勘查，提出初步意见，移送至决定环节。</w:t>
            </w:r>
          </w:p>
          <w:p>
            <w:pPr>
              <w:rPr>
                <w:rFonts w:hint="eastAsia" w:ascii="仿宋" w:hAnsi="仿宋" w:eastAsia="仿宋" w:cs="仿宋"/>
                <w:lang w:val="en-US" w:eastAsia="zh-CN"/>
              </w:rPr>
            </w:pPr>
            <w:r>
              <w:rPr>
                <w:rFonts w:hint="eastAsia" w:ascii="仿宋" w:hAnsi="仿宋" w:eastAsia="仿宋" w:cs="仿宋"/>
                <w:lang w:val="en-US" w:eastAsia="zh-CN"/>
              </w:rPr>
              <w:t>3.决定：在行政审批科审查完成后，实施部门应在承诺时限内作出是否同意申请事项的决定。作出准予审批（办理）决定的，签发审批办理结果；作出不予审批（办理）决定的，签发《不予审批（办理）告知单》。</w:t>
            </w:r>
          </w:p>
          <w:p>
            <w:pPr>
              <w:rPr>
                <w:rFonts w:hint="eastAsia" w:ascii="仿宋" w:hAnsi="仿宋" w:eastAsia="仿宋" w:cs="仿宋"/>
              </w:rPr>
            </w:pPr>
          </w:p>
        </w:tc>
        <w:tc>
          <w:tcPr>
            <w:tcW w:w="677" w:type="dxa"/>
            <w:vAlign w:val="center"/>
          </w:tcPr>
          <w:p>
            <w:pPr>
              <w:rPr>
                <w:rFonts w:hint="eastAsia" w:ascii="仿宋" w:hAnsi="仿宋" w:eastAsia="仿宋" w:cs="仿宋"/>
                <w:lang w:val="en-US" w:eastAsia="zh-CN"/>
              </w:rPr>
            </w:pPr>
            <w:r>
              <w:rPr>
                <w:rFonts w:hint="eastAsia" w:ascii="仿宋" w:hAnsi="仿宋" w:eastAsia="仿宋" w:cs="仿宋"/>
                <w:lang w:val="en-US" w:eastAsia="zh-CN"/>
              </w:rPr>
              <w:t>1个工作日</w:t>
            </w:r>
          </w:p>
          <w:p>
            <w:pPr>
              <w:rPr>
                <w:rFonts w:hint="eastAsia" w:ascii="仿宋" w:hAnsi="仿宋" w:eastAsia="仿宋" w:cs="仿宋"/>
                <w:lang w:val="en-US" w:eastAsia="zh-CN"/>
              </w:rPr>
            </w:pPr>
            <w:r>
              <w:rPr>
                <w:rFonts w:hint="eastAsia" w:ascii="仿宋" w:hAnsi="仿宋" w:eastAsia="仿宋" w:cs="仿宋"/>
                <w:lang w:val="en-US" w:eastAsia="zh-CN"/>
              </w:rPr>
              <w:t>（不包含特殊环节）</w:t>
            </w:r>
          </w:p>
        </w:tc>
        <w:tc>
          <w:tcPr>
            <w:tcW w:w="1924" w:type="dxa"/>
            <w:vAlign w:val="center"/>
          </w:tcPr>
          <w:p>
            <w:pPr>
              <w:rPr>
                <w:rFonts w:hint="eastAsia" w:ascii="仿宋" w:hAnsi="仿宋" w:eastAsia="仿宋" w:cs="仿宋"/>
              </w:rPr>
            </w:pPr>
            <w:r>
              <w:rPr>
                <w:rFonts w:hint="eastAsia" w:ascii="仿宋" w:hAnsi="仿宋" w:eastAsia="仿宋" w:cs="仿宋"/>
              </w:rPr>
              <w:t>行政机关未履行法定职责或者违法行使职权的，责令限期改正；逾期不改正的，给予通报批评、取消评比先进资格等处理；情节严重的，对直接负责的主管人员和其他直接责任人员依法给予处分；构成犯罪的，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3243" w:type="dxa"/>
            <w:gridSpan w:val="8"/>
            <w:vAlign w:val="center"/>
          </w:tcPr>
          <w:p>
            <w:pPr>
              <w:rPr>
                <w:rFonts w:hint="eastAsia" w:ascii="仿宋" w:hAnsi="仿宋" w:eastAsia="仿宋" w:cs="仿宋"/>
                <w:lang w:val="en-US" w:eastAsia="zh-CN"/>
              </w:rPr>
            </w:pPr>
            <w:r>
              <w:rPr>
                <w:rFonts w:hint="eastAsia" w:ascii="仿宋" w:hAnsi="仿宋" w:eastAsia="仿宋" w:cs="仿宋"/>
                <w:lang w:val="en-US" w:eastAsia="zh-CN"/>
              </w:rPr>
              <w:t>服务机构：信阳市城市管理局  咨询电话：0376-6369854  服务地点：信阳市政务服务中心4楼社会事务类城市管理窗口</w:t>
            </w:r>
          </w:p>
          <w:p>
            <w:pPr>
              <w:rPr>
                <w:rFonts w:hint="eastAsia" w:ascii="仿宋" w:hAnsi="仿宋" w:eastAsia="仿宋" w:cs="仿宋"/>
                <w:lang w:val="en-US" w:eastAsia="zh-CN"/>
              </w:rPr>
            </w:pPr>
            <w:r>
              <w:rPr>
                <w:rFonts w:hint="eastAsia" w:ascii="仿宋" w:hAnsi="仿宋" w:eastAsia="仿宋" w:cs="仿宋"/>
                <w:lang w:val="en-US" w:eastAsia="zh-CN"/>
              </w:rPr>
              <w:t>投诉机构：信阳市政务服务中心效能督查科  投诉电话：0376-6369789</w:t>
            </w:r>
          </w:p>
        </w:tc>
      </w:tr>
    </w:tbl>
    <w:p>
      <w:pPr>
        <w:numPr>
          <w:ilvl w:val="0"/>
          <w:numId w:val="0"/>
        </w:numPr>
        <w:jc w:val="both"/>
        <w:rPr>
          <w:rFonts w:hint="eastAsia" w:ascii="方正小标宋简体" w:hAnsi="方正小标宋简体" w:eastAsia="方正小标宋简体" w:cs="方正小标宋简体"/>
          <w:sz w:val="21"/>
          <w:szCs w:val="21"/>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hlOTAyYWE0MmJmNzI1ZDVjMWU1YTY0ZjJiY2RjYjcifQ=="/>
  </w:docVars>
  <w:rsids>
    <w:rsidRoot w:val="00000000"/>
    <w:rsid w:val="1D9C4A16"/>
    <w:rsid w:val="2225019C"/>
    <w:rsid w:val="37E7361F"/>
    <w:rsid w:val="765F09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7446</Words>
  <Characters>7792</Characters>
  <Lines>0</Lines>
  <Paragraphs>0</Paragraphs>
  <TotalTime>1</TotalTime>
  <ScaleCrop>false</ScaleCrop>
  <LinksUpToDate>false</LinksUpToDate>
  <CharactersWithSpaces>7852</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2023-07-11T13:14:00Z</dcterms:created>
  <dc:creator>Administrator</dc:creator>
  <cp:lastModifiedBy>inspur</cp:lastModifiedBy>
  <dcterms:modified xsi:type="dcterms:W3CDTF">2023-07-14T16:08:16Z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AA547A07B0244009A5E79BEAABD253A1_12</vt:lpwstr>
  </property>
</Properties>
</file>