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黑体" w:hAnsi="黑体" w:eastAsia="黑体" w:cs="Times New Roman"/>
          <w:b/>
          <w:kern w:val="2"/>
          <w:sz w:val="44"/>
          <w:szCs w:val="44"/>
          <w:lang w:val="en-US" w:eastAsia="zh-CN"/>
        </w:rPr>
      </w:pPr>
      <w:bookmarkStart w:id="0" w:name="_Toc18264_WPSOffice_Level1"/>
      <w:r>
        <w:rPr>
          <w:rFonts w:hint="eastAsia" w:ascii="黑体" w:hAnsi="黑体" w:eastAsia="黑体" w:cs="Times New Roman"/>
          <w:b/>
          <w:kern w:val="2"/>
          <w:sz w:val="44"/>
          <w:szCs w:val="44"/>
          <w:lang w:val="en-US" w:eastAsia="zh-CN"/>
        </w:rPr>
        <w:t>2021年中央补助地方公共文化服务体系建设</w:t>
      </w:r>
    </w:p>
    <w:p>
      <w:pPr>
        <w:keepNext w:val="0"/>
        <w:keepLines w:val="0"/>
        <w:pageBreakBefore w:val="0"/>
        <w:widowControl w:val="0"/>
        <w:kinsoku/>
        <w:wordWrap/>
        <w:overflowPunct/>
        <w:topLinePunct w:val="0"/>
        <w:autoSpaceDE/>
        <w:autoSpaceDN/>
        <w:bidi w:val="0"/>
        <w:ind w:left="0" w:leftChars="0" w:firstLine="0" w:firstLineChars="0"/>
        <w:jc w:val="center"/>
        <w:textAlignment w:val="auto"/>
        <w:rPr>
          <w:rFonts w:hint="eastAsia" w:ascii="黑体" w:hAnsi="黑体" w:eastAsia="黑体" w:cs="Times New Roman"/>
          <w:b/>
          <w:kern w:val="2"/>
          <w:sz w:val="44"/>
          <w:szCs w:val="44"/>
        </w:rPr>
      </w:pPr>
      <w:bookmarkStart w:id="112" w:name="_GoBack"/>
      <w:bookmarkEnd w:id="112"/>
      <w:r>
        <w:rPr>
          <w:rFonts w:hint="eastAsia" w:ascii="黑体" w:hAnsi="黑体" w:eastAsia="黑体" w:cs="Times New Roman"/>
          <w:b/>
          <w:kern w:val="2"/>
          <w:sz w:val="44"/>
          <w:szCs w:val="44"/>
          <w:lang w:val="en-US" w:eastAsia="zh-CN"/>
        </w:rPr>
        <w:t>项目支出</w:t>
      </w:r>
      <w:bookmarkEnd w:id="0"/>
      <w:bookmarkStart w:id="1" w:name="_Toc3909"/>
      <w:bookmarkStart w:id="2" w:name="_Toc17193"/>
      <w:bookmarkStart w:id="3" w:name="_Toc28756"/>
      <w:bookmarkStart w:id="4" w:name="_Toc22340"/>
      <w:bookmarkStart w:id="5" w:name="_Toc3325"/>
      <w:bookmarkStart w:id="6" w:name="_Toc599"/>
      <w:bookmarkStart w:id="7" w:name="_Toc25548"/>
      <w:bookmarkStart w:id="8" w:name="_Toc26975"/>
      <w:bookmarkStart w:id="9" w:name="_Toc9046"/>
      <w:bookmarkStart w:id="10" w:name="_Toc31323"/>
      <w:bookmarkStart w:id="11" w:name="_Toc2685"/>
      <w:bookmarkStart w:id="12" w:name="_Toc29048_WPSOffice_Level1"/>
      <w:r>
        <w:rPr>
          <w:rFonts w:hint="eastAsia" w:ascii="黑体" w:hAnsi="黑体" w:eastAsia="黑体" w:cs="Times New Roman"/>
          <w:b/>
          <w:kern w:val="2"/>
          <w:sz w:val="44"/>
          <w:szCs w:val="44"/>
        </w:rPr>
        <w:t>绩效评价报告</w:t>
      </w:r>
      <w:bookmarkEnd w:id="1"/>
      <w:bookmarkEnd w:id="2"/>
      <w:bookmarkEnd w:id="3"/>
      <w:bookmarkEnd w:id="4"/>
      <w:bookmarkEnd w:id="5"/>
      <w:bookmarkEnd w:id="6"/>
      <w:bookmarkEnd w:id="7"/>
      <w:bookmarkEnd w:id="8"/>
      <w:bookmarkEnd w:id="9"/>
      <w:bookmarkEnd w:id="10"/>
      <w:bookmarkEnd w:id="11"/>
      <w:bookmarkEnd w:id="12"/>
      <w:bookmarkStart w:id="13" w:name="_Toc22186"/>
      <w:bookmarkStart w:id="14" w:name="_Toc21800"/>
      <w:bookmarkStart w:id="15" w:name="_Toc6886"/>
      <w:bookmarkStart w:id="16" w:name="_Toc25477"/>
      <w:bookmarkStart w:id="17" w:name="_Toc20097"/>
      <w:bookmarkStart w:id="18" w:name="_Toc1136"/>
      <w:bookmarkStart w:id="19" w:name="_Toc12990"/>
      <w:bookmarkStart w:id="20" w:name="_Toc11770"/>
      <w:bookmarkStart w:id="21" w:name="_Toc11475"/>
    </w:p>
    <w:p>
      <w:pPr>
        <w:ind w:left="0" w:leftChars="0" w:firstLine="560" w:firstLineChars="200"/>
        <w:rPr>
          <w:rFonts w:hint="eastAsia" w:ascii="宋体" w:hAnsi="宋体" w:eastAsia="宋体" w:cs="宋体"/>
        </w:rPr>
      </w:pPr>
      <w:r>
        <w:rPr>
          <w:rFonts w:hint="eastAsia" w:ascii="宋体" w:hAnsi="宋体" w:eastAsia="宋体" w:cs="宋体"/>
          <w:lang w:val="en-US" w:eastAsia="zh-CN"/>
        </w:rPr>
        <w:t>为贯彻落实中央和省委、省政府关于全面实施预算绩效管理的决策部署，进一步强化绩效管理，提高财政资金使用效益，按照 2021年度信阳市财政重点项目绩效评价工作统一安排，成立绩效评价工作组，本着科学、客观、公正</w:t>
      </w:r>
      <w:r>
        <w:rPr>
          <w:rFonts w:hint="eastAsia" w:ascii="宋体" w:hAnsi="宋体" w:eastAsia="宋体" w:cs="宋体"/>
          <w:b w:val="0"/>
          <w:bCs w:val="0"/>
          <w:sz w:val="28"/>
          <w:szCs w:val="28"/>
          <w:lang w:val="en-US" w:eastAsia="zh-CN"/>
        </w:rPr>
        <w:t>的原则，采取查阅资料、座谈走访、问卷调查等形式，实地调研工作，对</w:t>
      </w:r>
      <w:r>
        <w:rPr>
          <w:rFonts w:hint="eastAsia" w:ascii="宋体" w:hAnsi="宋体" w:eastAsia="宋体" w:cs="宋体"/>
          <w:b w:val="0"/>
          <w:bCs w:val="0"/>
          <w:kern w:val="2"/>
          <w:sz w:val="28"/>
          <w:szCs w:val="28"/>
          <w:lang w:val="en-US" w:eastAsia="zh-CN"/>
        </w:rPr>
        <w:t>2021年中央补助地方公共文化服务体系建设项目支出</w:t>
      </w:r>
      <w:r>
        <w:rPr>
          <w:rFonts w:hint="eastAsia" w:ascii="宋体" w:hAnsi="宋体" w:eastAsia="宋体" w:cs="宋体"/>
          <w:b w:val="0"/>
          <w:bCs w:val="0"/>
          <w:sz w:val="28"/>
          <w:szCs w:val="28"/>
          <w:lang w:val="en-US" w:eastAsia="zh-CN"/>
        </w:rPr>
        <w:t>进行了绩效评价</w:t>
      </w:r>
      <w:r>
        <w:rPr>
          <w:rFonts w:hint="eastAsia" w:ascii="宋体" w:hAnsi="宋体" w:eastAsia="宋体" w:cs="宋体"/>
          <w:lang w:val="en-US" w:eastAsia="zh-CN"/>
        </w:rPr>
        <w:t>，现将有关情况报告如下。</w:t>
      </w:r>
    </w:p>
    <w:bookmarkEnd w:id="13"/>
    <w:bookmarkEnd w:id="14"/>
    <w:bookmarkEnd w:id="15"/>
    <w:bookmarkEnd w:id="16"/>
    <w:bookmarkEnd w:id="17"/>
    <w:bookmarkEnd w:id="18"/>
    <w:bookmarkEnd w:id="19"/>
    <w:bookmarkEnd w:id="20"/>
    <w:bookmarkEnd w:id="21"/>
    <w:p>
      <w:pPr>
        <w:pStyle w:val="7"/>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textAlignment w:val="auto"/>
        <w:rPr>
          <w:rFonts w:hint="eastAsia" w:ascii="宋体" w:hAnsi="宋体" w:eastAsia="宋体" w:cs="宋体"/>
          <w:sz w:val="28"/>
          <w:szCs w:val="28"/>
        </w:rPr>
      </w:pPr>
      <w:bookmarkStart w:id="22" w:name="_Toc10320_WPSOffice_Level1"/>
      <w:r>
        <w:rPr>
          <w:rFonts w:hint="eastAsia" w:ascii="宋体" w:hAnsi="宋体" w:eastAsia="宋体" w:cs="宋体"/>
          <w:sz w:val="28"/>
          <w:szCs w:val="28"/>
          <w:lang w:val="en-US" w:eastAsia="zh-CN"/>
        </w:rPr>
        <w:t>一、项目基本情况</w:t>
      </w:r>
      <w:bookmarkEnd w:id="22"/>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textAlignment w:val="auto"/>
        <w:rPr>
          <w:rFonts w:hint="eastAsia" w:ascii="宋体" w:hAnsi="宋体" w:eastAsia="宋体" w:cs="宋体"/>
          <w:sz w:val="28"/>
          <w:szCs w:val="28"/>
          <w:lang w:val="en-US"/>
        </w:rPr>
      </w:pPr>
      <w:bookmarkStart w:id="23" w:name="_Toc483573546"/>
      <w:bookmarkEnd w:id="23"/>
      <w:bookmarkStart w:id="24" w:name="_Toc7259"/>
      <w:bookmarkStart w:id="25" w:name="_Toc29048_WPSOffice_Level2"/>
      <w:r>
        <w:rPr>
          <w:rFonts w:hint="eastAsia" w:ascii="宋体" w:hAnsi="宋体" w:eastAsia="宋体" w:cs="宋体"/>
          <w:sz w:val="28"/>
          <w:szCs w:val="28"/>
          <w:lang w:val="en-US" w:eastAsia="zh-CN"/>
        </w:rPr>
        <w:t>（一）项目</w:t>
      </w:r>
      <w:bookmarkEnd w:id="24"/>
      <w:r>
        <w:rPr>
          <w:rFonts w:hint="eastAsia" w:ascii="宋体" w:hAnsi="宋体" w:eastAsia="宋体" w:cs="宋体"/>
          <w:sz w:val="28"/>
          <w:szCs w:val="28"/>
          <w:lang w:val="en-US" w:eastAsia="zh-CN"/>
        </w:rPr>
        <w:t>概况</w:t>
      </w:r>
      <w:bookmarkEnd w:id="25"/>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textAlignment w:val="auto"/>
        <w:rPr>
          <w:rFonts w:hint="eastAsia" w:ascii="宋体" w:hAnsi="宋体" w:eastAsia="宋体" w:cs="宋体"/>
          <w:sz w:val="28"/>
          <w:szCs w:val="28"/>
          <w:lang w:val="en-US" w:eastAsia="zh-CN"/>
        </w:rPr>
      </w:pPr>
      <w:bookmarkStart w:id="26" w:name="_Toc30555_WPSOffice_Level3"/>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项目背景</w:t>
      </w:r>
      <w:bookmarkEnd w:id="2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根据</w:t>
      </w:r>
      <w:r>
        <w:rPr>
          <w:rFonts w:hint="eastAsia" w:ascii="宋体" w:hAnsi="宋体" w:eastAsia="宋体" w:cs="宋体"/>
          <w:i w:val="0"/>
          <w:caps w:val="0"/>
          <w:color w:val="auto"/>
          <w:spacing w:val="0"/>
          <w:kern w:val="0"/>
          <w:sz w:val="28"/>
          <w:szCs w:val="28"/>
          <w:shd w:val="clear" w:fill="FFFFFF"/>
          <w:lang w:val="en-US" w:eastAsia="zh-CN" w:bidi="ar"/>
        </w:rPr>
        <w:t>《河南省财政厅关于提前下达2021年中央支持地方公共文化服务体系建设补助资金预算的通知》</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豫财文[2020]108号</w:t>
      </w:r>
      <w:r>
        <w:rPr>
          <w:rFonts w:hint="eastAsia" w:ascii="宋体" w:hAnsi="宋体" w:cs="宋体"/>
          <w:i w:val="0"/>
          <w:caps w:val="0"/>
          <w:color w:val="auto"/>
          <w:spacing w:val="0"/>
          <w:kern w:val="0"/>
          <w:sz w:val="28"/>
          <w:szCs w:val="28"/>
          <w:shd w:val="clear" w:fill="FFFFFF"/>
          <w:lang w:val="en-US" w:eastAsia="zh-CN" w:bidi="ar"/>
        </w:rPr>
        <w:t>）文件，信阳市</w:t>
      </w:r>
      <w:r>
        <w:rPr>
          <w:rFonts w:hint="eastAsia" w:ascii="宋体" w:hAnsi="宋体" w:eastAsia="宋体" w:cs="宋体"/>
          <w:i w:val="0"/>
          <w:caps w:val="0"/>
          <w:color w:val="auto"/>
          <w:spacing w:val="0"/>
          <w:kern w:val="0"/>
          <w:sz w:val="28"/>
          <w:szCs w:val="28"/>
          <w:shd w:val="clear" w:fill="FFFFFF"/>
          <w:lang w:val="en-US" w:eastAsia="zh-CN" w:bidi="ar"/>
        </w:rPr>
        <w:t>2021年中央补助地方公共文化服务体系建设专项资金</w:t>
      </w:r>
      <w:r>
        <w:rPr>
          <w:rFonts w:hint="eastAsia" w:ascii="宋体" w:hAnsi="宋体" w:cs="宋体"/>
          <w:i w:val="0"/>
          <w:caps w:val="0"/>
          <w:color w:val="auto"/>
          <w:spacing w:val="0"/>
          <w:kern w:val="0"/>
          <w:sz w:val="28"/>
          <w:szCs w:val="28"/>
          <w:shd w:val="clear" w:fill="FFFFFF"/>
          <w:lang w:val="en-US" w:eastAsia="zh-CN" w:bidi="ar"/>
        </w:rPr>
        <w:t>共</w:t>
      </w:r>
      <w:r>
        <w:rPr>
          <w:rFonts w:hint="eastAsia" w:ascii="宋体" w:hAnsi="宋体" w:eastAsia="宋体" w:cs="宋体"/>
          <w:i w:val="0"/>
          <w:caps w:val="0"/>
          <w:color w:val="auto"/>
          <w:spacing w:val="0"/>
          <w:kern w:val="0"/>
          <w:sz w:val="28"/>
          <w:szCs w:val="28"/>
          <w:shd w:val="clear" w:fill="FFFFFF"/>
          <w:lang w:val="en-US" w:eastAsia="zh-CN" w:bidi="ar"/>
        </w:rPr>
        <w:t>2,921.00万元</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后根据《河南省财政厅关于收回部分2021年中央支持地方公共文化服务体系建设专项资金</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一般项目和绩效奖励</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预算的通知》</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豫财文[2021]38号</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w:t>
      </w:r>
      <w:r>
        <w:rPr>
          <w:rFonts w:hint="eastAsia" w:ascii="宋体" w:hAnsi="宋体" w:cs="宋体"/>
          <w:i w:val="0"/>
          <w:caps w:val="0"/>
          <w:color w:val="auto"/>
          <w:spacing w:val="0"/>
          <w:kern w:val="0"/>
          <w:sz w:val="28"/>
          <w:szCs w:val="28"/>
          <w:shd w:val="clear" w:fill="FFFFFF"/>
          <w:lang w:val="en-US" w:eastAsia="zh-CN" w:bidi="ar"/>
        </w:rPr>
        <w:t>该</w:t>
      </w:r>
      <w:r>
        <w:rPr>
          <w:rFonts w:hint="eastAsia" w:ascii="宋体" w:hAnsi="宋体" w:eastAsia="宋体" w:cs="宋体"/>
          <w:i w:val="0"/>
          <w:caps w:val="0"/>
          <w:color w:val="auto"/>
          <w:spacing w:val="0"/>
          <w:kern w:val="0"/>
          <w:sz w:val="28"/>
          <w:szCs w:val="28"/>
          <w:shd w:val="clear" w:fill="FFFFFF"/>
          <w:lang w:val="en-US" w:eastAsia="zh-CN" w:bidi="ar"/>
        </w:rPr>
        <w:t>专项资金</w:t>
      </w:r>
      <w:r>
        <w:rPr>
          <w:rFonts w:hint="eastAsia" w:ascii="宋体" w:hAnsi="宋体" w:cs="宋体"/>
          <w:i w:val="0"/>
          <w:caps w:val="0"/>
          <w:color w:val="auto"/>
          <w:spacing w:val="0"/>
          <w:kern w:val="0"/>
          <w:sz w:val="28"/>
          <w:szCs w:val="28"/>
          <w:shd w:val="clear" w:fill="FFFFFF"/>
          <w:lang w:val="en-US" w:eastAsia="zh-CN" w:bidi="ar"/>
        </w:rPr>
        <w:t>减少</w:t>
      </w:r>
      <w:r>
        <w:rPr>
          <w:rFonts w:hint="eastAsia" w:ascii="宋体" w:hAnsi="宋体" w:eastAsia="宋体" w:cs="宋体"/>
          <w:i w:val="0"/>
          <w:caps w:val="0"/>
          <w:color w:val="auto"/>
          <w:spacing w:val="0"/>
          <w:kern w:val="0"/>
          <w:sz w:val="28"/>
          <w:szCs w:val="28"/>
          <w:shd w:val="clear" w:fill="FFFFFF"/>
          <w:lang w:val="en-US" w:eastAsia="zh-CN" w:bidi="ar"/>
        </w:rPr>
        <w:t>365.00万元，</w:t>
      </w:r>
      <w:r>
        <w:rPr>
          <w:rFonts w:hint="eastAsia" w:ascii="宋体" w:hAnsi="宋体" w:cs="宋体"/>
          <w:i w:val="0"/>
          <w:caps w:val="0"/>
          <w:color w:val="auto"/>
          <w:spacing w:val="0"/>
          <w:kern w:val="0"/>
          <w:sz w:val="28"/>
          <w:szCs w:val="28"/>
          <w:shd w:val="clear" w:fill="FFFFFF"/>
          <w:lang w:val="en-US" w:eastAsia="zh-CN" w:bidi="ar"/>
        </w:rPr>
        <w:t>项目实际金额为2,556.00</w:t>
      </w:r>
      <w:r>
        <w:rPr>
          <w:rFonts w:hint="eastAsia" w:ascii="宋体" w:hAnsi="宋体" w:eastAsia="宋体" w:cs="宋体"/>
          <w:i w:val="0"/>
          <w:caps w:val="0"/>
          <w:color w:val="auto"/>
          <w:spacing w:val="0"/>
          <w:kern w:val="0"/>
          <w:sz w:val="28"/>
          <w:szCs w:val="28"/>
          <w:shd w:val="clear" w:fill="FFFFFF"/>
          <w:lang w:val="en-US" w:eastAsia="zh-CN" w:bidi="ar"/>
        </w:rPr>
        <w:t>万元</w:t>
      </w:r>
      <w:r>
        <w:rPr>
          <w:rFonts w:hint="eastAsia" w:ascii="宋体" w:hAnsi="宋体" w:cs="宋体"/>
          <w:i w:val="0"/>
          <w:caps w:val="0"/>
          <w:color w:val="auto"/>
          <w:spacing w:val="0"/>
          <w:kern w:val="0"/>
          <w:sz w:val="28"/>
          <w:szCs w:val="28"/>
          <w:shd w:val="clear" w:fill="FFFFFF"/>
          <w:lang w:val="en-US" w:eastAsia="zh-CN" w:bidi="ar"/>
        </w:rPr>
        <w:t>。</w:t>
      </w:r>
    </w:p>
    <w:p>
      <w:pPr>
        <w:pStyle w:val="9"/>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562" w:firstLineChars="200"/>
        <w:jc w:val="both"/>
        <w:textAlignment w:val="auto"/>
        <w:rPr>
          <w:rFonts w:hint="eastAsia"/>
          <w:sz w:val="28"/>
          <w:szCs w:val="28"/>
          <w:lang w:val="en-US" w:eastAsia="zh-CN"/>
        </w:rPr>
      </w:pPr>
      <w:bookmarkStart w:id="27" w:name="_Toc12174_WPSOffice_Level3"/>
      <w:r>
        <w:rPr>
          <w:rFonts w:hint="eastAsia" w:asciiTheme="minorEastAsia" w:hAnsiTheme="minorEastAsia" w:eastAsiaTheme="minorEastAsia" w:cstheme="minorEastAsia"/>
          <w:sz w:val="28"/>
          <w:szCs w:val="28"/>
          <w:lang w:val="en-US" w:eastAsia="zh-CN"/>
        </w:rPr>
        <w:t>2.项目</w:t>
      </w:r>
      <w:r>
        <w:rPr>
          <w:rFonts w:hint="eastAsia"/>
          <w:sz w:val="28"/>
          <w:szCs w:val="28"/>
          <w:lang w:val="en-US" w:eastAsia="zh-CN"/>
        </w:rPr>
        <w:t>实施情况</w:t>
      </w:r>
      <w:bookmarkEnd w:id="2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河南省财政厅</w:t>
      </w:r>
      <w:r>
        <w:rPr>
          <w:rFonts w:hint="eastAsia" w:ascii="宋体" w:hAnsi="宋体" w:cs="宋体"/>
          <w:i w:val="0"/>
          <w:caps w:val="0"/>
          <w:color w:val="auto"/>
          <w:spacing w:val="0"/>
          <w:kern w:val="0"/>
          <w:sz w:val="28"/>
          <w:szCs w:val="28"/>
          <w:shd w:val="clear" w:fill="FFFFFF"/>
          <w:lang w:val="en-US" w:eastAsia="zh-CN" w:bidi="ar"/>
        </w:rPr>
        <w:t>下达</w:t>
      </w:r>
      <w:r>
        <w:rPr>
          <w:rFonts w:hint="eastAsia" w:ascii="宋体" w:hAnsi="宋体" w:eastAsia="宋体" w:cs="宋体"/>
          <w:i w:val="0"/>
          <w:caps w:val="0"/>
          <w:color w:val="auto"/>
          <w:spacing w:val="0"/>
          <w:kern w:val="0"/>
          <w:sz w:val="28"/>
          <w:szCs w:val="28"/>
          <w:shd w:val="clear" w:fill="FFFFFF"/>
          <w:lang w:val="en-US" w:eastAsia="zh-CN" w:bidi="ar"/>
        </w:rPr>
        <w:t>2021年中央支持地方公共文化服务体系建设专项资金</w:t>
      </w:r>
      <w:r>
        <w:rPr>
          <w:rFonts w:hint="eastAsia" w:ascii="宋体" w:hAnsi="宋体" w:cs="宋体"/>
          <w:i w:val="0"/>
          <w:caps w:val="0"/>
          <w:color w:val="auto"/>
          <w:spacing w:val="0"/>
          <w:kern w:val="0"/>
          <w:sz w:val="28"/>
          <w:szCs w:val="28"/>
          <w:shd w:val="clear" w:fill="FFFFFF"/>
          <w:lang w:val="en-US" w:eastAsia="zh-CN" w:bidi="ar"/>
        </w:rPr>
        <w:t>2,556.00</w:t>
      </w:r>
      <w:r>
        <w:rPr>
          <w:rFonts w:hint="eastAsia" w:ascii="宋体" w:hAnsi="宋体" w:eastAsia="宋体" w:cs="宋体"/>
          <w:i w:val="0"/>
          <w:caps w:val="0"/>
          <w:color w:val="auto"/>
          <w:spacing w:val="0"/>
          <w:kern w:val="0"/>
          <w:sz w:val="28"/>
          <w:szCs w:val="28"/>
          <w:shd w:val="clear" w:fill="FFFFFF"/>
          <w:lang w:val="en-US" w:eastAsia="zh-CN" w:bidi="ar"/>
        </w:rPr>
        <w:t>万元</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信阳市财政</w:t>
      </w:r>
      <w:r>
        <w:rPr>
          <w:rFonts w:hint="eastAsia" w:ascii="宋体" w:hAnsi="宋体" w:cs="宋体"/>
          <w:i w:val="0"/>
          <w:caps w:val="0"/>
          <w:color w:val="auto"/>
          <w:spacing w:val="0"/>
          <w:kern w:val="0"/>
          <w:sz w:val="28"/>
          <w:szCs w:val="28"/>
          <w:shd w:val="clear" w:fill="FFFFFF"/>
          <w:lang w:val="en-US" w:eastAsia="zh-CN" w:bidi="ar"/>
        </w:rPr>
        <w:t>局与信阳市文化广电和旅游局按照因素分配法和项目管理相结合，将资金分配到了7个单位和13个县区。</w:t>
      </w:r>
    </w:p>
    <w:p>
      <w:pPr>
        <w:pStyle w:val="9"/>
        <w:keepNext/>
        <w:keepLines/>
        <w:pageBreakBefore w:val="0"/>
        <w:widowControl w:val="0"/>
        <w:numPr>
          <w:ilvl w:val="0"/>
          <w:numId w:val="0"/>
        </w:numPr>
        <w:kinsoku/>
        <w:wordWrap/>
        <w:overflowPunct/>
        <w:topLinePunct w:val="0"/>
        <w:autoSpaceDE/>
        <w:autoSpaceDN/>
        <w:bidi w:val="0"/>
        <w:adjustRightInd w:val="0"/>
        <w:snapToGrid w:val="0"/>
        <w:spacing w:before="0" w:beforeLines="0" w:after="0" w:afterLines="0" w:line="360" w:lineRule="auto"/>
        <w:ind w:right="0" w:rightChars="0" w:firstLine="562" w:firstLineChars="200"/>
        <w:jc w:val="both"/>
        <w:textAlignment w:val="auto"/>
        <w:rPr>
          <w:rFonts w:hint="eastAsia"/>
          <w:sz w:val="28"/>
          <w:szCs w:val="28"/>
          <w:lang w:val="en-US" w:eastAsia="zh-CN"/>
        </w:rPr>
      </w:pPr>
      <w:bookmarkStart w:id="28" w:name="_Toc25599_WPSOffice_Level3"/>
      <w:r>
        <w:rPr>
          <w:rFonts w:hint="eastAsia" w:asciiTheme="majorEastAsia" w:hAnsiTheme="majorEastAsia" w:eastAsiaTheme="majorEastAsia" w:cstheme="majorEastAsia"/>
          <w:sz w:val="28"/>
          <w:szCs w:val="28"/>
          <w:lang w:val="en-US" w:eastAsia="zh-CN"/>
        </w:rPr>
        <w:t>3.资</w:t>
      </w:r>
      <w:r>
        <w:rPr>
          <w:rFonts w:hint="eastAsia"/>
          <w:sz w:val="28"/>
          <w:szCs w:val="28"/>
          <w:lang w:val="en-US" w:eastAsia="zh-CN"/>
        </w:rPr>
        <w:t>金来源</w:t>
      </w:r>
      <w:bookmarkEnd w:id="2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2021年中央支持地方公共文化服务体系建设专项资金由</w:t>
      </w:r>
      <w:r>
        <w:rPr>
          <w:rFonts w:hint="eastAsia" w:ascii="宋体" w:hAnsi="宋体" w:cs="宋体"/>
          <w:i w:val="0"/>
          <w:caps w:val="0"/>
          <w:color w:val="auto"/>
          <w:spacing w:val="0"/>
          <w:kern w:val="0"/>
          <w:sz w:val="28"/>
          <w:szCs w:val="28"/>
          <w:shd w:val="clear" w:fill="FFFFFF"/>
          <w:lang w:val="en-US" w:eastAsia="zh-CN" w:bidi="ar"/>
        </w:rPr>
        <w:t>中央</w:t>
      </w:r>
      <w:r>
        <w:rPr>
          <w:rFonts w:hint="eastAsia" w:ascii="宋体" w:hAnsi="宋体" w:eastAsia="宋体" w:cs="宋体"/>
          <w:i w:val="0"/>
          <w:caps w:val="0"/>
          <w:color w:val="auto"/>
          <w:spacing w:val="0"/>
          <w:kern w:val="0"/>
          <w:sz w:val="28"/>
          <w:szCs w:val="28"/>
          <w:shd w:val="clear" w:fill="FFFFFF"/>
          <w:lang w:val="en-US" w:eastAsia="zh-CN" w:bidi="ar"/>
        </w:rPr>
        <w:t>财政拨付，项目预算资金总计</w:t>
      </w:r>
      <w:r>
        <w:rPr>
          <w:rFonts w:hint="eastAsia" w:ascii="宋体" w:hAnsi="宋体" w:cs="宋体"/>
          <w:i w:val="0"/>
          <w:caps w:val="0"/>
          <w:color w:val="auto"/>
          <w:spacing w:val="0"/>
          <w:kern w:val="0"/>
          <w:sz w:val="28"/>
          <w:szCs w:val="28"/>
          <w:shd w:val="clear" w:fill="FFFFFF"/>
          <w:lang w:val="en-US" w:eastAsia="zh-CN" w:bidi="ar"/>
        </w:rPr>
        <w:t>25,560,000.00</w:t>
      </w:r>
      <w:r>
        <w:rPr>
          <w:rFonts w:hint="eastAsia" w:ascii="宋体" w:hAnsi="宋体" w:eastAsia="宋体" w:cs="宋体"/>
          <w:i w:val="0"/>
          <w:caps w:val="0"/>
          <w:color w:val="auto"/>
          <w:spacing w:val="0"/>
          <w:kern w:val="0"/>
          <w:sz w:val="28"/>
          <w:szCs w:val="28"/>
          <w:shd w:val="clear" w:fill="FFFFFF"/>
          <w:lang w:val="en-US" w:eastAsia="zh-CN" w:bidi="ar"/>
        </w:rPr>
        <w:t>元，项目实际到位资金总计</w:t>
      </w:r>
      <w:r>
        <w:rPr>
          <w:rFonts w:hint="eastAsia" w:ascii="宋体" w:hAnsi="宋体" w:cs="宋体"/>
          <w:i w:val="0"/>
          <w:caps w:val="0"/>
          <w:color w:val="auto"/>
          <w:spacing w:val="0"/>
          <w:kern w:val="0"/>
          <w:sz w:val="28"/>
          <w:szCs w:val="28"/>
          <w:shd w:val="clear" w:fill="FFFFFF"/>
          <w:lang w:val="en-US" w:eastAsia="zh-CN" w:bidi="ar"/>
        </w:rPr>
        <w:t>25,560,000.00</w:t>
      </w:r>
      <w:r>
        <w:rPr>
          <w:rFonts w:hint="eastAsia" w:ascii="宋体" w:hAnsi="宋体" w:eastAsia="宋体" w:cs="宋体"/>
          <w:i w:val="0"/>
          <w:caps w:val="0"/>
          <w:color w:val="auto"/>
          <w:spacing w:val="0"/>
          <w:kern w:val="0"/>
          <w:sz w:val="28"/>
          <w:szCs w:val="28"/>
          <w:shd w:val="clear" w:fill="FFFFFF"/>
          <w:lang w:val="en-US" w:eastAsia="zh-CN" w:bidi="ar"/>
        </w:rPr>
        <w:t>元。</w:t>
      </w:r>
    </w:p>
    <w:p>
      <w:pPr>
        <w:pStyle w:val="9"/>
        <w:keepNext/>
        <w:keepLines/>
        <w:pageBreakBefore w:val="0"/>
        <w:widowControl w:val="0"/>
        <w:numPr>
          <w:ilvl w:val="0"/>
          <w:numId w:val="1"/>
        </w:numPr>
        <w:kinsoku/>
        <w:wordWrap/>
        <w:overflowPunct/>
        <w:topLinePunct w:val="0"/>
        <w:autoSpaceDE/>
        <w:autoSpaceDN/>
        <w:bidi w:val="0"/>
        <w:adjustRightInd w:val="0"/>
        <w:snapToGrid w:val="0"/>
        <w:spacing w:before="0" w:beforeLines="0" w:after="0" w:afterLines="0" w:line="360" w:lineRule="auto"/>
        <w:ind w:right="0" w:rightChars="0" w:firstLine="562" w:firstLineChars="200"/>
        <w:jc w:val="both"/>
        <w:textAlignment w:val="auto"/>
        <w:rPr>
          <w:rFonts w:hint="eastAsia"/>
          <w:lang w:val="en-US" w:eastAsia="zh-CN"/>
        </w:rPr>
      </w:pPr>
      <w:bookmarkStart w:id="29" w:name="_Toc18369_WPSOffice_Level3"/>
      <w:r>
        <w:rPr>
          <w:rFonts w:hint="eastAsia" w:asciiTheme="minorEastAsia" w:hAnsiTheme="minorEastAsia" w:eastAsiaTheme="minorEastAsia" w:cstheme="minorEastAsia"/>
          <w:sz w:val="28"/>
          <w:szCs w:val="28"/>
          <w:lang w:val="en-US" w:eastAsia="zh-CN"/>
        </w:rPr>
        <w:t>资</w:t>
      </w:r>
      <w:r>
        <w:rPr>
          <w:rFonts w:hint="eastAsia"/>
          <w:sz w:val="28"/>
          <w:szCs w:val="28"/>
          <w:lang w:val="en-US" w:eastAsia="zh-CN"/>
        </w:rPr>
        <w:t>金使用</w:t>
      </w:r>
      <w:bookmarkEnd w:id="2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lang w:val="en-US" w:eastAsia="zh-CN"/>
        </w:rPr>
      </w:pPr>
      <w:bookmarkStart w:id="30" w:name="_Toc9765"/>
      <w:bookmarkStart w:id="31" w:name="_Toc1164"/>
      <w:bookmarkStart w:id="32" w:name="_Toc29376"/>
      <w:r>
        <w:rPr>
          <w:rFonts w:hint="eastAsia" w:ascii="宋体" w:hAnsi="宋体" w:eastAsia="宋体" w:cs="宋体"/>
          <w:i w:val="0"/>
          <w:caps w:val="0"/>
          <w:color w:val="auto"/>
          <w:spacing w:val="0"/>
          <w:kern w:val="0"/>
          <w:sz w:val="28"/>
          <w:szCs w:val="28"/>
          <w:shd w:val="clear" w:fill="FFFFFF"/>
          <w:lang w:val="en-US" w:eastAsia="zh-CN" w:bidi="ar"/>
        </w:rPr>
        <w:t>2021年中央支持地方公共文化服务体系建设专项资金，信阳市财政</w:t>
      </w:r>
      <w:r>
        <w:rPr>
          <w:rFonts w:hint="eastAsia" w:ascii="宋体" w:hAnsi="宋体" w:cs="宋体"/>
          <w:i w:val="0"/>
          <w:caps w:val="0"/>
          <w:color w:val="auto"/>
          <w:spacing w:val="0"/>
          <w:kern w:val="0"/>
          <w:sz w:val="28"/>
          <w:szCs w:val="28"/>
          <w:shd w:val="clear" w:fill="FFFFFF"/>
          <w:lang w:val="en-US" w:eastAsia="zh-CN" w:bidi="ar"/>
        </w:rPr>
        <w:t>局和信阳市文化广电和旅游局按照因素分配法和项目管理相结合，将25,560,000.00</w:t>
      </w:r>
      <w:r>
        <w:rPr>
          <w:rFonts w:hint="eastAsia" w:ascii="宋体" w:hAnsi="宋体" w:eastAsia="宋体" w:cs="宋体"/>
          <w:i w:val="0"/>
          <w:caps w:val="0"/>
          <w:color w:val="auto"/>
          <w:spacing w:val="0"/>
          <w:kern w:val="0"/>
          <w:sz w:val="28"/>
          <w:szCs w:val="28"/>
          <w:shd w:val="clear" w:fill="FFFFFF"/>
          <w:lang w:val="en-US" w:eastAsia="zh-CN" w:bidi="ar"/>
        </w:rPr>
        <w:t>元</w:t>
      </w:r>
      <w:r>
        <w:rPr>
          <w:rFonts w:hint="eastAsia" w:ascii="宋体" w:hAnsi="宋体" w:cs="宋体"/>
          <w:i w:val="0"/>
          <w:caps w:val="0"/>
          <w:color w:val="auto"/>
          <w:spacing w:val="0"/>
          <w:kern w:val="0"/>
          <w:sz w:val="28"/>
          <w:szCs w:val="28"/>
          <w:shd w:val="clear" w:fill="FFFFFF"/>
          <w:lang w:val="en-US" w:eastAsia="zh-CN" w:bidi="ar"/>
        </w:rPr>
        <w:t>资金分配到了7个单位和13个县区</w:t>
      </w:r>
      <w:r>
        <w:rPr>
          <w:rFonts w:hint="eastAsia" w:ascii="宋体" w:hAnsi="宋体" w:eastAsia="宋体" w:cs="宋体"/>
          <w:i w:val="0"/>
          <w:caps w:val="0"/>
          <w:color w:val="auto"/>
          <w:spacing w:val="0"/>
          <w:kern w:val="0"/>
          <w:sz w:val="28"/>
          <w:szCs w:val="28"/>
          <w:shd w:val="clear" w:fill="FFFFFF"/>
          <w:lang w:val="en-US" w:eastAsia="zh-CN" w:bidi="ar"/>
        </w:rPr>
        <w:t>，全部用于地方公共文化服务体系建设</w:t>
      </w:r>
      <w:bookmarkEnd w:id="30"/>
      <w:bookmarkEnd w:id="31"/>
      <w:bookmarkEnd w:id="32"/>
      <w:r>
        <w:rPr>
          <w:rFonts w:hint="eastAsia" w:ascii="宋体" w:hAnsi="宋体" w:cs="宋体"/>
          <w:i w:val="0"/>
          <w:caps w:val="0"/>
          <w:color w:val="auto"/>
          <w:spacing w:val="0"/>
          <w:kern w:val="0"/>
          <w:sz w:val="28"/>
          <w:szCs w:val="28"/>
          <w:shd w:val="clear" w:fill="FFFFFF"/>
          <w:lang w:val="en-US" w:eastAsia="zh-CN" w:bidi="ar"/>
        </w:rPr>
        <w:t>。</w:t>
      </w:r>
    </w:p>
    <w:p>
      <w:pPr>
        <w:pStyle w:val="8"/>
        <w:keepNext/>
        <w:keepLines/>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color w:val="auto"/>
          <w:sz w:val="28"/>
          <w:szCs w:val="28"/>
        </w:rPr>
      </w:pPr>
      <w:bookmarkStart w:id="33" w:name="_Toc483573547"/>
      <w:bookmarkEnd w:id="33"/>
      <w:bookmarkStart w:id="34" w:name="_Toc9211"/>
      <w:bookmarkStart w:id="35" w:name="_Toc25917_WPSOffice_Level2"/>
      <w:r>
        <w:rPr>
          <w:rFonts w:hint="eastAsia"/>
          <w:color w:val="auto"/>
          <w:sz w:val="28"/>
          <w:szCs w:val="28"/>
          <w:lang w:val="en-US" w:eastAsia="zh-CN"/>
        </w:rPr>
        <w:t>（二）项目绩效目标</w:t>
      </w:r>
      <w:bookmarkEnd w:id="34"/>
      <w:bookmarkEnd w:id="35"/>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项目年度目标：</w:t>
      </w:r>
      <w:bookmarkStart w:id="36" w:name="_Toc483573548"/>
      <w:bookmarkEnd w:id="36"/>
      <w:r>
        <w:rPr>
          <w:rFonts w:hint="eastAsia" w:ascii="宋体" w:hAnsi="宋体" w:eastAsia="宋体" w:cs="宋体"/>
          <w:i w:val="0"/>
          <w:caps w:val="0"/>
          <w:color w:val="auto"/>
          <w:spacing w:val="0"/>
          <w:kern w:val="0"/>
          <w:sz w:val="28"/>
          <w:szCs w:val="28"/>
          <w:shd w:val="clear" w:fill="FFFFFF"/>
          <w:lang w:val="en-US" w:eastAsia="zh-CN" w:bidi="ar"/>
        </w:rPr>
        <w:t>引导和支持地方提供基本公共文化服务项目，改善基层公共文化体育设施条件，加强基层公共文化服务人才队伍建设等，支持加快构建现代公共文化服务体系，促进基本公共文化服务标准化、均等化。保障广大群众读书看报、观看电视、观赏电影、进行文化鉴赏、开展文化体育活动等基本文化群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0"/>
        <w:rPr>
          <w:rFonts w:hint="eastAsia"/>
          <w:sz w:val="28"/>
          <w:szCs w:val="28"/>
          <w:lang w:val="en-US" w:eastAsia="zh-CN"/>
        </w:rPr>
      </w:pPr>
      <w:bookmarkStart w:id="37" w:name="_Toc5730_WPSOffice_Level1"/>
      <w:bookmarkStart w:id="38" w:name="_Toc24294"/>
      <w:r>
        <w:rPr>
          <w:rFonts w:hint="eastAsia"/>
          <w:b/>
          <w:bCs/>
          <w:sz w:val="28"/>
          <w:szCs w:val="28"/>
          <w:lang w:val="en-US" w:eastAsia="zh-CN"/>
        </w:rPr>
        <w:t>二、绩效评价工作开展情况</w:t>
      </w:r>
      <w:bookmarkEnd w:id="37"/>
      <w:bookmarkEnd w:id="38"/>
      <w:bookmarkStart w:id="39" w:name="_Toc483573551"/>
      <w:bookmarkEnd w:id="39"/>
      <w:bookmarkStart w:id="40" w:name="_Toc403599250"/>
      <w:bookmarkEnd w:id="40"/>
      <w:bookmarkStart w:id="41" w:name="_Toc27604"/>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1"/>
        <w:rPr>
          <w:rFonts w:hint="eastAsia"/>
          <w:b/>
          <w:bCs/>
          <w:sz w:val="28"/>
          <w:szCs w:val="28"/>
          <w:lang w:val="en-US" w:eastAsia="zh-CN"/>
        </w:rPr>
      </w:pPr>
      <w:bookmarkStart w:id="42" w:name="_Toc10320_WPSOffice_Level2"/>
      <w:r>
        <w:rPr>
          <w:rFonts w:hint="eastAsia"/>
          <w:b/>
          <w:bCs/>
          <w:sz w:val="28"/>
          <w:szCs w:val="28"/>
          <w:lang w:val="en-US" w:eastAsia="zh-CN"/>
        </w:rPr>
        <w:t>（一）绩效评价目的</w:t>
      </w:r>
      <w:bookmarkEnd w:id="41"/>
      <w:r>
        <w:rPr>
          <w:rFonts w:hint="eastAsia"/>
          <w:b/>
          <w:bCs/>
          <w:sz w:val="28"/>
          <w:szCs w:val="28"/>
          <w:lang w:val="en-US" w:eastAsia="zh-CN"/>
        </w:rPr>
        <w:t>、对象和范围</w:t>
      </w:r>
      <w:bookmarkEnd w:id="4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eastAsia"/>
          <w:b/>
          <w:bCs/>
          <w:sz w:val="28"/>
          <w:szCs w:val="28"/>
          <w:lang w:val="en-US" w:eastAsia="zh-CN"/>
        </w:rPr>
      </w:pPr>
      <w:bookmarkStart w:id="43" w:name="_Toc4262_WPSOffice_Level3"/>
      <w:r>
        <w:rPr>
          <w:rFonts w:hint="eastAsia" w:asciiTheme="minorEastAsia" w:hAnsiTheme="minorEastAsia" w:eastAsiaTheme="minorEastAsia" w:cstheme="minorEastAsia"/>
          <w:b/>
          <w:bCs/>
          <w:sz w:val="28"/>
          <w:szCs w:val="28"/>
          <w:lang w:val="en-US" w:eastAsia="zh-CN"/>
        </w:rPr>
        <w:t>1.绩效</w:t>
      </w:r>
      <w:r>
        <w:rPr>
          <w:rFonts w:hint="eastAsia"/>
          <w:b/>
          <w:bCs/>
          <w:sz w:val="28"/>
          <w:szCs w:val="28"/>
          <w:lang w:val="en-US" w:eastAsia="zh-CN"/>
        </w:rPr>
        <w:t>目的</w:t>
      </w:r>
      <w:bookmarkEnd w:id="43"/>
      <w:bookmarkStart w:id="44" w:name="_Toc483573549"/>
      <w:bookmarkEnd w:id="44"/>
      <w:bookmarkStart w:id="45" w:name="_Toc483573550"/>
      <w:bookmarkEnd w:id="45"/>
      <w:bookmarkStart w:id="46" w:name="_Toc687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通过绩效评价，了解和掌握项目实施的具体情况，评价其项目资金安排的科学性、合理性、规范性和资金使用成效，及时总结项目管理经验，完善项目管理办法，提高项目管理水平和资金的使用效益</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为项目后续资金投入、分配和管理提供决策依据。</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sz w:val="28"/>
          <w:szCs w:val="28"/>
          <w:lang w:val="en-US" w:eastAsia="zh-CN"/>
        </w:rPr>
      </w:pPr>
      <w:bookmarkStart w:id="47" w:name="_Toc13095_WPSOffice_Level3"/>
      <w:r>
        <w:rPr>
          <w:rFonts w:hint="eastAsia" w:asciiTheme="minorEastAsia" w:hAnsiTheme="minorEastAsia" w:eastAsiaTheme="minorEastAsia" w:cstheme="minorEastAsia"/>
          <w:sz w:val="28"/>
          <w:szCs w:val="28"/>
          <w:lang w:val="en-US" w:eastAsia="zh-CN"/>
        </w:rPr>
        <w:t>2.绩效对</w:t>
      </w:r>
      <w:r>
        <w:rPr>
          <w:rFonts w:hint="eastAsia"/>
          <w:sz w:val="28"/>
          <w:szCs w:val="28"/>
          <w:lang w:val="en-US" w:eastAsia="zh-CN"/>
        </w:rPr>
        <w:t>象及范围</w:t>
      </w:r>
      <w:bookmarkEnd w:id="4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本项目支出绩效评价是以信阳市文化广电和旅游局2021年中央支持地方公共文化服务体系建设</w:t>
      </w:r>
      <w:r>
        <w:rPr>
          <w:rFonts w:hint="eastAsia" w:ascii="宋体" w:hAnsi="宋体" w:cs="宋体"/>
          <w:i w:val="0"/>
          <w:caps w:val="0"/>
          <w:color w:val="auto"/>
          <w:spacing w:val="0"/>
          <w:kern w:val="0"/>
          <w:sz w:val="28"/>
          <w:szCs w:val="28"/>
          <w:shd w:val="clear" w:fill="FFFFFF"/>
          <w:lang w:val="en-US" w:eastAsia="zh-CN" w:bidi="ar"/>
        </w:rPr>
        <w:t>专项</w:t>
      </w:r>
      <w:r>
        <w:rPr>
          <w:rFonts w:hint="eastAsia" w:ascii="宋体" w:hAnsi="宋体" w:eastAsia="宋体" w:cs="宋体"/>
          <w:i w:val="0"/>
          <w:caps w:val="0"/>
          <w:color w:val="auto"/>
          <w:spacing w:val="0"/>
          <w:kern w:val="0"/>
          <w:sz w:val="28"/>
          <w:szCs w:val="28"/>
          <w:shd w:val="clear" w:fill="FFFFFF"/>
          <w:lang w:val="en-US" w:eastAsia="zh-CN" w:bidi="ar"/>
        </w:rPr>
        <w:t>资金为对象，以项目实施所带来的产出和效果为主要内容，以促进预算单位完成特定工作任务或事业发展目标所开展的绩效评价。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结合2021年中央支持地方公共文化服务体系建设</w:t>
      </w:r>
      <w:r>
        <w:rPr>
          <w:rFonts w:hint="eastAsia" w:ascii="宋体" w:hAnsi="宋体" w:cs="宋体"/>
          <w:i w:val="0"/>
          <w:caps w:val="0"/>
          <w:color w:val="auto"/>
          <w:spacing w:val="0"/>
          <w:kern w:val="0"/>
          <w:sz w:val="28"/>
          <w:szCs w:val="28"/>
          <w:shd w:val="clear" w:fill="FFFFFF"/>
          <w:lang w:val="en-US" w:eastAsia="zh-CN" w:bidi="ar"/>
        </w:rPr>
        <w:t>项目</w:t>
      </w:r>
      <w:r>
        <w:rPr>
          <w:rFonts w:hint="eastAsia" w:ascii="宋体" w:hAnsi="宋体" w:eastAsia="宋体" w:cs="宋体"/>
          <w:i w:val="0"/>
          <w:caps w:val="0"/>
          <w:color w:val="auto"/>
          <w:spacing w:val="0"/>
          <w:kern w:val="0"/>
          <w:sz w:val="28"/>
          <w:szCs w:val="28"/>
          <w:shd w:val="clear" w:fill="FFFFFF"/>
          <w:lang w:val="en-US" w:eastAsia="zh-CN" w:bidi="ar"/>
        </w:rPr>
        <w:t>实际情况，</w:t>
      </w:r>
      <w:r>
        <w:rPr>
          <w:rFonts w:hint="eastAsia" w:ascii="宋体" w:hAnsi="宋体" w:cs="宋体"/>
          <w:i w:val="0"/>
          <w:caps w:val="0"/>
          <w:color w:val="auto"/>
          <w:spacing w:val="0"/>
          <w:kern w:val="0"/>
          <w:sz w:val="28"/>
          <w:szCs w:val="28"/>
          <w:shd w:val="clear" w:fill="FFFFFF"/>
          <w:lang w:val="en-US" w:eastAsia="zh-CN" w:bidi="ar"/>
        </w:rPr>
        <w:t>从</w:t>
      </w:r>
      <w:r>
        <w:rPr>
          <w:rFonts w:hint="eastAsia" w:ascii="宋体" w:hAnsi="宋体" w:eastAsia="宋体" w:cs="宋体"/>
          <w:i w:val="0"/>
          <w:caps w:val="0"/>
          <w:color w:val="auto"/>
          <w:spacing w:val="0"/>
          <w:kern w:val="0"/>
          <w:sz w:val="28"/>
          <w:szCs w:val="28"/>
          <w:shd w:val="clear" w:fill="FFFFFF"/>
          <w:lang w:val="en-US" w:eastAsia="zh-CN" w:bidi="ar"/>
        </w:rPr>
        <w:t>项目组织、管理及流程方面</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项目资金使用方面</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实施结果方面</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效益方面</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可持续影响方面</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社会影响程度进行分析评价</w:t>
      </w:r>
      <w:r>
        <w:rPr>
          <w:rFonts w:hint="eastAsia" w:ascii="宋体" w:hAnsi="宋体" w:cs="宋体"/>
          <w:i w:val="0"/>
          <w:caps w:val="0"/>
          <w:color w:val="auto"/>
          <w:spacing w:val="0"/>
          <w:kern w:val="0"/>
          <w:sz w:val="28"/>
          <w:szCs w:val="28"/>
          <w:shd w:val="clear" w:fill="FFFFFF"/>
          <w:lang w:val="en-US" w:eastAsia="zh-CN" w:bidi="ar"/>
        </w:rPr>
        <w:t>等</w:t>
      </w:r>
      <w:r>
        <w:rPr>
          <w:rFonts w:hint="eastAsia" w:ascii="宋体" w:hAnsi="宋体" w:eastAsia="宋体" w:cs="宋体"/>
          <w:i w:val="0"/>
          <w:caps w:val="0"/>
          <w:color w:val="auto"/>
          <w:spacing w:val="0"/>
          <w:kern w:val="0"/>
          <w:sz w:val="28"/>
          <w:szCs w:val="28"/>
          <w:shd w:val="clear" w:fill="FFFFFF"/>
          <w:lang w:val="en-US" w:eastAsia="zh-CN" w:bidi="ar"/>
        </w:rPr>
        <w:t>进一步细化评价具体内容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rFonts w:hint="default" w:ascii="宋体" w:hAnsi="宋体" w:eastAsia="宋体" w:cs="宋体"/>
          <w:b/>
          <w:bCs/>
          <w:i w:val="0"/>
          <w:caps w:val="0"/>
          <w:color w:val="auto"/>
          <w:spacing w:val="0"/>
          <w:kern w:val="0"/>
          <w:sz w:val="28"/>
          <w:szCs w:val="28"/>
          <w:shd w:val="clear" w:fill="FFFFFF"/>
          <w:lang w:val="en-US" w:eastAsia="zh-CN" w:bidi="ar"/>
        </w:rPr>
      </w:pPr>
      <w:bookmarkStart w:id="48" w:name="_Toc1798_WPSOffice_Level3"/>
      <w:r>
        <w:rPr>
          <w:rFonts w:hint="eastAsia" w:ascii="宋体" w:hAnsi="宋体" w:cs="宋体"/>
          <w:b/>
          <w:bCs/>
          <w:i w:val="0"/>
          <w:caps w:val="0"/>
          <w:color w:val="auto"/>
          <w:spacing w:val="0"/>
          <w:kern w:val="0"/>
          <w:sz w:val="28"/>
          <w:szCs w:val="28"/>
          <w:shd w:val="clear" w:fill="FFFFFF"/>
          <w:lang w:val="en-US" w:eastAsia="zh-CN" w:bidi="ar"/>
        </w:rPr>
        <w:t>3.绩效评价工作时间</w:t>
      </w:r>
      <w:bookmarkEnd w:id="4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本项目绩效评价工作时间是2022年10月8日至2022年11月30日。</w:t>
      </w:r>
      <w:bookmarkEnd w:id="46"/>
      <w:bookmarkStart w:id="49" w:name="_Toc483573553"/>
      <w:bookmarkEnd w:id="49"/>
      <w:bookmarkStart w:id="50" w:name="_Toc11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2" w:firstLineChars="200"/>
        <w:jc w:val="both"/>
        <w:textAlignment w:val="auto"/>
        <w:outlineLvl w:val="1"/>
        <w:rPr>
          <w:rFonts w:hint="eastAsia"/>
          <w:b/>
          <w:bCs/>
          <w:sz w:val="28"/>
          <w:szCs w:val="28"/>
          <w:lang w:val="en-US" w:eastAsia="zh-CN"/>
        </w:rPr>
      </w:pPr>
      <w:bookmarkStart w:id="51" w:name="_Toc5730_WPSOffice_Level2"/>
      <w:r>
        <w:rPr>
          <w:rFonts w:hint="eastAsia"/>
          <w:b/>
          <w:bCs/>
          <w:sz w:val="28"/>
          <w:szCs w:val="28"/>
          <w:lang w:val="en-US" w:eastAsia="zh-CN"/>
        </w:rPr>
        <w:t>（二）绩效评价</w:t>
      </w:r>
      <w:bookmarkEnd w:id="50"/>
      <w:r>
        <w:rPr>
          <w:rFonts w:hint="eastAsia"/>
          <w:b/>
          <w:bCs/>
          <w:sz w:val="28"/>
          <w:szCs w:val="28"/>
          <w:lang w:val="en-US" w:eastAsia="zh-CN"/>
        </w:rPr>
        <w:t>原则、指标体系、方法和标准</w:t>
      </w:r>
      <w:bookmarkEnd w:id="5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right="0" w:rightChars="0" w:firstLine="562" w:firstLineChars="200"/>
        <w:jc w:val="both"/>
        <w:textAlignment w:val="auto"/>
        <w:rPr>
          <w:rFonts w:hint="eastAsia"/>
          <w:b/>
          <w:bCs/>
          <w:sz w:val="28"/>
          <w:szCs w:val="28"/>
          <w:lang w:val="en-US" w:eastAsia="zh-CN"/>
        </w:rPr>
      </w:pPr>
      <w:bookmarkStart w:id="52" w:name="_Toc121_WPSOffice_Level3"/>
      <w:r>
        <w:rPr>
          <w:rFonts w:hint="eastAsia" w:asciiTheme="minorEastAsia" w:hAnsiTheme="minorEastAsia" w:eastAsiaTheme="minorEastAsia" w:cstheme="minorEastAsia"/>
          <w:b/>
          <w:bCs/>
          <w:sz w:val="28"/>
          <w:szCs w:val="28"/>
          <w:lang w:val="en-US" w:eastAsia="zh-CN"/>
        </w:rPr>
        <w:t>1.绩效</w:t>
      </w:r>
      <w:r>
        <w:rPr>
          <w:rFonts w:hint="eastAsia"/>
          <w:b/>
          <w:bCs/>
          <w:sz w:val="28"/>
          <w:szCs w:val="28"/>
          <w:lang w:val="en-US" w:eastAsia="zh-CN"/>
        </w:rPr>
        <w:t>评价原则</w:t>
      </w:r>
      <w:bookmarkEnd w:id="5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（1）科学规范原则。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 xml:space="preserve">（2）政策相符原则。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（3）绩效相关原则。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（4）依据充分原则。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（5）公正公开原则。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（6）独立评价原则。</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bookmarkStart w:id="53" w:name="_Toc32608_WPSOffice_Level3"/>
      <w:bookmarkStart w:id="54" w:name="_Toc19368"/>
      <w:r>
        <w:rPr>
          <w:rFonts w:hint="eastAsia" w:asciiTheme="minorEastAsia" w:hAnsiTheme="minorEastAsia" w:eastAsiaTheme="minorEastAsia" w:cstheme="minorEastAsia"/>
          <w:sz w:val="28"/>
          <w:szCs w:val="28"/>
          <w:lang w:val="en-US" w:eastAsia="zh-CN"/>
        </w:rPr>
        <w:t>2.绩效评价指标体系</w:t>
      </w:r>
      <w:bookmarkEnd w:id="53"/>
      <w:bookmarkEnd w:id="54"/>
    </w:p>
    <w:p>
      <w:pPr>
        <w:pStyle w:val="1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（1）评价指标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第一步，采用层</w:t>
      </w:r>
      <w:r>
        <w:rPr>
          <w:rFonts w:hint="eastAsia" w:ascii="宋体" w:hAnsi="宋体" w:eastAsia="宋体" w:cs="宋体"/>
          <w:i w:val="0"/>
          <w:caps w:val="0"/>
          <w:color w:val="auto"/>
          <w:spacing w:val="0"/>
          <w:kern w:val="0"/>
          <w:sz w:val="28"/>
          <w:szCs w:val="28"/>
          <w:shd w:val="clear" w:fill="FFFFFF"/>
          <w:lang w:val="en-US" w:eastAsia="zh-CN" w:bidi="ar"/>
        </w:rPr>
        <w:t>次分析法，</w:t>
      </w:r>
      <w:r>
        <w:rPr>
          <w:rFonts w:hint="eastAsia" w:ascii="宋体" w:hAnsi="宋体" w:cs="宋体"/>
          <w:i w:val="0"/>
          <w:caps w:val="0"/>
          <w:color w:val="auto"/>
          <w:spacing w:val="0"/>
          <w:kern w:val="0"/>
          <w:sz w:val="28"/>
          <w:szCs w:val="28"/>
          <w:shd w:val="clear" w:fill="FFFFFF"/>
          <w:lang w:val="en-US" w:eastAsia="zh-CN" w:bidi="ar"/>
        </w:rPr>
        <w:t>设立</w:t>
      </w:r>
      <w:r>
        <w:rPr>
          <w:rFonts w:hint="eastAsia" w:ascii="宋体" w:hAnsi="宋体" w:eastAsia="宋体" w:cs="宋体"/>
          <w:i w:val="0"/>
          <w:caps w:val="0"/>
          <w:color w:val="auto"/>
          <w:spacing w:val="0"/>
          <w:kern w:val="0"/>
          <w:sz w:val="28"/>
          <w:szCs w:val="28"/>
          <w:shd w:val="clear" w:fill="FFFFFF"/>
          <w:lang w:val="en-US" w:eastAsia="zh-CN" w:bidi="ar"/>
        </w:rPr>
        <w:t>评价指标库。绩效评价将指标分为决策、过程、产出和</w:t>
      </w:r>
      <w:r>
        <w:rPr>
          <w:rFonts w:hint="eastAsia" w:ascii="宋体" w:hAnsi="宋体" w:cs="宋体"/>
          <w:i w:val="0"/>
          <w:caps w:val="0"/>
          <w:color w:val="auto"/>
          <w:spacing w:val="0"/>
          <w:kern w:val="0"/>
          <w:sz w:val="28"/>
          <w:szCs w:val="28"/>
          <w:shd w:val="clear" w:fill="FFFFFF"/>
          <w:lang w:val="en-US" w:eastAsia="zh-CN" w:bidi="ar"/>
        </w:rPr>
        <w:t>效益</w:t>
      </w:r>
      <w:r>
        <w:rPr>
          <w:rFonts w:hint="eastAsia" w:ascii="宋体" w:hAnsi="宋体" w:eastAsia="宋体" w:cs="宋体"/>
          <w:i w:val="0"/>
          <w:caps w:val="0"/>
          <w:color w:val="auto"/>
          <w:spacing w:val="0"/>
          <w:kern w:val="0"/>
          <w:sz w:val="28"/>
          <w:szCs w:val="28"/>
          <w:shd w:val="clear" w:fill="FFFFFF"/>
          <w:lang w:val="en-US" w:eastAsia="zh-CN" w:bidi="ar"/>
        </w:rPr>
        <w:t>四个层次，最终形成一个由多个相互联系的指标组成的多层次指标体系。第二步，采用专家调查法，确定评价指标。评价指标体系建立后，邀请专家对指标库中的指标进行分析、权衡、补充、选择，最后确定评价指标。在</w:t>
      </w:r>
      <w:r>
        <w:rPr>
          <w:rFonts w:hint="eastAsia" w:ascii="宋体" w:hAnsi="宋体" w:cs="宋体"/>
          <w:i w:val="0"/>
          <w:caps w:val="0"/>
          <w:color w:val="auto"/>
          <w:spacing w:val="0"/>
          <w:kern w:val="0"/>
          <w:sz w:val="28"/>
          <w:szCs w:val="28"/>
          <w:highlight w:val="none"/>
          <w:shd w:val="clear" w:fill="FFFFFF"/>
          <w:lang w:val="en-US" w:eastAsia="zh-CN" w:bidi="ar"/>
        </w:rPr>
        <w:t>这</w:t>
      </w:r>
      <w:r>
        <w:rPr>
          <w:rFonts w:hint="eastAsia" w:ascii="宋体" w:hAnsi="宋体" w:eastAsia="宋体" w:cs="宋体"/>
          <w:i w:val="0"/>
          <w:caps w:val="0"/>
          <w:color w:val="auto"/>
          <w:spacing w:val="0"/>
          <w:kern w:val="0"/>
          <w:sz w:val="28"/>
          <w:szCs w:val="28"/>
          <w:shd w:val="clear" w:fill="FFFFFF"/>
          <w:lang w:val="en-US" w:eastAsia="zh-CN" w:bidi="ar"/>
        </w:rPr>
        <w:t>些基础上最终形成2021年中央支持地方公共文化服务体系建设</w:t>
      </w:r>
      <w:r>
        <w:rPr>
          <w:rFonts w:hint="eastAsia" w:ascii="宋体" w:hAnsi="宋体" w:cs="宋体"/>
          <w:i w:val="0"/>
          <w:caps w:val="0"/>
          <w:color w:val="auto"/>
          <w:spacing w:val="0"/>
          <w:kern w:val="0"/>
          <w:sz w:val="28"/>
          <w:szCs w:val="28"/>
          <w:shd w:val="clear" w:fill="FFFFFF"/>
          <w:lang w:val="en-US" w:eastAsia="zh-CN" w:bidi="ar"/>
        </w:rPr>
        <w:t>项目</w:t>
      </w:r>
      <w:r>
        <w:rPr>
          <w:rFonts w:hint="eastAsia" w:ascii="宋体" w:hAnsi="宋体" w:eastAsia="宋体" w:cs="宋体"/>
          <w:i w:val="0"/>
          <w:caps w:val="0"/>
          <w:color w:val="auto"/>
          <w:spacing w:val="0"/>
          <w:kern w:val="0"/>
          <w:sz w:val="28"/>
          <w:szCs w:val="28"/>
          <w:shd w:val="clear" w:fill="FFFFFF"/>
          <w:lang w:val="en-US" w:eastAsia="zh-CN" w:bidi="ar"/>
        </w:rPr>
        <w:t>绩效评价指标体系，设置了4个一级指标、1</w:t>
      </w: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个二级指标、</w:t>
      </w:r>
      <w:r>
        <w:rPr>
          <w:rFonts w:hint="eastAsia" w:ascii="宋体" w:hAnsi="宋体" w:cs="宋体"/>
          <w:i w:val="0"/>
          <w:caps w:val="0"/>
          <w:color w:val="auto"/>
          <w:spacing w:val="0"/>
          <w:kern w:val="0"/>
          <w:sz w:val="28"/>
          <w:szCs w:val="28"/>
          <w:shd w:val="clear" w:fill="FFFFFF"/>
          <w:lang w:val="en-US" w:eastAsia="zh-CN" w:bidi="ar"/>
        </w:rPr>
        <w:t>26</w:t>
      </w:r>
      <w:r>
        <w:rPr>
          <w:rFonts w:hint="eastAsia" w:ascii="宋体" w:hAnsi="宋体" w:eastAsia="宋体" w:cs="宋体"/>
          <w:i w:val="0"/>
          <w:caps w:val="0"/>
          <w:color w:val="auto"/>
          <w:spacing w:val="0"/>
          <w:kern w:val="0"/>
          <w:sz w:val="28"/>
          <w:szCs w:val="28"/>
          <w:shd w:val="clear" w:fill="FFFFFF"/>
          <w:lang w:val="en-US" w:eastAsia="zh-CN" w:bidi="ar"/>
        </w:rPr>
        <w:t>个三级指标。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rPr>
          <w:b/>
          <w:bCs/>
          <w:sz w:val="28"/>
          <w:szCs w:val="28"/>
        </w:rPr>
      </w:pPr>
      <w:r>
        <w:rPr>
          <w:rFonts w:hint="eastAsia"/>
          <w:b/>
          <w:bCs/>
          <w:sz w:val="28"/>
          <w:szCs w:val="28"/>
          <w:lang w:val="en-US" w:eastAsia="zh-CN"/>
        </w:rPr>
        <w:t>（2）权重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根据本项目特点及各指标维度、类别考评内容，并参考了评价领导小组及项目实施单位的意见，最终确定各个指标相对于项目总体绩效的权重分值。最终确定的项目决策权重为15%，项目过程权重值占</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0%，项目产出权重值占</w:t>
      </w: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5%，项目效益权重值占30%。</w:t>
      </w:r>
    </w:p>
    <w:p>
      <w:pPr>
        <w:pStyle w:val="1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55" w:name="_1460038730"/>
      <w:bookmarkEnd w:id="55"/>
      <w:bookmarkStart w:id="56" w:name="_1460038655"/>
      <w:bookmarkEnd w:id="56"/>
      <w:bookmarkStart w:id="57" w:name="_1460038659"/>
      <w:bookmarkEnd w:id="57"/>
      <w:bookmarkStart w:id="58" w:name="_1460038687"/>
      <w:bookmarkEnd w:id="58"/>
      <w:bookmarkStart w:id="59" w:name="_1460038714"/>
      <w:bookmarkEnd w:id="59"/>
      <w:bookmarkStart w:id="60" w:name="_1460181815"/>
      <w:bookmarkEnd w:id="60"/>
      <w:r>
        <w:rPr>
          <w:rFonts w:hint="eastAsia"/>
          <w:sz w:val="28"/>
          <w:szCs w:val="28"/>
          <w:lang w:val="en-US" w:eastAsia="zh-CN"/>
        </w:rPr>
        <w:t>（3）指标目标值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color w:val="auto"/>
          <w:sz w:val="28"/>
          <w:szCs w:val="28"/>
          <w:highlight w:val="none"/>
        </w:rPr>
      </w:pPr>
      <w:r>
        <w:rPr>
          <w:rFonts w:hint="eastAsia" w:ascii="宋体" w:hAnsi="宋体" w:eastAsia="宋体" w:cs="宋体"/>
          <w:i w:val="0"/>
          <w:caps w:val="0"/>
          <w:color w:val="auto"/>
          <w:spacing w:val="0"/>
          <w:kern w:val="0"/>
          <w:sz w:val="28"/>
          <w:szCs w:val="28"/>
          <w:shd w:val="clear" w:fill="FFFFFF"/>
          <w:lang w:val="en-US" w:eastAsia="zh-CN" w:bidi="ar"/>
        </w:rPr>
        <w:t>指标目标值是绩效评价指标的尺度，既要反映同类项目的先进水平，又要符合项目的实际绩效水平。2021年中央支持地方公共文化服务体系建设</w:t>
      </w:r>
      <w:r>
        <w:rPr>
          <w:rFonts w:hint="eastAsia" w:ascii="宋体" w:hAnsi="宋体" w:cs="宋体"/>
          <w:i w:val="0"/>
          <w:caps w:val="0"/>
          <w:color w:val="auto"/>
          <w:spacing w:val="0"/>
          <w:kern w:val="0"/>
          <w:sz w:val="28"/>
          <w:szCs w:val="28"/>
          <w:shd w:val="clear" w:fill="FFFFFF"/>
          <w:lang w:val="en-US" w:eastAsia="zh-CN" w:bidi="ar"/>
        </w:rPr>
        <w:t>项目</w:t>
      </w:r>
      <w:r>
        <w:rPr>
          <w:rFonts w:hint="eastAsia" w:ascii="宋体" w:hAnsi="宋体" w:eastAsia="宋体" w:cs="宋体"/>
          <w:i w:val="0"/>
          <w:caps w:val="0"/>
          <w:color w:val="auto"/>
          <w:spacing w:val="0"/>
          <w:kern w:val="0"/>
          <w:sz w:val="28"/>
          <w:szCs w:val="28"/>
          <w:highlight w:val="none"/>
          <w:shd w:val="clear" w:fill="FFFFFF"/>
          <w:lang w:val="en-US" w:eastAsia="zh-CN" w:bidi="ar"/>
        </w:rPr>
        <w:t>绩效评价指标目标值</w:t>
      </w:r>
      <w:r>
        <w:rPr>
          <w:rFonts w:hint="eastAsia" w:ascii="宋体" w:hAnsi="宋体" w:cs="宋体"/>
          <w:i w:val="0"/>
          <w:caps w:val="0"/>
          <w:color w:val="auto"/>
          <w:spacing w:val="0"/>
          <w:kern w:val="0"/>
          <w:sz w:val="28"/>
          <w:szCs w:val="28"/>
          <w:highlight w:val="none"/>
          <w:shd w:val="clear" w:fill="FFFFFF"/>
          <w:lang w:val="en-US" w:eastAsia="zh-CN" w:bidi="ar"/>
        </w:rPr>
        <w:t>是实施方案上的数值</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pStyle w:val="1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r>
        <w:rPr>
          <w:rFonts w:hint="eastAsia"/>
          <w:sz w:val="28"/>
          <w:szCs w:val="28"/>
          <w:lang w:val="en-US" w:eastAsia="zh-CN"/>
        </w:rPr>
        <w:t>（4）绩效标准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财政支出项目绩效评价指标体系中，要根据评价标准与方法计算相应的分值。常用的评价标准主要包括计划标准、行业标准和历史标准。</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2" w:firstLineChars="200"/>
        <w:jc w:val="both"/>
        <w:textAlignment w:val="auto"/>
        <w:rPr>
          <w:rFonts w:hint="eastAsia" w:ascii="宋体" w:hAnsi="宋体" w:eastAsia="宋体" w:cs="宋体"/>
          <w:b/>
          <w:bCs/>
          <w:color w:val="000000"/>
          <w:kern w:val="0"/>
          <w:sz w:val="28"/>
          <w:szCs w:val="28"/>
          <w:lang w:val="en-US" w:eastAsia="zh-CN" w:bidi="ar"/>
        </w:rPr>
      </w:pPr>
      <w:r>
        <w:rPr>
          <w:rFonts w:hint="eastAsia" w:ascii="宋体" w:hAnsi="宋体" w:cs="宋体"/>
          <w:b/>
          <w:bCs/>
          <w:i w:val="0"/>
          <w:caps w:val="0"/>
          <w:color w:val="auto"/>
          <w:spacing w:val="0"/>
          <w:kern w:val="0"/>
          <w:sz w:val="28"/>
          <w:szCs w:val="28"/>
          <w:shd w:val="clear" w:fill="FFFFFF"/>
          <w:lang w:val="en-US" w:eastAsia="zh-CN" w:bidi="ar"/>
        </w:rPr>
        <w:t>（5）</w:t>
      </w:r>
      <w:r>
        <w:rPr>
          <w:rFonts w:hint="eastAsia" w:ascii="宋体" w:hAnsi="宋体" w:eastAsia="宋体" w:cs="宋体"/>
          <w:b/>
          <w:bCs/>
          <w:color w:val="000000"/>
          <w:kern w:val="0"/>
          <w:sz w:val="28"/>
          <w:szCs w:val="28"/>
          <w:lang w:val="en-US" w:eastAsia="zh-CN" w:bidi="ar"/>
        </w:rPr>
        <w:t>评价依据</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《中华人民共和国预算法》；</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《财政支出绩效评价管理暂行办法》（财政部财预〔2009〕76号）；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《中共中央国务院关于全面实施预算绩效管理的意见》（中发〔2018〕34号）；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4</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《中共河南省委 河南省人民政府关于全面实施预算绩效管理的实施意见》（豫发〔2019〕10号）；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5</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财政部关于印发《项目支出绩效评价管理办法》的通知（财预〔2020〕10号）；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6</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河南省财政厅关于印发《河南省省级预算项目支出绩效评价管理办法》的通知（豫财效〔2020〕10号）；</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7</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市财政局《信阳市财政局关于开展2021年度市级财政重点项目和部门整体绩效评价工作的通知》（信财效〔2022〕8号）</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default"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8）《河南省省级预算绩效目标管理办法》（预财效〔2022〕4号）。</w:t>
      </w:r>
    </w:p>
    <w:p>
      <w:pPr>
        <w:pStyle w:val="1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b/>
          <w:bCs w:val="0"/>
          <w:sz w:val="28"/>
          <w:szCs w:val="28"/>
          <w:highlight w:val="none"/>
        </w:rPr>
      </w:pPr>
      <w:r>
        <w:rPr>
          <w:rFonts w:hint="eastAsia"/>
          <w:b/>
          <w:bCs w:val="0"/>
          <w:sz w:val="28"/>
          <w:szCs w:val="28"/>
          <w:highlight w:val="none"/>
          <w:lang w:val="en-US" w:eastAsia="zh-CN"/>
        </w:rPr>
        <w:t>（6）评分细则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信阳市文化广电和旅游局2021年中央支持地方公共文化服务体系建设</w:t>
      </w:r>
      <w:r>
        <w:rPr>
          <w:rFonts w:hint="eastAsia" w:ascii="宋体" w:hAnsi="宋体" w:cs="宋体"/>
          <w:i w:val="0"/>
          <w:caps w:val="0"/>
          <w:color w:val="auto"/>
          <w:spacing w:val="0"/>
          <w:kern w:val="0"/>
          <w:sz w:val="28"/>
          <w:szCs w:val="28"/>
          <w:shd w:val="clear" w:fill="FFFFFF"/>
          <w:lang w:val="en-US" w:eastAsia="zh-CN" w:bidi="ar"/>
        </w:rPr>
        <w:t>项目</w:t>
      </w:r>
      <w:r>
        <w:rPr>
          <w:rFonts w:hint="eastAsia" w:ascii="宋体" w:hAnsi="宋体" w:cs="宋体"/>
          <w:i w:val="0"/>
          <w:caps w:val="0"/>
          <w:color w:val="auto"/>
          <w:spacing w:val="0"/>
          <w:kern w:val="0"/>
          <w:sz w:val="28"/>
          <w:szCs w:val="28"/>
          <w:highlight w:val="none"/>
          <w:shd w:val="clear" w:fill="FFFFFF"/>
          <w:lang w:val="en-US" w:eastAsia="zh-CN" w:bidi="ar"/>
        </w:rPr>
        <w:t>绩效</w:t>
      </w:r>
      <w:r>
        <w:rPr>
          <w:rFonts w:hint="eastAsia" w:ascii="宋体" w:hAnsi="宋体" w:eastAsia="宋体" w:cs="宋体"/>
          <w:i w:val="0"/>
          <w:caps w:val="0"/>
          <w:color w:val="auto"/>
          <w:spacing w:val="0"/>
          <w:kern w:val="0"/>
          <w:sz w:val="28"/>
          <w:szCs w:val="28"/>
          <w:shd w:val="clear" w:fill="FFFFFF"/>
          <w:lang w:val="en-US" w:eastAsia="zh-CN" w:bidi="ar"/>
        </w:rPr>
        <w:t>评价指标体系中</w:t>
      </w:r>
      <w:r>
        <w:rPr>
          <w:rFonts w:hint="eastAsia" w:ascii="宋体" w:hAnsi="宋体" w:cs="宋体"/>
          <w:i w:val="0"/>
          <w:caps w:val="0"/>
          <w:color w:val="auto"/>
          <w:spacing w:val="0"/>
          <w:kern w:val="0"/>
          <w:sz w:val="28"/>
          <w:szCs w:val="28"/>
          <w:shd w:val="clear" w:fill="FFFFFF"/>
          <w:lang w:val="en-US" w:eastAsia="zh-CN" w:bidi="ar"/>
        </w:rPr>
        <w:t>,三</w:t>
      </w:r>
      <w:r>
        <w:rPr>
          <w:rFonts w:hint="eastAsia" w:ascii="宋体" w:hAnsi="宋体" w:eastAsia="宋体" w:cs="宋体"/>
          <w:i w:val="0"/>
          <w:caps w:val="0"/>
          <w:color w:val="auto"/>
          <w:spacing w:val="0"/>
          <w:kern w:val="0"/>
          <w:sz w:val="28"/>
          <w:szCs w:val="28"/>
          <w:shd w:val="clear" w:fill="FFFFFF"/>
          <w:lang w:val="en-US" w:eastAsia="zh-CN" w:bidi="ar"/>
        </w:rPr>
        <w:t>级指标分值量化是</w:t>
      </w:r>
      <w:r>
        <w:rPr>
          <w:rFonts w:hint="eastAsia" w:ascii="宋体" w:hAnsi="宋体" w:cs="宋体"/>
          <w:i w:val="0"/>
          <w:caps w:val="0"/>
          <w:color w:val="auto"/>
          <w:spacing w:val="0"/>
          <w:kern w:val="0"/>
          <w:sz w:val="28"/>
          <w:szCs w:val="28"/>
          <w:shd w:val="clear" w:fill="FFFFFF"/>
          <w:lang w:val="en-US" w:eastAsia="zh-CN" w:bidi="ar"/>
        </w:rPr>
        <w:t>在</w:t>
      </w:r>
      <w:r>
        <w:rPr>
          <w:rFonts w:hint="eastAsia" w:ascii="宋体" w:hAnsi="宋体" w:eastAsia="宋体" w:cs="宋体"/>
          <w:i w:val="0"/>
          <w:caps w:val="0"/>
          <w:color w:val="auto"/>
          <w:spacing w:val="0"/>
          <w:kern w:val="0"/>
          <w:sz w:val="28"/>
          <w:szCs w:val="28"/>
          <w:shd w:val="clear" w:fill="FFFFFF"/>
          <w:lang w:val="en-US" w:eastAsia="zh-CN" w:bidi="ar"/>
        </w:rPr>
        <w:t>指标说明中的评分要点的基础上进行的，定性指标对评分要点分段量化得分，定量指标按量化量直接评分。通过对项目单位档案、财务资料进行检查，结合问卷调查和实地考察情况，项目组对项目实施进展情况的每个指标进行独立评价和打分，在此基础上形成项目的整体得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绩效评价总分值100分</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根据综合评分结果</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90分以上的为优秀</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80-90（不含90）分为良好</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60-80（不含80）分为中等</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hAnsi="宋体" w:eastAsia="宋体" w:cs="宋体"/>
          <w:i w:val="0"/>
          <w:caps w:val="0"/>
          <w:color w:val="auto"/>
          <w:spacing w:val="0"/>
          <w:kern w:val="0"/>
          <w:sz w:val="28"/>
          <w:szCs w:val="28"/>
          <w:shd w:val="clear" w:fill="FFFFFF"/>
          <w:lang w:val="en-US" w:eastAsia="zh-CN" w:bidi="ar"/>
        </w:rPr>
        <w:t>60分以下为差。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b w:val="0"/>
          <w:bCs w:val="0"/>
          <w:i w:val="0"/>
          <w:caps w:val="0"/>
          <w:color w:val="auto"/>
          <w:spacing w:val="0"/>
          <w:kern w:val="0"/>
          <w:sz w:val="28"/>
          <w:szCs w:val="28"/>
          <w:shd w:val="clear" w:fill="FFFFFF"/>
          <w:lang w:val="en-US" w:eastAsia="zh-CN" w:bidi="ar"/>
        </w:rPr>
      </w:pPr>
      <w:r>
        <w:rPr>
          <w:rFonts w:hint="eastAsia" w:ascii="宋体" w:hAnsi="宋体" w:eastAsia="宋体" w:cs="宋体"/>
          <w:b w:val="0"/>
          <w:bCs w:val="0"/>
          <w:i w:val="0"/>
          <w:caps w:val="0"/>
          <w:color w:val="auto"/>
          <w:spacing w:val="0"/>
          <w:kern w:val="0"/>
          <w:sz w:val="28"/>
          <w:szCs w:val="28"/>
          <w:shd w:val="clear" w:fill="FFFFFF"/>
          <w:lang w:val="en-US" w:eastAsia="zh-CN" w:bidi="ar"/>
        </w:rPr>
        <w:t>2021年度信阳市文化广电和旅游局“2021年中央支持地方公共文化服务体系建设”项目绩效评价指标体系：4个</w:t>
      </w:r>
      <w:r>
        <w:rPr>
          <w:rFonts w:hint="eastAsia" w:ascii="宋体" w:hAnsi="宋体" w:eastAsia="宋体" w:cs="宋体"/>
          <w:b w:val="0"/>
          <w:bCs w:val="0"/>
          <w:i w:val="0"/>
          <w:iCs w:val="0"/>
          <w:color w:val="000000"/>
          <w:kern w:val="0"/>
          <w:sz w:val="28"/>
          <w:szCs w:val="28"/>
          <w:u w:val="none"/>
          <w:lang w:val="en-US" w:eastAsia="zh-CN" w:bidi="ar"/>
        </w:rPr>
        <w:t>一级指标决策（15分）过程（20分）产出（35分）效益（30分），11个二级指标，26个三级指标。</w:t>
      </w:r>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61" w:name="_Toc30350"/>
      <w:bookmarkStart w:id="62" w:name="_Toc12027_WPSOffice_Level2"/>
      <w:bookmarkStart w:id="63" w:name="_Toc32056"/>
      <w:bookmarkStart w:id="64" w:name="_Toc21721"/>
      <w:r>
        <w:rPr>
          <w:rFonts w:hint="eastAsia"/>
          <w:sz w:val="28"/>
          <w:szCs w:val="28"/>
          <w:lang w:val="en-US" w:eastAsia="zh-CN"/>
        </w:rPr>
        <w:t>（三）绩效评价工作过程</w:t>
      </w:r>
      <w:bookmarkEnd w:id="61"/>
      <w:bookmarkEnd w:id="6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首先，进行前期准备工作，制定绩效评价前期工作计划。然后，组织项目小组正式进驻现场，开展绩效评价工作。本次评估于202</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年</w:t>
      </w:r>
      <w:r>
        <w:rPr>
          <w:rFonts w:hint="eastAsia" w:ascii="宋体" w:hAnsi="宋体" w:cs="宋体"/>
          <w:i w:val="0"/>
          <w:caps w:val="0"/>
          <w:color w:val="auto"/>
          <w:spacing w:val="0"/>
          <w:kern w:val="0"/>
          <w:sz w:val="28"/>
          <w:szCs w:val="28"/>
          <w:shd w:val="clear" w:fill="FFFFFF"/>
          <w:lang w:val="en-US" w:eastAsia="zh-CN" w:bidi="ar"/>
        </w:rPr>
        <w:t>10</w:t>
      </w:r>
      <w:r>
        <w:rPr>
          <w:rFonts w:hint="eastAsia" w:ascii="宋体" w:hAnsi="宋体" w:eastAsia="宋体" w:cs="宋体"/>
          <w:i w:val="0"/>
          <w:caps w:val="0"/>
          <w:color w:val="auto"/>
          <w:spacing w:val="0"/>
          <w:kern w:val="0"/>
          <w:sz w:val="28"/>
          <w:szCs w:val="28"/>
          <w:shd w:val="clear" w:fill="FFFFFF"/>
          <w:lang w:val="en-US" w:eastAsia="zh-CN" w:bidi="ar"/>
        </w:rPr>
        <w:t>月</w:t>
      </w:r>
      <w:r>
        <w:rPr>
          <w:rFonts w:hint="eastAsia" w:ascii="宋体" w:hAnsi="宋体" w:cs="宋体"/>
          <w:i w:val="0"/>
          <w:caps w:val="0"/>
          <w:color w:val="auto"/>
          <w:spacing w:val="0"/>
          <w:kern w:val="0"/>
          <w:sz w:val="28"/>
          <w:szCs w:val="28"/>
          <w:shd w:val="clear" w:fill="FFFFFF"/>
          <w:lang w:val="en-US" w:eastAsia="zh-CN" w:bidi="ar"/>
        </w:rPr>
        <w:t>8</w:t>
      </w:r>
      <w:r>
        <w:rPr>
          <w:rFonts w:hint="eastAsia" w:ascii="宋体" w:hAnsi="宋体" w:eastAsia="宋体" w:cs="宋体"/>
          <w:i w:val="0"/>
          <w:caps w:val="0"/>
          <w:color w:val="auto"/>
          <w:spacing w:val="0"/>
          <w:kern w:val="0"/>
          <w:sz w:val="28"/>
          <w:szCs w:val="28"/>
          <w:shd w:val="clear" w:fill="FFFFFF"/>
          <w:lang w:val="en-US" w:eastAsia="zh-CN" w:bidi="ar"/>
        </w:rPr>
        <w:t>日开展前期工作，于202</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年1</w:t>
      </w: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月</w:t>
      </w:r>
      <w:r>
        <w:rPr>
          <w:rFonts w:hint="eastAsia" w:ascii="宋体" w:hAnsi="宋体" w:cs="宋体"/>
          <w:i w:val="0"/>
          <w:caps w:val="0"/>
          <w:color w:val="auto"/>
          <w:spacing w:val="0"/>
          <w:kern w:val="0"/>
          <w:sz w:val="28"/>
          <w:szCs w:val="28"/>
          <w:shd w:val="clear" w:fill="FFFFFF"/>
          <w:lang w:val="en-US" w:eastAsia="zh-CN" w:bidi="ar"/>
        </w:rPr>
        <w:t>30</w:t>
      </w:r>
      <w:r>
        <w:rPr>
          <w:rFonts w:hint="eastAsia" w:ascii="宋体" w:hAnsi="宋体" w:eastAsia="宋体" w:cs="宋体"/>
          <w:i w:val="0"/>
          <w:caps w:val="0"/>
          <w:color w:val="auto"/>
          <w:spacing w:val="0"/>
          <w:kern w:val="0"/>
          <w:sz w:val="28"/>
          <w:szCs w:val="28"/>
          <w:shd w:val="clear" w:fill="FFFFFF"/>
          <w:lang w:val="en-US" w:eastAsia="zh-CN" w:bidi="ar"/>
        </w:rPr>
        <w:t>日</w:t>
      </w:r>
      <w:r>
        <w:rPr>
          <w:rFonts w:hint="eastAsia" w:ascii="宋体" w:hAnsi="宋体" w:cs="宋体"/>
          <w:i w:val="0"/>
          <w:caps w:val="0"/>
          <w:color w:val="auto"/>
          <w:spacing w:val="0"/>
          <w:kern w:val="0"/>
          <w:sz w:val="28"/>
          <w:szCs w:val="28"/>
          <w:shd w:val="clear" w:fill="FFFFFF"/>
          <w:lang w:val="en-US" w:eastAsia="zh-CN" w:bidi="ar"/>
        </w:rPr>
        <w:t>前</w:t>
      </w:r>
      <w:r>
        <w:rPr>
          <w:rFonts w:hint="eastAsia" w:ascii="宋体" w:hAnsi="宋体" w:eastAsia="宋体" w:cs="宋体"/>
          <w:i w:val="0"/>
          <w:caps w:val="0"/>
          <w:color w:val="auto"/>
          <w:spacing w:val="0"/>
          <w:kern w:val="0"/>
          <w:sz w:val="28"/>
          <w:szCs w:val="28"/>
          <w:shd w:val="clear" w:fill="FFFFFF"/>
          <w:lang w:val="en-US" w:eastAsia="zh-CN" w:bidi="ar"/>
        </w:rPr>
        <w:t>出具绩效评价报告书，整个评价工作分以下几个阶段进行：</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rPr>
      </w:pPr>
      <w:bookmarkStart w:id="65" w:name="_Toc4859"/>
      <w:bookmarkStart w:id="66" w:name="_Toc8601_WPSOffice_Level3"/>
      <w:r>
        <w:rPr>
          <w:rFonts w:hint="eastAsia" w:ascii="宋体" w:hAnsi="宋体" w:eastAsia="宋体" w:cs="宋体"/>
          <w:sz w:val="28"/>
          <w:szCs w:val="28"/>
          <w:lang w:val="en-US" w:eastAsia="zh-CN"/>
        </w:rPr>
        <w:t>1</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前期准备工作</w:t>
      </w:r>
      <w:bookmarkEnd w:id="65"/>
      <w:bookmarkEnd w:id="66"/>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（1）成立评价组</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（2）组织评价组人员进行业务培训。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rPr>
      </w:pPr>
      <w:r>
        <w:rPr>
          <w:rFonts w:hint="eastAsia" w:ascii="宋体" w:hAnsi="宋体" w:eastAsia="宋体" w:cs="宋体"/>
          <w:i w:val="0"/>
          <w:caps w:val="0"/>
          <w:color w:val="auto"/>
          <w:spacing w:val="0"/>
          <w:kern w:val="0"/>
          <w:sz w:val="28"/>
          <w:szCs w:val="28"/>
          <w:shd w:val="clear" w:fill="FFFFFF"/>
          <w:lang w:val="en-US" w:eastAsia="zh-CN" w:bidi="ar"/>
        </w:rPr>
        <w:t>（3）</w:t>
      </w:r>
      <w:r>
        <w:rPr>
          <w:rFonts w:hint="eastAsia" w:ascii="宋体" w:hAnsi="宋体" w:cs="宋体"/>
          <w:i w:val="0"/>
          <w:caps w:val="0"/>
          <w:color w:val="auto"/>
          <w:spacing w:val="0"/>
          <w:kern w:val="0"/>
          <w:sz w:val="28"/>
          <w:szCs w:val="28"/>
          <w:shd w:val="clear" w:fill="FFFFFF"/>
          <w:lang w:val="en-US" w:eastAsia="zh-CN" w:bidi="ar"/>
        </w:rPr>
        <w:t>建立</w:t>
      </w:r>
      <w:r>
        <w:rPr>
          <w:rFonts w:hint="eastAsia" w:ascii="宋体" w:hAnsi="宋体" w:eastAsia="宋体" w:cs="宋体"/>
          <w:i w:val="0"/>
          <w:caps w:val="0"/>
          <w:color w:val="auto"/>
          <w:spacing w:val="0"/>
          <w:kern w:val="0"/>
          <w:sz w:val="28"/>
          <w:szCs w:val="28"/>
          <w:shd w:val="clear" w:fill="FFFFFF"/>
          <w:lang w:val="en-US" w:eastAsia="zh-CN" w:bidi="ar"/>
        </w:rPr>
        <w:t>联络员，主要负责评价组实地检查过程中与各相关</w:t>
      </w:r>
      <w:r>
        <w:rPr>
          <w:rFonts w:hint="eastAsia" w:asciiTheme="minorEastAsia" w:hAnsiTheme="minorEastAsia" w:eastAsiaTheme="minorEastAsia" w:cstheme="minorEastAsia"/>
          <w:i w:val="0"/>
          <w:caps w:val="0"/>
          <w:color w:val="auto"/>
          <w:spacing w:val="0"/>
          <w:kern w:val="0"/>
          <w:sz w:val="28"/>
          <w:szCs w:val="28"/>
          <w:shd w:val="clear" w:fill="FFFFFF"/>
          <w:lang w:val="en-US" w:eastAsia="zh-CN" w:bidi="ar"/>
        </w:rPr>
        <w:t>部门的联络工作。</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67" w:name="_Toc18145"/>
      <w:bookmarkStart w:id="68" w:name="_Toc31761_WPSOffice_Level3"/>
      <w:r>
        <w:rPr>
          <w:rFonts w:hint="eastAsia" w:asciiTheme="minorEastAsia" w:hAnsiTheme="minorEastAsia" w:eastAsiaTheme="minorEastAsia" w:cstheme="minorEastAsia"/>
          <w:sz w:val="28"/>
          <w:szCs w:val="28"/>
          <w:lang w:val="en-US" w:eastAsia="zh-CN"/>
        </w:rPr>
        <w:t>2.评</w:t>
      </w:r>
      <w:r>
        <w:rPr>
          <w:rFonts w:hint="eastAsia"/>
          <w:sz w:val="28"/>
          <w:szCs w:val="28"/>
          <w:lang w:val="en-US" w:eastAsia="zh-CN"/>
        </w:rPr>
        <w:t>价指标体系及方案设计阶段</w:t>
      </w:r>
      <w:bookmarkEnd w:id="67"/>
      <w:bookmarkEnd w:id="6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（1）接受委托后,组织评价组人员对项目基础资料进行认真学习和了解，拟定《2021年中央补助地方公共文化服务体系建设专项资金项目绩效评价指标体系》。在制定的指标体系中，我们充分考虑本项目的特点。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（2）拟定的指标体系，在征求</w:t>
      </w:r>
      <w:r>
        <w:rPr>
          <w:rFonts w:hint="eastAsia" w:ascii="宋体" w:hAnsi="宋体" w:cs="宋体"/>
          <w:i w:val="0"/>
          <w:caps w:val="0"/>
          <w:color w:val="auto"/>
          <w:spacing w:val="0"/>
          <w:kern w:val="0"/>
          <w:sz w:val="28"/>
          <w:szCs w:val="28"/>
          <w:shd w:val="clear" w:fill="FFFFFF"/>
          <w:lang w:val="en-US" w:eastAsia="zh-CN" w:bidi="ar"/>
        </w:rPr>
        <w:t>信阳市文化广电和旅游局</w:t>
      </w:r>
      <w:r>
        <w:rPr>
          <w:rFonts w:hint="eastAsia" w:ascii="宋体" w:hAnsi="宋体" w:eastAsia="宋体" w:cs="宋体"/>
          <w:i w:val="0"/>
          <w:caps w:val="0"/>
          <w:color w:val="auto"/>
          <w:spacing w:val="0"/>
          <w:kern w:val="0"/>
          <w:sz w:val="28"/>
          <w:szCs w:val="28"/>
          <w:shd w:val="clear" w:fill="FFFFFF"/>
          <w:lang w:val="en-US" w:eastAsia="zh-CN" w:bidi="ar"/>
        </w:rPr>
        <w:t>和相关专家意见后，对实施方案和指标体系进行补充和完善。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（3）拟定的评价实施方案，征求</w:t>
      </w:r>
      <w:r>
        <w:rPr>
          <w:rFonts w:hint="eastAsia" w:ascii="宋体" w:hAnsi="宋体" w:cs="宋体"/>
          <w:i w:val="0"/>
          <w:caps w:val="0"/>
          <w:color w:val="auto"/>
          <w:spacing w:val="0"/>
          <w:kern w:val="0"/>
          <w:sz w:val="28"/>
          <w:szCs w:val="28"/>
          <w:shd w:val="clear" w:fill="FFFFFF"/>
          <w:lang w:val="en-US" w:eastAsia="zh-CN" w:bidi="ar"/>
        </w:rPr>
        <w:t>信阳市文化广电和旅游局</w:t>
      </w:r>
      <w:r>
        <w:rPr>
          <w:rFonts w:hint="eastAsia" w:ascii="宋体" w:hAnsi="宋体" w:eastAsia="宋体" w:cs="宋体"/>
          <w:i w:val="0"/>
          <w:caps w:val="0"/>
          <w:color w:val="auto"/>
          <w:spacing w:val="0"/>
          <w:kern w:val="0"/>
          <w:sz w:val="28"/>
          <w:szCs w:val="28"/>
          <w:shd w:val="clear" w:fill="FFFFFF"/>
          <w:lang w:val="en-US" w:eastAsia="zh-CN" w:bidi="ar"/>
        </w:rPr>
        <w:t>及咨询专家意见后定稿，提交</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市财政局</w:t>
      </w:r>
      <w:r>
        <w:rPr>
          <w:rFonts w:hint="eastAsia" w:ascii="宋体" w:hAnsi="宋体" w:cs="宋体"/>
          <w:i w:val="0"/>
          <w:caps w:val="0"/>
          <w:color w:val="auto"/>
          <w:spacing w:val="0"/>
          <w:kern w:val="0"/>
          <w:sz w:val="28"/>
          <w:szCs w:val="28"/>
          <w:shd w:val="clear" w:fill="FFFFFF"/>
          <w:lang w:val="en-US" w:eastAsia="zh-CN" w:bidi="ar"/>
        </w:rPr>
        <w:t>审核</w:t>
      </w:r>
      <w:r>
        <w:rPr>
          <w:rFonts w:hint="eastAsia" w:ascii="宋体" w:hAnsi="宋体" w:eastAsia="宋体" w:cs="宋体"/>
          <w:i w:val="0"/>
          <w:caps w:val="0"/>
          <w:color w:val="auto"/>
          <w:spacing w:val="0"/>
          <w:kern w:val="0"/>
          <w:sz w:val="28"/>
          <w:szCs w:val="28"/>
          <w:shd w:val="clear" w:fill="FFFFFF"/>
          <w:lang w:val="en-US" w:eastAsia="zh-CN" w:bidi="ar"/>
        </w:rPr>
        <w:t>。</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default"/>
          <w:sz w:val="28"/>
          <w:szCs w:val="28"/>
          <w:lang w:val="en-US" w:eastAsia="zh-CN"/>
        </w:rPr>
      </w:pPr>
      <w:bookmarkStart w:id="69" w:name="_Toc3951_WPSOffice_Level3"/>
      <w:bookmarkStart w:id="70" w:name="_Toc4765"/>
      <w:r>
        <w:rPr>
          <w:rFonts w:hint="eastAsia" w:asciiTheme="minorEastAsia" w:hAnsiTheme="minorEastAsia" w:eastAsiaTheme="minorEastAsia" w:cstheme="minorEastAsia"/>
          <w:sz w:val="28"/>
          <w:szCs w:val="28"/>
          <w:lang w:val="en-US" w:eastAsia="zh-CN"/>
        </w:rPr>
        <w:t>3.评价</w:t>
      </w:r>
      <w:r>
        <w:rPr>
          <w:rFonts w:hint="eastAsia"/>
          <w:sz w:val="28"/>
          <w:szCs w:val="28"/>
          <w:lang w:val="en-US" w:eastAsia="zh-CN"/>
        </w:rPr>
        <w:t>实施阶段</w:t>
      </w:r>
      <w:bookmarkEnd w:id="69"/>
      <w:bookmarkEnd w:id="7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bookmarkStart w:id="71" w:name="_Toc1172"/>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在对项目资料进行总结、整理基础上实施绩效评价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综合评价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评价组在全面分析整理被检查项目的相关数据资料的基础上，总结检查情况，对照评价指标和标准，进行综合评议与打分，得出评价结论，撰写评价报告。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评价实施具体程序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eastAsia="宋体" w:cs="宋体"/>
          <w:i w:val="0"/>
          <w:caps w:val="0"/>
          <w:color w:val="auto"/>
          <w:spacing w:val="0"/>
          <w:kern w:val="0"/>
          <w:sz w:val="28"/>
          <w:szCs w:val="28"/>
          <w:shd w:val="clear" w:fill="FFFFFF"/>
          <w:lang w:val="en-US" w:eastAsia="zh-CN" w:bidi="ar"/>
        </w:rPr>
        <w:t>评价组到实地检查→评价组成员汇报检查情况并进行打分→得出评价结论→评价组撰写评价报告。</w:t>
      </w:r>
    </w:p>
    <w:p>
      <w:pPr>
        <w:pStyle w:val="9"/>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sz w:val="28"/>
          <w:szCs w:val="28"/>
        </w:rPr>
      </w:pPr>
      <w:bookmarkStart w:id="72" w:name="_Toc31349_WPSOffice_Level3"/>
      <w:r>
        <w:rPr>
          <w:rFonts w:hint="eastAsia" w:asciiTheme="minorEastAsia" w:hAnsiTheme="minorEastAsia" w:eastAsiaTheme="minorEastAsia" w:cstheme="minorEastAsia"/>
          <w:sz w:val="28"/>
          <w:szCs w:val="28"/>
          <w:lang w:val="en-US" w:eastAsia="zh-CN"/>
        </w:rPr>
        <w:t>4.评价报</w:t>
      </w:r>
      <w:r>
        <w:rPr>
          <w:rFonts w:hint="eastAsia"/>
          <w:sz w:val="28"/>
          <w:szCs w:val="28"/>
          <w:lang w:val="en-US" w:eastAsia="zh-CN"/>
        </w:rPr>
        <w:t>告阶段</w:t>
      </w:r>
      <w:bookmarkEnd w:id="71"/>
      <w:bookmarkEnd w:id="72"/>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w:t>
      </w:r>
      <w:r>
        <w:rPr>
          <w:rFonts w:hint="eastAsia" w:ascii="宋体" w:hAnsi="宋体" w:eastAsia="宋体" w:cs="宋体"/>
          <w:i w:val="0"/>
          <w:caps w:val="0"/>
          <w:color w:val="auto"/>
          <w:spacing w:val="0"/>
          <w:kern w:val="0"/>
          <w:sz w:val="28"/>
          <w:szCs w:val="28"/>
          <w:shd w:val="clear" w:fill="FFFFFF"/>
          <w:lang w:val="en-US" w:eastAsia="zh-CN" w:bidi="ar"/>
        </w:rPr>
        <w:t>对被检查项目的绩效评价统计表及相关资料进行分析汇总；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按照《河南省财政支出绩效评价实施办法》规定的格式，</w:t>
      </w:r>
      <w:r>
        <w:rPr>
          <w:rFonts w:hint="eastAsia" w:ascii="宋体" w:hAnsi="宋体" w:cs="宋体"/>
          <w:i w:val="0"/>
          <w:caps w:val="0"/>
          <w:color w:val="auto"/>
          <w:spacing w:val="0"/>
          <w:kern w:val="0"/>
          <w:sz w:val="28"/>
          <w:szCs w:val="28"/>
          <w:shd w:val="clear" w:fill="FFFFFF"/>
          <w:lang w:val="en-US" w:eastAsia="zh-CN" w:bidi="ar"/>
        </w:rPr>
        <w:t>形成</w:t>
      </w:r>
      <w:r>
        <w:rPr>
          <w:rFonts w:hint="eastAsia" w:ascii="宋体" w:hAnsi="宋体" w:eastAsia="宋体" w:cs="宋体"/>
          <w:i w:val="0"/>
          <w:caps w:val="0"/>
          <w:color w:val="auto"/>
          <w:spacing w:val="0"/>
          <w:kern w:val="0"/>
          <w:sz w:val="28"/>
          <w:szCs w:val="28"/>
          <w:shd w:val="clear" w:fill="FFFFFF"/>
          <w:lang w:val="en-US" w:eastAsia="zh-CN" w:bidi="ar"/>
        </w:rPr>
        <w:t>绩效综合评价报告初稿，征求</w:t>
      </w:r>
      <w:r>
        <w:rPr>
          <w:rFonts w:hint="eastAsia" w:ascii="宋体" w:hAnsi="宋体" w:cs="宋体"/>
          <w:i w:val="0"/>
          <w:caps w:val="0"/>
          <w:color w:val="auto"/>
          <w:spacing w:val="0"/>
          <w:kern w:val="0"/>
          <w:sz w:val="28"/>
          <w:szCs w:val="28"/>
          <w:shd w:val="clear" w:fill="FFFFFF"/>
          <w:lang w:val="en-US" w:eastAsia="zh-CN" w:bidi="ar"/>
        </w:rPr>
        <w:t>信阳市文化广电和旅游局</w:t>
      </w:r>
      <w:r>
        <w:rPr>
          <w:rFonts w:hint="eastAsia" w:ascii="宋体" w:hAnsi="宋体" w:eastAsia="宋体" w:cs="宋体"/>
          <w:i w:val="0"/>
          <w:caps w:val="0"/>
          <w:color w:val="auto"/>
          <w:spacing w:val="0"/>
          <w:kern w:val="0"/>
          <w:sz w:val="28"/>
          <w:szCs w:val="28"/>
          <w:shd w:val="clear" w:fill="FFFFFF"/>
          <w:lang w:val="en-US" w:eastAsia="zh-CN" w:bidi="ar"/>
        </w:rPr>
        <w:t>意见，补充完善评价报告；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b/>
          <w:bCs/>
          <w:sz w:val="28"/>
          <w:szCs w:val="28"/>
          <w:lang w:val="en-US" w:eastAsia="zh-CN"/>
        </w:rPr>
      </w:pPr>
      <w:r>
        <w:rPr>
          <w:rFonts w:hint="eastAsia" w:ascii="宋体" w:hAnsi="宋体" w:cs="宋体"/>
          <w:i w:val="0"/>
          <w:caps w:val="0"/>
          <w:color w:val="auto"/>
          <w:spacing w:val="0"/>
          <w:kern w:val="0"/>
          <w:sz w:val="28"/>
          <w:szCs w:val="28"/>
          <w:shd w:val="clear" w:fill="FFFFFF"/>
          <w:lang w:val="en-US" w:eastAsia="zh-CN" w:bidi="ar"/>
        </w:rPr>
        <w:t>（3）</w:t>
      </w:r>
      <w:r>
        <w:rPr>
          <w:rFonts w:hint="eastAsia" w:ascii="宋体" w:hAnsi="宋体" w:eastAsia="宋体" w:cs="宋体"/>
          <w:i w:val="0"/>
          <w:caps w:val="0"/>
          <w:color w:val="auto"/>
          <w:spacing w:val="0"/>
          <w:kern w:val="0"/>
          <w:sz w:val="28"/>
          <w:szCs w:val="28"/>
          <w:shd w:val="clear" w:fill="FFFFFF"/>
          <w:lang w:val="en-US" w:eastAsia="zh-CN" w:bidi="ar"/>
        </w:rPr>
        <w:t>形成</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021年中央补助地方公共文化服务体系建设专项资金项目绩效综合评价报告（包括表格和文字部分），报</w:t>
      </w:r>
      <w:r>
        <w:rPr>
          <w:rFonts w:hint="eastAsia" w:ascii="宋体" w:hAnsi="宋体" w:cs="宋体"/>
          <w:i w:val="0"/>
          <w:caps w:val="0"/>
          <w:color w:val="auto"/>
          <w:spacing w:val="0"/>
          <w:kern w:val="0"/>
          <w:sz w:val="28"/>
          <w:szCs w:val="28"/>
          <w:shd w:val="clear" w:fill="FFFFFF"/>
          <w:lang w:val="en-US" w:eastAsia="zh-CN" w:bidi="ar"/>
        </w:rPr>
        <w:t>信阳</w:t>
      </w:r>
      <w:r>
        <w:rPr>
          <w:rFonts w:hint="eastAsia" w:ascii="宋体" w:hAnsi="宋体" w:eastAsia="宋体" w:cs="宋体"/>
          <w:i w:val="0"/>
          <w:caps w:val="0"/>
          <w:color w:val="auto"/>
          <w:spacing w:val="0"/>
          <w:kern w:val="0"/>
          <w:sz w:val="28"/>
          <w:szCs w:val="28"/>
          <w:shd w:val="clear" w:fill="FFFFFF"/>
          <w:lang w:val="en-US" w:eastAsia="zh-CN" w:bidi="ar"/>
        </w:rPr>
        <w:t>市财政局审核。</w:t>
      </w:r>
    </w:p>
    <w:p>
      <w:pPr>
        <w:pStyle w:val="7"/>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rPr>
      </w:pPr>
      <w:bookmarkStart w:id="73" w:name="_Toc12027_WPSOffice_Level1"/>
      <w:bookmarkStart w:id="74" w:name="_Toc21299"/>
      <w:bookmarkStart w:id="75" w:name="_Toc19229"/>
      <w:r>
        <w:rPr>
          <w:rFonts w:hint="eastAsia"/>
          <w:sz w:val="28"/>
          <w:szCs w:val="28"/>
          <w:lang w:val="en-US" w:eastAsia="zh-CN"/>
        </w:rPr>
        <w:t>三、综合评价情况及评价结论</w:t>
      </w:r>
      <w:bookmarkEnd w:id="73"/>
      <w:bookmarkEnd w:id="74"/>
      <w:bookmarkEnd w:id="75"/>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lang w:val="en-US" w:eastAsia="zh-CN"/>
        </w:rPr>
      </w:pPr>
      <w:bookmarkStart w:id="76" w:name="_Toc26353"/>
      <w:bookmarkStart w:id="77" w:name="_Toc26046"/>
      <w:bookmarkStart w:id="78" w:name="_Toc25263_WPSOffice_Level2"/>
      <w:r>
        <w:rPr>
          <w:rFonts w:hint="eastAsia"/>
          <w:sz w:val="28"/>
          <w:szCs w:val="28"/>
          <w:lang w:val="en-US" w:eastAsia="zh-CN"/>
        </w:rPr>
        <w:t>（一）评分结果</w:t>
      </w:r>
      <w:bookmarkEnd w:id="76"/>
      <w:bookmarkEnd w:id="77"/>
      <w:bookmarkEnd w:id="78"/>
    </w:p>
    <w:p>
      <w:pPr>
        <w:pageBreakBefore w:val="0"/>
        <w:widowControl w:val="0"/>
        <w:kinsoku/>
        <w:wordWrap/>
        <w:overflowPunct/>
        <w:topLinePunct w:val="0"/>
        <w:autoSpaceDE/>
        <w:autoSpaceDN/>
        <w:bidi w:val="0"/>
        <w:adjustRightInd w:val="0"/>
        <w:snapToGrid w:val="0"/>
        <w:textAlignment w:val="auto"/>
        <w:rPr>
          <w:rFonts w:hint="eastAsia" w:asciiTheme="minorEastAsia" w:hAnsiTheme="minorEastAsia" w:eastAsiaTheme="minorEastAsia" w:cstheme="minorEastAsia"/>
          <w:lang w:val="en-US" w:eastAsia="zh-CN"/>
        </w:rPr>
      </w:pPr>
      <w:r>
        <w:rPr>
          <w:rFonts w:hint="eastAsia"/>
          <w:lang w:val="en-US" w:eastAsia="zh-CN"/>
        </w:rPr>
        <w:t>本次评价结果采取百分制，按照综合评分划分</w:t>
      </w:r>
      <w:r>
        <w:rPr>
          <w:rFonts w:hint="eastAsia" w:asciiTheme="minorEastAsia" w:hAnsiTheme="minorEastAsia" w:eastAsiaTheme="minorEastAsia" w:cstheme="minorEastAsia"/>
          <w:lang w:val="en-US" w:eastAsia="zh-CN"/>
        </w:rPr>
        <w:t>4个等级，其中90（含）-100分为优、80（含）-90分为良、60（含）-80分为中、60分以下为差。</w:t>
      </w:r>
    </w:p>
    <w:p>
      <w:pPr>
        <w:pageBreakBefore w:val="0"/>
        <w:widowControl w:val="0"/>
        <w:kinsoku/>
        <w:wordWrap/>
        <w:overflowPunct/>
        <w:topLinePunct w:val="0"/>
        <w:autoSpaceDE/>
        <w:autoSpaceDN/>
        <w:bidi w:val="0"/>
        <w:adjustRightInd w:val="0"/>
        <w:snapToGrid w:val="0"/>
        <w:textAlignment w:val="auto"/>
        <w:rPr>
          <w:rFonts w:hint="eastAsia" w:ascii="宋体" w:hAnsi="宋体" w:cs="宋体"/>
          <w:i w:val="0"/>
          <w:caps w:val="0"/>
          <w:color w:val="auto"/>
          <w:spacing w:val="0"/>
          <w:kern w:val="0"/>
          <w:sz w:val="28"/>
          <w:szCs w:val="28"/>
          <w:highlight w:val="none"/>
          <w:shd w:val="clear" w:fill="FFFFFF"/>
          <w:lang w:val="en-US" w:eastAsia="zh-CN" w:bidi="ar"/>
        </w:rPr>
      </w:pPr>
      <w:r>
        <w:rPr>
          <w:rFonts w:hint="eastAsia"/>
          <w:lang w:val="en-US" w:eastAsia="zh-CN"/>
        </w:rPr>
        <w:t>经评价组评定，</w:t>
      </w:r>
      <w:r>
        <w:rPr>
          <w:rFonts w:hint="eastAsia" w:ascii="宋体" w:hAnsi="宋体" w:cs="宋体"/>
          <w:i w:val="0"/>
          <w:caps w:val="0"/>
          <w:color w:val="auto"/>
          <w:spacing w:val="0"/>
          <w:kern w:val="0"/>
          <w:sz w:val="28"/>
          <w:szCs w:val="28"/>
          <w:shd w:val="clear" w:fill="FFFFFF"/>
          <w:lang w:val="en-US" w:eastAsia="zh-CN" w:bidi="ar"/>
        </w:rPr>
        <w:t>信阳市文</w:t>
      </w:r>
      <w:r>
        <w:rPr>
          <w:rFonts w:hint="eastAsia" w:ascii="宋体" w:hAnsi="宋体" w:cs="宋体"/>
          <w:i w:val="0"/>
          <w:caps w:val="0"/>
          <w:color w:val="auto"/>
          <w:spacing w:val="0"/>
          <w:kern w:val="0"/>
          <w:sz w:val="28"/>
          <w:szCs w:val="28"/>
          <w:highlight w:val="none"/>
          <w:shd w:val="clear" w:fill="FFFFFF"/>
          <w:lang w:val="en-US" w:eastAsia="zh-CN" w:bidi="ar"/>
        </w:rPr>
        <w:t>化广电和旅游局2</w:t>
      </w:r>
      <w:r>
        <w:rPr>
          <w:rFonts w:hint="eastAsia" w:ascii="宋体" w:hAnsi="宋体" w:eastAsia="宋体" w:cs="宋体"/>
          <w:i w:val="0"/>
          <w:caps w:val="0"/>
          <w:color w:val="auto"/>
          <w:spacing w:val="0"/>
          <w:kern w:val="0"/>
          <w:sz w:val="28"/>
          <w:szCs w:val="28"/>
          <w:highlight w:val="none"/>
          <w:shd w:val="clear" w:fill="FFFFFF"/>
          <w:lang w:val="en-US" w:eastAsia="zh-CN" w:bidi="ar"/>
        </w:rPr>
        <w:t>021年中央补助地方公共文化服务体系建设专项资金项目评分结果综合评分为</w:t>
      </w:r>
      <w:r>
        <w:rPr>
          <w:rFonts w:hint="eastAsia" w:ascii="宋体" w:hAnsi="宋体" w:cs="宋体"/>
          <w:i w:val="0"/>
          <w:caps w:val="0"/>
          <w:color w:val="auto"/>
          <w:spacing w:val="0"/>
          <w:kern w:val="0"/>
          <w:sz w:val="28"/>
          <w:szCs w:val="28"/>
          <w:highlight w:val="none"/>
          <w:shd w:val="clear" w:fill="FFFFFF"/>
          <w:lang w:val="en-US" w:eastAsia="zh-CN" w:bidi="ar"/>
        </w:rPr>
        <w:t>85.72分，</w:t>
      </w:r>
      <w:r>
        <w:rPr>
          <w:rFonts w:hint="eastAsia" w:ascii="宋体" w:hAnsi="宋体" w:eastAsia="宋体" w:cs="宋体"/>
          <w:i w:val="0"/>
          <w:caps w:val="0"/>
          <w:color w:val="auto"/>
          <w:spacing w:val="0"/>
          <w:kern w:val="0"/>
          <w:sz w:val="28"/>
          <w:szCs w:val="28"/>
          <w:highlight w:val="none"/>
          <w:shd w:val="clear" w:fill="FFFFFF"/>
          <w:lang w:val="en-US" w:eastAsia="zh-CN" w:bidi="ar"/>
        </w:rPr>
        <w:t>评价等级为“</w:t>
      </w:r>
      <w:r>
        <w:rPr>
          <w:rFonts w:hint="eastAsia" w:ascii="宋体" w:hAnsi="宋体" w:cs="宋体"/>
          <w:i w:val="0"/>
          <w:caps w:val="0"/>
          <w:color w:val="auto"/>
          <w:spacing w:val="0"/>
          <w:kern w:val="0"/>
          <w:sz w:val="28"/>
          <w:szCs w:val="28"/>
          <w:highlight w:val="none"/>
          <w:shd w:val="clear" w:fill="FFFFFF"/>
          <w:lang w:val="en-US" w:eastAsia="zh-CN" w:bidi="ar"/>
        </w:rPr>
        <w:t>良</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b/>
          <w:bCs/>
          <w:sz w:val="28"/>
          <w:szCs w:val="28"/>
        </w:rPr>
      </w:pPr>
      <w:bookmarkStart w:id="79" w:name="_Toc7499_WPSOffice_Level2"/>
      <w:r>
        <w:rPr>
          <w:rFonts w:hint="eastAsia"/>
          <w:b/>
          <w:bCs/>
          <w:sz w:val="28"/>
          <w:szCs w:val="28"/>
          <w:lang w:val="en-US" w:eastAsia="zh-CN"/>
        </w:rPr>
        <w:t>（二）主要结论</w:t>
      </w:r>
      <w:bookmarkEnd w:id="63"/>
      <w:bookmarkEnd w:id="79"/>
    </w:p>
    <w:p>
      <w:pPr>
        <w:pageBreakBefore w:val="0"/>
        <w:widowControl w:val="0"/>
        <w:kinsoku/>
        <w:wordWrap/>
        <w:overflowPunct/>
        <w:topLinePunct w:val="0"/>
        <w:autoSpaceDE/>
        <w:autoSpaceDN/>
        <w:bidi w:val="0"/>
        <w:adjustRightInd w:val="0"/>
        <w:snapToGrid w:val="0"/>
        <w:spacing w:line="360" w:lineRule="auto"/>
        <w:ind w:left="0" w:leftChars="0" w:right="0" w:firstLine="560" w:firstLineChars="200"/>
        <w:jc w:val="both"/>
        <w:textAlignment w:val="auto"/>
        <w:rPr>
          <w:rFonts w:hint="default"/>
          <w:sz w:val="28"/>
          <w:szCs w:val="28"/>
          <w:highlight w:val="none"/>
          <w:lang w:val="en-US" w:eastAsia="zh-CN"/>
        </w:rPr>
      </w:pPr>
      <w:bookmarkStart w:id="80" w:name="_Toc483573560"/>
      <w:bookmarkEnd w:id="80"/>
      <w:r>
        <w:rPr>
          <w:rFonts w:hint="eastAsia"/>
          <w:sz w:val="28"/>
          <w:szCs w:val="28"/>
          <w:lang w:val="en-US" w:eastAsia="zh-CN"/>
        </w:rPr>
        <w:t>信阳市文化广电和旅游局</w:t>
      </w:r>
      <w:r>
        <w:rPr>
          <w:rFonts w:hint="eastAsia" w:ascii="宋体" w:hAnsi="宋体" w:cs="宋体"/>
          <w:i w:val="0"/>
          <w:caps w:val="0"/>
          <w:color w:val="auto"/>
          <w:spacing w:val="0"/>
          <w:kern w:val="0"/>
          <w:sz w:val="28"/>
          <w:szCs w:val="28"/>
          <w:shd w:val="clear" w:fill="FFFFFF"/>
          <w:lang w:val="en-US" w:eastAsia="zh-CN" w:bidi="ar"/>
        </w:rPr>
        <w:t>2</w:t>
      </w:r>
      <w:r>
        <w:rPr>
          <w:rFonts w:hint="eastAsia" w:ascii="宋体" w:hAnsi="宋体" w:eastAsia="宋体" w:cs="宋体"/>
          <w:i w:val="0"/>
          <w:caps w:val="0"/>
          <w:color w:val="auto"/>
          <w:spacing w:val="0"/>
          <w:kern w:val="0"/>
          <w:sz w:val="28"/>
          <w:szCs w:val="28"/>
          <w:shd w:val="clear" w:fill="FFFFFF"/>
          <w:lang w:val="en-US" w:eastAsia="zh-CN" w:bidi="ar"/>
        </w:rPr>
        <w:t>021年中央补助地方公共文化服务体系建设专项资金项目</w:t>
      </w:r>
      <w:r>
        <w:rPr>
          <w:rFonts w:hint="eastAsia" w:ascii="宋体" w:hAnsi="宋体" w:cs="宋体"/>
          <w:i w:val="0"/>
          <w:caps w:val="0"/>
          <w:color w:val="auto"/>
          <w:spacing w:val="0"/>
          <w:kern w:val="0"/>
          <w:sz w:val="28"/>
          <w:szCs w:val="28"/>
          <w:shd w:val="clear" w:fill="FFFFFF"/>
          <w:lang w:val="en-US" w:eastAsia="zh-CN" w:bidi="ar"/>
        </w:rPr>
        <w:t>评价得分为</w:t>
      </w:r>
      <w:r>
        <w:rPr>
          <w:rFonts w:hint="eastAsia" w:ascii="宋体" w:hAnsi="宋体" w:cs="宋体"/>
          <w:i w:val="0"/>
          <w:caps w:val="0"/>
          <w:color w:val="auto"/>
          <w:spacing w:val="0"/>
          <w:kern w:val="0"/>
          <w:sz w:val="28"/>
          <w:szCs w:val="28"/>
          <w:highlight w:val="none"/>
          <w:shd w:val="clear" w:fill="FFFFFF"/>
          <w:lang w:val="en-US" w:eastAsia="zh-CN" w:bidi="ar"/>
        </w:rPr>
        <w:t>85.72</w:t>
      </w:r>
      <w:r>
        <w:rPr>
          <w:rFonts w:hint="eastAsia" w:ascii="宋体" w:hAnsi="宋体" w:cs="宋体"/>
          <w:i w:val="0"/>
          <w:caps w:val="0"/>
          <w:color w:val="auto"/>
          <w:spacing w:val="0"/>
          <w:kern w:val="0"/>
          <w:sz w:val="28"/>
          <w:szCs w:val="28"/>
          <w:shd w:val="clear" w:fill="FFFFFF"/>
          <w:lang w:val="en-US" w:eastAsia="zh-CN" w:bidi="ar"/>
        </w:rPr>
        <w:t>分，</w:t>
      </w:r>
      <w:r>
        <w:rPr>
          <w:rFonts w:hint="eastAsia" w:ascii="宋体" w:hAnsi="宋体" w:eastAsia="宋体" w:cs="宋体"/>
          <w:i w:val="0"/>
          <w:caps w:val="0"/>
          <w:color w:val="auto"/>
          <w:spacing w:val="0"/>
          <w:kern w:val="0"/>
          <w:sz w:val="28"/>
          <w:szCs w:val="28"/>
          <w:shd w:val="clear" w:fill="FFFFFF"/>
          <w:lang w:val="en-US" w:eastAsia="zh-CN" w:bidi="ar"/>
        </w:rPr>
        <w:t>绩效评价级别为</w:t>
      </w:r>
      <w:r>
        <w:rPr>
          <w:rFonts w:hint="eastAsia" w:ascii="宋体" w:hAnsi="宋体" w:eastAsia="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highlight w:val="none"/>
          <w:shd w:val="clear" w:fill="FFFFFF"/>
          <w:lang w:val="en-US" w:eastAsia="zh-CN" w:bidi="ar"/>
        </w:rPr>
        <w:t>良</w:t>
      </w:r>
      <w:r>
        <w:rPr>
          <w:rFonts w:hint="eastAsia" w:ascii="宋体" w:hAnsi="宋体" w:eastAsia="宋体" w:cs="宋体"/>
          <w:i w:val="0"/>
          <w:caps w:val="0"/>
          <w:color w:val="auto"/>
          <w:spacing w:val="0"/>
          <w:kern w:val="0"/>
          <w:sz w:val="28"/>
          <w:szCs w:val="28"/>
          <w:highlight w:val="none"/>
          <w:shd w:val="clear" w:fill="FFFFFF"/>
          <w:lang w:val="en-US" w:eastAsia="zh-CN" w:bidi="ar"/>
        </w:rPr>
        <w:t>”。</w:t>
      </w:r>
    </w:p>
    <w:p>
      <w:pPr>
        <w:pStyle w:val="7"/>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lang w:val="en-US"/>
        </w:rPr>
      </w:pPr>
      <w:bookmarkStart w:id="81" w:name="_Toc25263_WPSOffice_Level1"/>
      <w:r>
        <w:rPr>
          <w:rFonts w:hint="eastAsia" w:ascii="宋体" w:hAnsi="宋体" w:eastAsia="宋体" w:cs="宋体"/>
          <w:sz w:val="28"/>
          <w:szCs w:val="28"/>
          <w:lang w:val="en-US" w:eastAsia="zh-CN"/>
        </w:rPr>
        <w:t>四、绩效评价</w:t>
      </w:r>
      <w:bookmarkEnd w:id="64"/>
      <w:r>
        <w:rPr>
          <w:rFonts w:hint="eastAsia" w:ascii="宋体" w:hAnsi="宋体" w:eastAsia="宋体" w:cs="宋体"/>
          <w:sz w:val="28"/>
          <w:szCs w:val="28"/>
          <w:lang w:val="en-US" w:eastAsia="zh-CN"/>
        </w:rPr>
        <w:t>指标分析</w:t>
      </w:r>
      <w:bookmarkEnd w:id="81"/>
    </w:p>
    <w:p>
      <w:pPr>
        <w:pStyle w:val="8"/>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rPr>
      </w:pPr>
      <w:bookmarkStart w:id="82" w:name="_Toc483573555"/>
      <w:bookmarkEnd w:id="82"/>
      <w:bookmarkStart w:id="83" w:name="_Toc3830"/>
      <w:bookmarkStart w:id="84" w:name="_Toc16834_WPSOffice_Level2"/>
      <w:r>
        <w:rPr>
          <w:rFonts w:hint="eastAsia" w:ascii="宋体" w:hAnsi="宋体" w:eastAsia="宋体" w:cs="宋体"/>
          <w:sz w:val="28"/>
          <w:szCs w:val="28"/>
          <w:lang w:val="en-US" w:eastAsia="zh-CN"/>
        </w:rPr>
        <w:t>（一）项目决策</w:t>
      </w:r>
      <w:bookmarkEnd w:id="83"/>
      <w:r>
        <w:rPr>
          <w:rFonts w:hint="eastAsia" w:ascii="宋体" w:hAnsi="宋体" w:eastAsia="宋体" w:cs="宋体"/>
          <w:sz w:val="28"/>
          <w:szCs w:val="28"/>
          <w:lang w:val="en-US" w:eastAsia="zh-CN"/>
        </w:rPr>
        <w:t>（15分）</w:t>
      </w:r>
      <w:bookmarkEnd w:id="84"/>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Chars="0" w:right="0" w:rightChars="0" w:firstLine="560"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i w:val="0"/>
          <w:caps w:val="0"/>
          <w:color w:val="auto"/>
          <w:spacing w:val="0"/>
          <w:kern w:val="0"/>
          <w:sz w:val="28"/>
          <w:szCs w:val="28"/>
          <w:highlight w:val="none"/>
          <w:shd w:val="clear" w:fill="FFFFFF"/>
          <w:lang w:val="en-US" w:eastAsia="zh-CN" w:bidi="ar"/>
        </w:rPr>
        <w:t>根据决策指标的评价结果，项目立项依据充分，绩效目标明确，符合国家相关法律法规、国民经济发展规划和党委政府决策，项目预期产出效益和效果符合正常的业绩水平，与单位实际情况</w:t>
      </w:r>
      <w:r>
        <w:rPr>
          <w:rFonts w:hint="eastAsia" w:ascii="宋体" w:hAnsi="宋体" w:cs="宋体"/>
          <w:i w:val="0"/>
          <w:caps w:val="0"/>
          <w:color w:val="auto"/>
          <w:spacing w:val="0"/>
          <w:kern w:val="0"/>
          <w:sz w:val="28"/>
          <w:szCs w:val="28"/>
          <w:highlight w:val="none"/>
          <w:shd w:val="clear" w:fill="FFFFFF"/>
          <w:lang w:val="en-US" w:eastAsia="zh-CN" w:bidi="ar"/>
        </w:rPr>
        <w:t>基本</w:t>
      </w:r>
      <w:r>
        <w:rPr>
          <w:rFonts w:hint="eastAsia" w:ascii="宋体" w:hAnsi="宋体" w:eastAsia="宋体" w:cs="宋体"/>
          <w:i w:val="0"/>
          <w:caps w:val="0"/>
          <w:color w:val="auto"/>
          <w:spacing w:val="0"/>
          <w:kern w:val="0"/>
          <w:sz w:val="28"/>
          <w:szCs w:val="28"/>
          <w:highlight w:val="none"/>
          <w:shd w:val="clear" w:fill="FFFFFF"/>
          <w:lang w:val="en-US" w:eastAsia="zh-CN" w:bidi="ar"/>
        </w:rPr>
        <w:t>相符，绩效评价指标设计较为合理。本项指标总分为15分，实际得</w:t>
      </w:r>
      <w:r>
        <w:rPr>
          <w:rFonts w:hint="eastAsia" w:ascii="宋体" w:hAnsi="宋体" w:cs="宋体"/>
          <w:i w:val="0"/>
          <w:caps w:val="0"/>
          <w:color w:val="auto"/>
          <w:spacing w:val="0"/>
          <w:kern w:val="0"/>
          <w:sz w:val="28"/>
          <w:szCs w:val="28"/>
          <w:highlight w:val="none"/>
          <w:shd w:val="clear" w:fill="FFFFFF"/>
          <w:lang w:val="en-US" w:eastAsia="zh-CN" w:bidi="ar"/>
        </w:rPr>
        <w:t>15</w:t>
      </w:r>
      <w:r>
        <w:rPr>
          <w:rFonts w:hint="eastAsia" w:ascii="宋体" w:hAnsi="宋体" w:eastAsia="宋体" w:cs="宋体"/>
          <w:i w:val="0"/>
          <w:caps w:val="0"/>
          <w:color w:val="auto"/>
          <w:spacing w:val="0"/>
          <w:kern w:val="0"/>
          <w:sz w:val="28"/>
          <w:szCs w:val="28"/>
          <w:highlight w:val="none"/>
          <w:shd w:val="clear" w:fill="FFFFFF"/>
          <w:lang w:val="en-US" w:eastAsia="zh-CN" w:bidi="ar"/>
        </w:rPr>
        <w:t>分，得分率</w:t>
      </w:r>
      <w:r>
        <w:rPr>
          <w:rFonts w:hint="eastAsia" w:ascii="宋体" w:hAnsi="宋体" w:cs="宋体"/>
          <w:i w:val="0"/>
          <w:caps w:val="0"/>
          <w:color w:val="auto"/>
          <w:spacing w:val="0"/>
          <w:kern w:val="0"/>
          <w:sz w:val="28"/>
          <w:szCs w:val="28"/>
          <w:highlight w:val="none"/>
          <w:shd w:val="clear" w:fill="FFFFFF"/>
          <w:lang w:val="en-US" w:eastAsia="zh-CN" w:bidi="ar"/>
        </w:rPr>
        <w:t>100.00%。</w:t>
      </w:r>
    </w:p>
    <w:p>
      <w:pPr>
        <w:pStyle w:val="8"/>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ascii="宋体" w:hAnsi="宋体" w:eastAsia="宋体" w:cs="宋体"/>
          <w:sz w:val="28"/>
          <w:szCs w:val="28"/>
        </w:rPr>
      </w:pPr>
      <w:bookmarkStart w:id="85" w:name="_Toc483573556"/>
      <w:bookmarkEnd w:id="85"/>
      <w:bookmarkStart w:id="86" w:name="_Toc27266"/>
      <w:bookmarkStart w:id="87" w:name="_Toc5929_WPSOffice_Level2"/>
      <w:r>
        <w:rPr>
          <w:rFonts w:hint="eastAsia" w:ascii="宋体" w:hAnsi="宋体" w:eastAsia="宋体" w:cs="宋体"/>
          <w:sz w:val="28"/>
          <w:szCs w:val="28"/>
          <w:lang w:val="en-US" w:eastAsia="zh-CN"/>
        </w:rPr>
        <w:t>（二）项目过程</w:t>
      </w:r>
      <w:bookmarkEnd w:id="86"/>
      <w:r>
        <w:rPr>
          <w:rFonts w:hint="eastAsia" w:ascii="宋体" w:hAnsi="宋体" w:eastAsia="宋体" w:cs="宋体"/>
          <w:sz w:val="28"/>
          <w:szCs w:val="28"/>
          <w:lang w:val="en-US" w:eastAsia="zh-CN"/>
        </w:rPr>
        <w:t>（</w:t>
      </w:r>
      <w:r>
        <w:rPr>
          <w:rFonts w:hint="eastAsia" w:ascii="宋体" w:hAnsi="宋体" w:cs="宋体"/>
          <w:sz w:val="28"/>
          <w:szCs w:val="28"/>
          <w:lang w:val="en-US" w:eastAsia="zh-CN"/>
        </w:rPr>
        <w:t>2</w:t>
      </w:r>
      <w:r>
        <w:rPr>
          <w:rFonts w:hint="eastAsia" w:ascii="宋体" w:hAnsi="宋体" w:eastAsia="宋体" w:cs="宋体"/>
          <w:sz w:val="28"/>
          <w:szCs w:val="28"/>
          <w:lang w:val="en-US" w:eastAsia="zh-CN"/>
        </w:rPr>
        <w:t>0分）</w:t>
      </w:r>
      <w:bookmarkEnd w:id="87"/>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sz w:val="28"/>
          <w:szCs w:val="28"/>
          <w:lang w:val="en-US" w:eastAsia="zh-CN"/>
        </w:rPr>
        <w:t>信阳市文化广电和旅游局</w:t>
      </w:r>
      <w:r>
        <w:rPr>
          <w:rFonts w:hint="eastAsia" w:ascii="宋体" w:hAnsi="宋体" w:cs="宋体"/>
          <w:i w:val="0"/>
          <w:caps w:val="0"/>
          <w:color w:val="auto"/>
          <w:spacing w:val="0"/>
          <w:kern w:val="0"/>
          <w:sz w:val="28"/>
          <w:szCs w:val="28"/>
          <w:shd w:val="clear" w:fill="FFFFFF"/>
          <w:lang w:val="en-US" w:eastAsia="zh-CN" w:bidi="ar"/>
        </w:rPr>
        <w:t>2021年中央补助地方公共文化服务体系建设专项资金项目资金使用按照预算执行</w:t>
      </w:r>
      <w:r>
        <w:rPr>
          <w:rFonts w:hint="eastAsia" w:ascii="宋体" w:hAnsi="宋体" w:cs="宋体"/>
          <w:i w:val="0"/>
          <w:caps w:val="0"/>
          <w:color w:val="auto"/>
          <w:spacing w:val="0"/>
          <w:kern w:val="0"/>
          <w:sz w:val="28"/>
          <w:szCs w:val="28"/>
          <w:highlight w:val="none"/>
          <w:shd w:val="clear" w:fill="FFFFFF"/>
          <w:lang w:val="en-US" w:eastAsia="zh-CN" w:bidi="ar"/>
        </w:rPr>
        <w:t xml:space="preserve">，符合国家财经法规和财务管理制度以及有关专项资金管理办法的规定。资金拨付与使用有完整的审批流程和手续，但未制定相应的财务监控机制，未采取相应的财务检查等必要的监控措施及手段。本项指标总分为20分，实际得15.67分，得分率78.35% </w:t>
      </w:r>
      <w:bookmarkStart w:id="88" w:name="_Toc7956"/>
      <w:r>
        <w:rPr>
          <w:rFonts w:hint="eastAsia" w:ascii="宋体" w:hAnsi="宋体" w:cs="宋体"/>
          <w:i w:val="0"/>
          <w:caps w:val="0"/>
          <w:color w:val="auto"/>
          <w:spacing w:val="0"/>
          <w:kern w:val="0"/>
          <w:sz w:val="28"/>
          <w:szCs w:val="28"/>
          <w:highlight w:val="none"/>
          <w:shd w:val="clear" w:fill="FFFFFF"/>
          <w:lang w:val="en-US" w:eastAsia="zh-CN" w:bidi="ar"/>
        </w:rPr>
        <w:t>。</w:t>
      </w:r>
    </w:p>
    <w:bookmarkEnd w:id="88"/>
    <w:p>
      <w:pPr>
        <w:pStyle w:val="1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outlineLvl w:val="1"/>
        <w:rPr>
          <w:rFonts w:hint="eastAsia" w:ascii="微软雅黑" w:hAnsi="微软雅黑" w:eastAsia="微软雅黑" w:cs="微软雅黑"/>
          <w:i w:val="0"/>
          <w:caps w:val="0"/>
          <w:color w:val="auto"/>
          <w:spacing w:val="0"/>
          <w:sz w:val="28"/>
          <w:szCs w:val="28"/>
          <w:highlight w:val="none"/>
        </w:rPr>
      </w:pPr>
      <w:bookmarkStart w:id="89" w:name="_Toc17579"/>
      <w:bookmarkStart w:id="90" w:name="_Toc20354_WPSOffice_Level2"/>
      <w:r>
        <w:rPr>
          <w:rFonts w:hint="eastAsia" w:ascii="宋体" w:hAnsi="宋体" w:eastAsia="宋体" w:cs="宋体"/>
          <w:b/>
          <w:kern w:val="2"/>
          <w:sz w:val="28"/>
          <w:szCs w:val="28"/>
          <w:highlight w:val="none"/>
          <w:lang w:val="en-US" w:eastAsia="zh-CN" w:bidi="ar-SA"/>
        </w:rPr>
        <w:t>（三）项目产出（</w:t>
      </w:r>
      <w:r>
        <w:rPr>
          <w:rFonts w:hint="eastAsia" w:ascii="宋体" w:hAnsi="宋体" w:cs="宋体"/>
          <w:b/>
          <w:kern w:val="2"/>
          <w:sz w:val="28"/>
          <w:szCs w:val="28"/>
          <w:highlight w:val="none"/>
          <w:lang w:val="en-US" w:eastAsia="zh-CN" w:bidi="ar-SA"/>
        </w:rPr>
        <w:t>3</w:t>
      </w:r>
      <w:r>
        <w:rPr>
          <w:rFonts w:hint="eastAsia" w:ascii="宋体" w:hAnsi="宋体" w:eastAsia="宋体" w:cs="宋体"/>
          <w:b/>
          <w:kern w:val="2"/>
          <w:sz w:val="28"/>
          <w:szCs w:val="28"/>
          <w:highlight w:val="none"/>
          <w:lang w:val="en-US" w:eastAsia="zh-CN" w:bidi="ar-SA"/>
        </w:rPr>
        <w:t>5分）</w:t>
      </w:r>
      <w:bookmarkEnd w:id="89"/>
      <w:bookmarkEnd w:id="9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eastAsia="宋体" w:cs="宋体"/>
          <w:lang w:val="en-US" w:eastAsia="zh-CN"/>
        </w:rPr>
      </w:pPr>
      <w:r>
        <w:rPr>
          <w:rFonts w:hint="eastAsia" w:ascii="宋体" w:hAnsi="宋体" w:cs="宋体"/>
          <w:i w:val="0"/>
          <w:caps w:val="0"/>
          <w:color w:val="auto"/>
          <w:spacing w:val="0"/>
          <w:kern w:val="0"/>
          <w:sz w:val="28"/>
          <w:szCs w:val="28"/>
          <w:highlight w:val="none"/>
          <w:shd w:val="clear" w:fill="FFFFFF"/>
          <w:lang w:val="en-US" w:eastAsia="zh-CN" w:bidi="ar"/>
        </w:rPr>
        <w:t>信阳市文化广电和旅游局2021年中央补助地方公共文化服务体系建设专项资金项目</w:t>
      </w:r>
      <w:r>
        <w:rPr>
          <w:rFonts w:hint="eastAsia" w:ascii="宋体" w:hAnsi="宋体" w:cs="宋体"/>
          <w:i w:val="0"/>
          <w:caps w:val="0"/>
          <w:color w:val="auto"/>
          <w:spacing w:val="0"/>
          <w:kern w:val="0"/>
          <w:sz w:val="28"/>
          <w:szCs w:val="28"/>
          <w:shd w:val="clear" w:fill="FFFFFF"/>
          <w:lang w:val="en-US" w:eastAsia="zh-CN" w:bidi="ar"/>
        </w:rPr>
        <w:t>，</w:t>
      </w:r>
      <w:r>
        <w:rPr>
          <w:rFonts w:hint="eastAsia" w:ascii="宋体" w:eastAsia="宋体" w:cs="宋体"/>
          <w:i w:val="0"/>
          <w:caps w:val="0"/>
          <w:color w:val="auto"/>
          <w:spacing w:val="0"/>
          <w:kern w:val="0"/>
          <w:sz w:val="28"/>
          <w:szCs w:val="28"/>
          <w:shd w:val="clear" w:fill="FFFFFF"/>
          <w:lang w:val="en-US" w:eastAsia="zh-CN" w:bidi="ar"/>
        </w:rPr>
        <w:t>20个地区/单位中，信阳市博物馆</w:t>
      </w:r>
      <w:r>
        <w:rPr>
          <w:rFonts w:hint="eastAsia" w:ascii="宋体" w:cs="宋体"/>
          <w:i w:val="0"/>
          <w:caps w:val="0"/>
          <w:color w:val="auto"/>
          <w:spacing w:val="0"/>
          <w:kern w:val="0"/>
          <w:sz w:val="28"/>
          <w:szCs w:val="28"/>
          <w:shd w:val="clear" w:fill="FFFFFF"/>
          <w:lang w:val="en-US" w:eastAsia="zh-CN" w:bidi="ar"/>
        </w:rPr>
        <w:t>等</w:t>
      </w:r>
      <w:r>
        <w:rPr>
          <w:rFonts w:hint="eastAsia" w:ascii="宋体" w:eastAsia="宋体" w:cs="宋体"/>
          <w:i w:val="0"/>
          <w:caps w:val="0"/>
          <w:color w:val="auto"/>
          <w:spacing w:val="0"/>
          <w:kern w:val="0"/>
          <w:sz w:val="28"/>
          <w:szCs w:val="28"/>
          <w:highlight w:val="none"/>
          <w:shd w:val="clear" w:fill="FFFFFF"/>
          <w:lang w:val="en-US" w:eastAsia="zh-CN" w:bidi="ar"/>
        </w:rPr>
        <w:t>12个地区/单位完成了2021年的公共文化资源建目标</w:t>
      </w:r>
      <w:r>
        <w:rPr>
          <w:rFonts w:hint="eastAsia" w:ascii="宋体" w:cs="宋体"/>
          <w:i w:val="0"/>
          <w:caps w:val="0"/>
          <w:color w:val="auto"/>
          <w:spacing w:val="0"/>
          <w:kern w:val="0"/>
          <w:sz w:val="28"/>
          <w:szCs w:val="28"/>
          <w:highlight w:val="none"/>
          <w:shd w:val="clear" w:fill="FFFFFF"/>
          <w:lang w:val="en-US" w:eastAsia="zh-CN" w:bidi="ar"/>
        </w:rPr>
        <w:t>，项目</w:t>
      </w:r>
      <w:r>
        <w:rPr>
          <w:rFonts w:hint="eastAsia" w:ascii="宋体" w:hAnsi="宋体" w:cs="宋体"/>
          <w:i w:val="0"/>
          <w:caps w:val="0"/>
          <w:color w:val="auto"/>
          <w:spacing w:val="0"/>
          <w:kern w:val="0"/>
          <w:sz w:val="28"/>
          <w:szCs w:val="28"/>
          <w:highlight w:val="none"/>
          <w:shd w:val="clear" w:fill="FFFFFF"/>
          <w:lang w:val="en-US" w:eastAsia="zh-CN" w:bidi="ar"/>
        </w:rPr>
        <w:t>基本质量达标，但是</w:t>
      </w:r>
      <w:r>
        <w:rPr>
          <w:rFonts w:hint="eastAsia" w:ascii="宋体" w:hAnsi="宋体" w:eastAsia="宋体" w:cs="宋体"/>
          <w:i w:val="0"/>
          <w:caps w:val="0"/>
          <w:color w:val="auto"/>
          <w:spacing w:val="0"/>
          <w:kern w:val="0"/>
          <w:sz w:val="28"/>
          <w:szCs w:val="28"/>
          <w:highlight w:val="none"/>
          <w:shd w:val="clear" w:fill="FFFFFF"/>
          <w:lang w:val="en-US" w:eastAsia="zh-CN" w:bidi="ar"/>
        </w:rPr>
        <w:t>项目部分资金未提供产出相关资料。</w:t>
      </w:r>
      <w:r>
        <w:rPr>
          <w:rFonts w:hint="eastAsia" w:ascii="宋体" w:hAnsi="宋体" w:cs="宋体"/>
          <w:i w:val="0"/>
          <w:caps w:val="0"/>
          <w:color w:val="auto"/>
          <w:spacing w:val="0"/>
          <w:kern w:val="0"/>
          <w:sz w:val="28"/>
          <w:szCs w:val="28"/>
          <w:highlight w:val="none"/>
          <w:shd w:val="clear" w:fill="FFFFFF"/>
          <w:lang w:val="en-US" w:eastAsia="zh-CN" w:bidi="ar"/>
        </w:rPr>
        <w:t>本项指标总分为35分，实际得分达到27.2分，得分率77.71%。</w:t>
      </w:r>
      <w:bookmarkStart w:id="91" w:name="_Toc19658"/>
    </w:p>
    <w:p>
      <w:pPr>
        <w:pStyle w:val="1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outlineLvl w:val="1"/>
        <w:rPr>
          <w:rFonts w:hint="eastAsia" w:ascii="宋体" w:hAnsi="宋体" w:eastAsia="宋体" w:cs="宋体"/>
          <w:sz w:val="28"/>
          <w:szCs w:val="28"/>
          <w:highlight w:val="none"/>
          <w:lang w:val="en-US" w:eastAsia="zh-CN"/>
        </w:rPr>
      </w:pPr>
      <w:bookmarkStart w:id="92" w:name="_Toc14846_WPSOffice_Level2"/>
      <w:r>
        <w:rPr>
          <w:rFonts w:hint="eastAsia" w:ascii="宋体" w:hAnsi="宋体" w:eastAsia="宋体" w:cs="宋体"/>
          <w:sz w:val="28"/>
          <w:szCs w:val="28"/>
          <w:highlight w:val="none"/>
          <w:lang w:val="en-US" w:eastAsia="zh-CN"/>
        </w:rPr>
        <w:t>（四）项目效益</w:t>
      </w:r>
      <w:bookmarkEnd w:id="91"/>
      <w:r>
        <w:rPr>
          <w:rFonts w:hint="eastAsia" w:ascii="宋体" w:hAnsi="宋体" w:eastAsia="宋体" w:cs="宋体"/>
          <w:sz w:val="28"/>
          <w:szCs w:val="28"/>
          <w:highlight w:val="none"/>
          <w:lang w:val="en-US" w:eastAsia="zh-CN"/>
        </w:rPr>
        <w:t>（30分）</w:t>
      </w:r>
      <w:bookmarkEnd w:id="92"/>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560" w:firstLineChars="200"/>
        <w:textAlignment w:val="auto"/>
        <w:rPr>
          <w:rFonts w:hint="default"/>
          <w:lang w:val="en-US" w:eastAsia="zh-CN"/>
        </w:rPr>
      </w:pPr>
      <w:r>
        <w:rPr>
          <w:rFonts w:hint="eastAsia" w:ascii="宋体" w:hAnsi="宋体" w:eastAsia="宋体" w:cs="宋体"/>
          <w:i w:val="0"/>
          <w:caps w:val="0"/>
          <w:color w:val="auto"/>
          <w:spacing w:val="0"/>
          <w:kern w:val="0"/>
          <w:sz w:val="28"/>
          <w:szCs w:val="28"/>
          <w:highlight w:val="none"/>
          <w:shd w:val="clear" w:fill="FFFFFF"/>
          <w:lang w:val="en-US" w:eastAsia="zh-CN" w:bidi="ar"/>
        </w:rPr>
        <w:t>2021年中央补助地方公共文化服务体系建设专项资金</w:t>
      </w:r>
      <w:r>
        <w:rPr>
          <w:rFonts w:hint="eastAsia" w:ascii="宋体" w:hAnsi="宋体" w:cs="宋体"/>
          <w:i w:val="0"/>
          <w:caps w:val="0"/>
          <w:color w:val="auto"/>
          <w:spacing w:val="0"/>
          <w:kern w:val="0"/>
          <w:sz w:val="28"/>
          <w:szCs w:val="28"/>
          <w:highlight w:val="none"/>
          <w:shd w:val="clear" w:fill="FFFFFF"/>
          <w:lang w:val="en-US" w:eastAsia="zh-CN" w:bidi="ar"/>
        </w:rPr>
        <w:t>并且</w:t>
      </w:r>
      <w:r>
        <w:rPr>
          <w:rFonts w:hint="eastAsia" w:ascii="宋体" w:hAnsi="宋体" w:eastAsia="宋体" w:cs="宋体"/>
          <w:i w:val="0"/>
          <w:caps w:val="0"/>
          <w:color w:val="auto"/>
          <w:spacing w:val="0"/>
          <w:kern w:val="0"/>
          <w:sz w:val="28"/>
          <w:szCs w:val="28"/>
          <w:highlight w:val="none"/>
          <w:shd w:val="clear" w:fill="FFFFFF"/>
          <w:lang w:val="en-US" w:eastAsia="zh-CN" w:bidi="ar"/>
        </w:rPr>
        <w:t>项目提升</w:t>
      </w:r>
      <w:r>
        <w:rPr>
          <w:rFonts w:hint="eastAsia" w:ascii="宋体" w:hAnsi="宋体" w:cs="宋体"/>
          <w:i w:val="0"/>
          <w:caps w:val="0"/>
          <w:color w:val="auto"/>
          <w:spacing w:val="0"/>
          <w:kern w:val="0"/>
          <w:sz w:val="28"/>
          <w:szCs w:val="28"/>
          <w:highlight w:val="none"/>
          <w:shd w:val="clear" w:fill="FFFFFF"/>
          <w:lang w:val="en-US" w:eastAsia="zh-CN" w:bidi="ar"/>
        </w:rPr>
        <w:t>了</w:t>
      </w:r>
      <w:r>
        <w:rPr>
          <w:rFonts w:hint="eastAsia" w:ascii="宋体" w:hAnsi="宋体" w:eastAsia="宋体" w:cs="宋体"/>
          <w:i w:val="0"/>
          <w:caps w:val="0"/>
          <w:color w:val="auto"/>
          <w:spacing w:val="0"/>
          <w:kern w:val="0"/>
          <w:sz w:val="28"/>
          <w:szCs w:val="28"/>
          <w:highlight w:val="none"/>
          <w:shd w:val="clear" w:fill="FFFFFF"/>
          <w:lang w:val="en-US" w:eastAsia="zh-CN" w:bidi="ar"/>
        </w:rPr>
        <w:t>基本公共文化服务水平，不断提高</w:t>
      </w:r>
      <w:r>
        <w:rPr>
          <w:rFonts w:hint="eastAsia" w:ascii="宋体" w:hAnsi="宋体" w:cs="宋体"/>
          <w:i w:val="0"/>
          <w:caps w:val="0"/>
          <w:color w:val="auto"/>
          <w:spacing w:val="0"/>
          <w:kern w:val="0"/>
          <w:sz w:val="28"/>
          <w:szCs w:val="28"/>
          <w:highlight w:val="none"/>
          <w:shd w:val="clear" w:fill="FFFFFF"/>
          <w:lang w:val="en-US" w:eastAsia="zh-CN" w:bidi="ar"/>
        </w:rPr>
        <w:t>了</w:t>
      </w:r>
      <w:r>
        <w:rPr>
          <w:rFonts w:hint="eastAsia" w:ascii="宋体" w:hAnsi="宋体" w:eastAsia="宋体" w:cs="宋体"/>
          <w:i w:val="0"/>
          <w:caps w:val="0"/>
          <w:color w:val="auto"/>
          <w:spacing w:val="0"/>
          <w:kern w:val="0"/>
          <w:sz w:val="28"/>
          <w:szCs w:val="28"/>
          <w:highlight w:val="none"/>
          <w:shd w:val="clear" w:fill="FFFFFF"/>
          <w:lang w:val="en-US" w:eastAsia="zh-CN" w:bidi="ar"/>
        </w:rPr>
        <w:t>公共文化服务水平，不断丰富</w:t>
      </w:r>
      <w:r>
        <w:rPr>
          <w:rFonts w:hint="eastAsia" w:ascii="宋体" w:hAnsi="宋体" w:cs="宋体"/>
          <w:i w:val="0"/>
          <w:caps w:val="0"/>
          <w:color w:val="auto"/>
          <w:spacing w:val="0"/>
          <w:kern w:val="0"/>
          <w:sz w:val="28"/>
          <w:szCs w:val="28"/>
          <w:highlight w:val="none"/>
          <w:shd w:val="clear" w:fill="FFFFFF"/>
          <w:lang w:val="en-US" w:eastAsia="zh-CN" w:bidi="ar"/>
        </w:rPr>
        <w:t>了</w:t>
      </w:r>
      <w:r>
        <w:rPr>
          <w:rFonts w:hint="eastAsia" w:ascii="宋体" w:hAnsi="宋体" w:eastAsia="宋体" w:cs="宋体"/>
          <w:i w:val="0"/>
          <w:caps w:val="0"/>
          <w:color w:val="auto"/>
          <w:spacing w:val="0"/>
          <w:kern w:val="0"/>
          <w:sz w:val="28"/>
          <w:szCs w:val="28"/>
          <w:highlight w:val="none"/>
          <w:shd w:val="clear" w:fill="FFFFFF"/>
          <w:lang w:val="en-US" w:eastAsia="zh-CN" w:bidi="ar"/>
        </w:rPr>
        <w:t>广大农民群众的精神文化生活</w:t>
      </w:r>
      <w:r>
        <w:rPr>
          <w:rFonts w:hint="eastAsia" w:ascii="宋体" w:hAnsi="宋体" w:cs="宋体"/>
          <w:i w:val="0"/>
          <w:caps w:val="0"/>
          <w:color w:val="auto"/>
          <w:spacing w:val="0"/>
          <w:kern w:val="0"/>
          <w:sz w:val="28"/>
          <w:szCs w:val="28"/>
          <w:highlight w:val="none"/>
          <w:shd w:val="clear" w:fill="FFFFFF"/>
          <w:lang w:val="en-US" w:eastAsia="zh-CN" w:bidi="ar"/>
        </w:rPr>
        <w:t>，</w:t>
      </w:r>
      <w:r>
        <w:rPr>
          <w:rFonts w:hint="eastAsia" w:ascii="宋体" w:hAnsi="宋体" w:cs="宋体"/>
          <w:sz w:val="28"/>
          <w:szCs w:val="28"/>
          <w:highlight w:val="none"/>
          <w:lang w:val="en-US" w:eastAsia="zh-CN"/>
        </w:rPr>
        <w:t>营造了良好的基层文化活动氛围，</w:t>
      </w:r>
      <w:r>
        <w:rPr>
          <w:rFonts w:hint="eastAsia" w:ascii="宋体" w:hAnsi="宋体" w:cs="宋体"/>
          <w:i w:val="0"/>
          <w:caps w:val="0"/>
          <w:color w:val="auto"/>
          <w:spacing w:val="0"/>
          <w:kern w:val="0"/>
          <w:sz w:val="28"/>
          <w:szCs w:val="28"/>
          <w:shd w:val="clear" w:fill="FFFFFF"/>
          <w:lang w:val="en-US" w:eastAsia="zh-CN" w:bidi="ar"/>
        </w:rPr>
        <w:t>为农家书屋可持续发展提供保障。</w:t>
      </w:r>
      <w:r>
        <w:rPr>
          <w:rFonts w:hint="eastAsia" w:ascii="宋体" w:hAnsi="宋体" w:eastAsia="宋体" w:cs="宋体"/>
          <w:i w:val="0"/>
          <w:caps w:val="0"/>
          <w:color w:val="auto"/>
          <w:spacing w:val="0"/>
          <w:kern w:val="0"/>
          <w:sz w:val="28"/>
          <w:szCs w:val="28"/>
          <w:shd w:val="clear" w:fill="FFFFFF"/>
          <w:lang w:val="en-US" w:eastAsia="zh-CN" w:bidi="ar"/>
        </w:rPr>
        <w:t>本项指标总分为</w:t>
      </w:r>
      <w:r>
        <w:rPr>
          <w:rFonts w:hint="eastAsia" w:ascii="宋体" w:hAnsi="宋体" w:eastAsia="宋体" w:cs="宋体"/>
          <w:i w:val="0"/>
          <w:caps w:val="0"/>
          <w:color w:val="auto"/>
          <w:spacing w:val="0"/>
          <w:kern w:val="0"/>
          <w:sz w:val="28"/>
          <w:szCs w:val="28"/>
          <w:highlight w:val="none"/>
          <w:shd w:val="clear" w:fill="FFFFFF"/>
          <w:lang w:val="en-US" w:eastAsia="zh-CN" w:bidi="ar"/>
        </w:rPr>
        <w:t>30分，实际得分27.85，得分率92.83%,</w:t>
      </w:r>
      <w:bookmarkStart w:id="93" w:name="_Toc23948"/>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2" w:firstLineChars="200"/>
        <w:jc w:val="both"/>
        <w:textAlignment w:val="auto"/>
        <w:outlineLvl w:val="0"/>
        <w:rPr>
          <w:rFonts w:hint="eastAsia"/>
          <w:b/>
          <w:bCs/>
          <w:sz w:val="28"/>
          <w:szCs w:val="28"/>
          <w:lang w:val="en-US" w:eastAsia="zh-CN"/>
        </w:rPr>
      </w:pPr>
      <w:bookmarkStart w:id="94" w:name="_Toc7499_WPSOffice_Level1"/>
      <w:r>
        <w:rPr>
          <w:rFonts w:hint="eastAsia"/>
          <w:b/>
          <w:bCs/>
          <w:sz w:val="28"/>
          <w:szCs w:val="28"/>
          <w:lang w:val="en-US" w:eastAsia="zh-CN"/>
        </w:rPr>
        <w:t>五、主要经验及做法、存在的问题</w:t>
      </w:r>
      <w:bookmarkEnd w:id="93"/>
      <w:r>
        <w:rPr>
          <w:rFonts w:hint="eastAsia"/>
          <w:b/>
          <w:bCs/>
          <w:sz w:val="28"/>
          <w:szCs w:val="28"/>
          <w:lang w:val="en-US" w:eastAsia="zh-CN"/>
        </w:rPr>
        <w:t>及原因分析</w:t>
      </w:r>
      <w:bookmarkEnd w:id="94"/>
      <w:bookmarkStart w:id="95" w:name="_Toc394735833"/>
      <w:bookmarkEnd w:id="95"/>
      <w:bookmarkStart w:id="96" w:name="_Toc483573561"/>
      <w:bookmarkEnd w:id="96"/>
      <w:bookmarkStart w:id="97" w:name="_Toc19461"/>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Chars="0" w:right="0" w:rightChars="0" w:firstLine="562" w:firstLineChars="200"/>
        <w:jc w:val="both"/>
        <w:textAlignment w:val="auto"/>
        <w:outlineLvl w:val="1"/>
        <w:rPr>
          <w:rFonts w:hint="eastAsia"/>
          <w:b/>
          <w:bCs/>
          <w:sz w:val="28"/>
          <w:szCs w:val="28"/>
          <w:highlight w:val="none"/>
          <w:lang w:val="en-US" w:eastAsia="zh-CN"/>
        </w:rPr>
      </w:pPr>
      <w:bookmarkStart w:id="98" w:name="_Toc18532_WPSOffice_Level2"/>
      <w:r>
        <w:rPr>
          <w:rFonts w:hint="eastAsia"/>
          <w:b/>
          <w:bCs/>
          <w:sz w:val="28"/>
          <w:szCs w:val="28"/>
          <w:highlight w:val="none"/>
          <w:lang w:val="en-US" w:eastAsia="zh-CN"/>
        </w:rPr>
        <w:t>（一）主要经验及做法</w:t>
      </w:r>
      <w:bookmarkEnd w:id="97"/>
      <w:bookmarkEnd w:id="9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highlight w:val="none"/>
          <w:shd w:val="clear" w:fill="FFFFFF"/>
          <w:lang w:val="en-US" w:eastAsia="zh-CN" w:bidi="ar"/>
        </w:rPr>
      </w:pPr>
      <w:r>
        <w:rPr>
          <w:rFonts w:hint="eastAsia" w:ascii="宋体" w:hAnsi="宋体" w:cs="宋体"/>
          <w:i w:val="0"/>
          <w:caps w:val="0"/>
          <w:color w:val="auto"/>
          <w:spacing w:val="0"/>
          <w:kern w:val="0"/>
          <w:sz w:val="28"/>
          <w:szCs w:val="28"/>
          <w:highlight w:val="none"/>
          <w:shd w:val="clear" w:fill="FFFFFF"/>
          <w:lang w:val="en-US" w:eastAsia="zh-CN" w:bidi="ar"/>
        </w:rPr>
        <w:t>1.通过全市推进公共文化服务体系建设，指导基层文化建设，深入实施文化惠民工程，统筹推进基本公共文化服务标准化、均等化。指导区公共文化服务中心、图书馆、综合文化站开展文化服务活动，各部门互相协调配合，顺利开展各类文化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项目为2021年基层公共文化服务建设添砖加瓦，丰富了人民群众的精神文化生活。公共文化服务体系建设进行各类文化服务建设。丰富各镇办村文化娱乐活动，补足和丰富了基层公共文化服务体系的建设，提高了基层文化服务效能。有效推动了本地区基层文化的发展，给当地老百姓带来了丰富多彩的民间文艺活动，促进当地群众的文化业余生活，持续为基层群众服务。</w:t>
      </w:r>
    </w:p>
    <w:p>
      <w:pPr>
        <w:pStyle w:val="19"/>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ind w:left="0" w:leftChars="0" w:right="0" w:firstLine="562" w:firstLineChars="200"/>
        <w:jc w:val="both"/>
        <w:textAlignment w:val="auto"/>
        <w:outlineLvl w:val="1"/>
        <w:rPr>
          <w:rFonts w:hint="eastAsia"/>
          <w:b/>
          <w:bCs/>
          <w:sz w:val="28"/>
          <w:szCs w:val="28"/>
          <w:lang w:val="en-US" w:eastAsia="zh-CN"/>
        </w:rPr>
      </w:pPr>
      <w:bookmarkStart w:id="99" w:name="_Toc10094"/>
      <w:bookmarkStart w:id="100" w:name="_Toc23124_WPSOffice_Level2"/>
      <w:r>
        <w:rPr>
          <w:rFonts w:hint="eastAsia"/>
          <w:b/>
          <w:bCs/>
          <w:sz w:val="28"/>
          <w:szCs w:val="28"/>
          <w:lang w:val="en-US" w:eastAsia="zh-CN"/>
        </w:rPr>
        <w:t>（二）存在的问题</w:t>
      </w:r>
      <w:bookmarkEnd w:id="99"/>
      <w:r>
        <w:rPr>
          <w:rFonts w:hint="eastAsia"/>
          <w:b/>
          <w:bCs/>
          <w:sz w:val="28"/>
          <w:szCs w:val="28"/>
          <w:lang w:val="en-US" w:eastAsia="zh-CN"/>
        </w:rPr>
        <w:t>及原因分析</w:t>
      </w:r>
      <w:bookmarkEnd w:id="100"/>
      <w:bookmarkStart w:id="101" w:name="_Toc483573562"/>
      <w:bookmarkEnd w:id="101"/>
      <w:bookmarkStart w:id="102" w:name="_Toc24868"/>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1.项目未制定、出台具体资金管理实施办法。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2.项目资金的绩效管理与日常工作结合不够紧密，</w:t>
      </w:r>
      <w:r>
        <w:rPr>
          <w:rFonts w:hint="eastAsia" w:ascii="宋体" w:hAnsi="宋体" w:cs="宋体"/>
          <w:i w:val="0"/>
          <w:caps w:val="0"/>
          <w:color w:val="auto"/>
          <w:spacing w:val="0"/>
          <w:kern w:val="0"/>
          <w:sz w:val="28"/>
          <w:szCs w:val="28"/>
          <w:highlight w:val="none"/>
          <w:shd w:val="clear" w:fill="FFFFFF"/>
          <w:lang w:val="en-US" w:eastAsia="zh-CN" w:bidi="ar"/>
        </w:rPr>
        <w:t>未</w:t>
      </w:r>
      <w:r>
        <w:rPr>
          <w:rFonts w:hint="eastAsia" w:ascii="宋体" w:hAnsi="宋体" w:eastAsia="宋体" w:cs="宋体"/>
          <w:i w:val="0"/>
          <w:caps w:val="0"/>
          <w:color w:val="auto"/>
          <w:spacing w:val="0"/>
          <w:kern w:val="0"/>
          <w:sz w:val="28"/>
          <w:szCs w:val="28"/>
          <w:highlight w:val="none"/>
          <w:shd w:val="clear" w:fill="FFFFFF"/>
          <w:lang w:val="en-US" w:eastAsia="zh-CN" w:bidi="ar"/>
        </w:rPr>
        <w:t>采取了相应的财务检查等必要的监控措施及手段</w:t>
      </w:r>
      <w:r>
        <w:rPr>
          <w:rFonts w:hint="eastAsia" w:ascii="宋体" w:hAnsi="宋体" w:cs="宋体"/>
          <w:i w:val="0"/>
          <w:caps w:val="0"/>
          <w:color w:val="auto"/>
          <w:spacing w:val="0"/>
          <w:kern w:val="0"/>
          <w:sz w:val="28"/>
          <w:szCs w:val="28"/>
          <w:highlight w:val="none"/>
          <w:shd w:val="clear" w:fill="FFFFFF"/>
          <w:lang w:val="en-US" w:eastAsia="zh-CN" w:bidi="ar"/>
        </w:rPr>
        <w:t>，</w:t>
      </w:r>
      <w:r>
        <w:rPr>
          <w:rFonts w:hint="eastAsia" w:ascii="宋体" w:hAnsi="宋体" w:cs="宋体"/>
          <w:i w:val="0"/>
          <w:caps w:val="0"/>
          <w:color w:val="auto"/>
          <w:spacing w:val="0"/>
          <w:kern w:val="0"/>
          <w:sz w:val="28"/>
          <w:szCs w:val="28"/>
          <w:shd w:val="clear" w:fill="FFFFFF"/>
          <w:lang w:val="en-US" w:eastAsia="zh-CN" w:bidi="ar"/>
        </w:rPr>
        <w:t>绩效管理制度有待进一步健全。</w:t>
      </w:r>
    </w:p>
    <w:p>
      <w:pPr>
        <w:pStyle w:val="2"/>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Chars="0" w:firstLine="560" w:firstLineChars="200"/>
        <w:textAlignment w:val="auto"/>
        <w:rPr>
          <w:rFonts w:hint="default" w:ascii="宋体" w:hAnsi="宋体" w:eastAsia="宋体" w:cs="宋体"/>
          <w:i w:val="0"/>
          <w:caps w:val="0"/>
          <w:color w:val="auto"/>
          <w:spacing w:val="0"/>
          <w:kern w:val="0"/>
          <w:sz w:val="28"/>
          <w:szCs w:val="28"/>
          <w:highlight w:val="none"/>
          <w:shd w:val="clear" w:fill="FFFFFF"/>
          <w:lang w:val="en-US" w:eastAsia="zh-CN" w:bidi="ar"/>
        </w:rPr>
      </w:pPr>
      <w:r>
        <w:rPr>
          <w:rFonts w:hint="eastAsia" w:ascii="宋体" w:hAnsi="宋体" w:eastAsia="宋体" w:cs="宋体"/>
          <w:i w:val="0"/>
          <w:caps w:val="0"/>
          <w:color w:val="auto"/>
          <w:spacing w:val="0"/>
          <w:kern w:val="0"/>
          <w:sz w:val="28"/>
          <w:szCs w:val="28"/>
          <w:highlight w:val="none"/>
          <w:shd w:val="clear" w:fill="FFFFFF"/>
          <w:lang w:val="en-US" w:eastAsia="zh-CN" w:bidi="ar"/>
        </w:rPr>
        <w:t>3.项目部分资金使用未提供产出相关资料，如：光山县、羊山新区、上天梯管理区、鸡公山管理地区和信阳高新区的项目资金均未提供资金使用资料，无法得知项目完成产出情况。</w:t>
      </w:r>
    </w:p>
    <w:p>
      <w:pPr>
        <w:pStyle w:val="7"/>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firstLine="562" w:firstLineChars="200"/>
        <w:jc w:val="both"/>
        <w:textAlignment w:val="auto"/>
        <w:rPr>
          <w:rFonts w:hint="eastAsia"/>
          <w:sz w:val="28"/>
          <w:szCs w:val="28"/>
          <w:lang w:val="en-US" w:eastAsia="zh-CN"/>
        </w:rPr>
      </w:pPr>
      <w:bookmarkStart w:id="103" w:name="_Toc16834_WPSOffice_Level1"/>
      <w:r>
        <w:rPr>
          <w:rFonts w:hint="eastAsia"/>
          <w:sz w:val="28"/>
          <w:szCs w:val="28"/>
          <w:lang w:val="en-US" w:eastAsia="zh-CN"/>
        </w:rPr>
        <w:t>六、有关建议</w:t>
      </w:r>
      <w:bookmarkEnd w:id="102"/>
      <w:bookmarkEnd w:id="103"/>
      <w:bookmarkStart w:id="104" w:name="_Toc20193"/>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1.</w:t>
      </w:r>
      <w:r>
        <w:rPr>
          <w:rFonts w:hint="default" w:ascii="宋体" w:hAnsi="宋体" w:cs="宋体"/>
          <w:i w:val="0"/>
          <w:caps w:val="0"/>
          <w:color w:val="auto"/>
          <w:spacing w:val="0"/>
          <w:kern w:val="0"/>
          <w:sz w:val="28"/>
          <w:szCs w:val="28"/>
          <w:shd w:val="clear" w:fill="FFFFFF"/>
          <w:lang w:val="en-US" w:eastAsia="zh-CN" w:bidi="ar"/>
        </w:rPr>
        <w:t>加强项目实施过程中的跟踪监控，加强绩效管理，</w:t>
      </w:r>
      <w:r>
        <w:rPr>
          <w:rFonts w:hint="eastAsia" w:ascii="宋体" w:hAnsi="宋体" w:cs="宋体"/>
          <w:i w:val="0"/>
          <w:caps w:val="0"/>
          <w:color w:val="auto"/>
          <w:spacing w:val="0"/>
          <w:kern w:val="0"/>
          <w:sz w:val="28"/>
          <w:szCs w:val="28"/>
          <w:shd w:val="clear" w:fill="FFFFFF"/>
          <w:lang w:val="en-US" w:eastAsia="zh-CN" w:bidi="ar"/>
        </w:rPr>
        <w:t>完善</w:t>
      </w:r>
      <w:r>
        <w:rPr>
          <w:rFonts w:hint="default" w:ascii="宋体" w:hAnsi="宋体" w:cs="宋体"/>
          <w:i w:val="0"/>
          <w:caps w:val="0"/>
          <w:color w:val="auto"/>
          <w:spacing w:val="0"/>
          <w:kern w:val="0"/>
          <w:sz w:val="28"/>
          <w:szCs w:val="28"/>
          <w:shd w:val="clear" w:fill="FFFFFF"/>
          <w:lang w:val="en-US" w:eastAsia="zh-CN" w:bidi="ar"/>
        </w:rPr>
        <w:t>绩效管理制度。严格按理与预算管理结合，确保</w:t>
      </w:r>
      <w:r>
        <w:rPr>
          <w:rFonts w:hint="eastAsia" w:ascii="宋体" w:hAnsi="宋体" w:cs="宋体"/>
          <w:i w:val="0"/>
          <w:caps w:val="0"/>
          <w:color w:val="auto"/>
          <w:spacing w:val="0"/>
          <w:kern w:val="0"/>
          <w:sz w:val="28"/>
          <w:szCs w:val="28"/>
          <w:shd w:val="clear" w:fill="FFFFFF"/>
          <w:lang w:val="en-US" w:eastAsia="zh-CN" w:bidi="ar"/>
        </w:rPr>
        <w:t>项目资金的预算绩效管理</w:t>
      </w:r>
      <w:r>
        <w:rPr>
          <w:rFonts w:hint="default" w:ascii="宋体" w:hAnsi="宋体" w:cs="宋体"/>
          <w:i w:val="0"/>
          <w:caps w:val="0"/>
          <w:color w:val="auto"/>
          <w:spacing w:val="0"/>
          <w:kern w:val="0"/>
          <w:sz w:val="28"/>
          <w:szCs w:val="28"/>
          <w:shd w:val="clear" w:fill="FFFFFF"/>
          <w:lang w:val="en-US" w:eastAsia="zh-CN" w:bidi="ar"/>
        </w:rPr>
        <w:t>、执行、监控的有效性</w:t>
      </w:r>
      <w:r>
        <w:rPr>
          <w:rFonts w:hint="eastAsia" w:ascii="宋体" w:hAnsi="宋体" w:cs="宋体"/>
          <w:i w:val="0"/>
          <w:caps w:val="0"/>
          <w:color w:val="auto"/>
          <w:spacing w:val="0"/>
          <w:kern w:val="0"/>
          <w:sz w:val="28"/>
          <w:szCs w:val="28"/>
          <w:shd w:val="clear" w:fill="FFFFFF"/>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2.建议项目实施单位进一步健全项目经费的分配、使用和考核办法，加强对各资金使用单位的资金使用监督及考核，对基层公共文化设施的投入和基层文化队伍的建设持续关注，对全过程进行把控；加强对项目资金产出考核，提高财政资金使用的社会效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3.建议项目实施单位严格按照专项资金管理办法规范使用，在投入建设同时，加强使用管理，专款专用，提高财政资金使用的明确性，进一步做好绩效管理工作，切实抓好整改落实，达到以评促改促管的目的，持续强化预算管理责任，切实加强财政资金监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sz w:val="28"/>
          <w:szCs w:val="28"/>
          <w:lang w:val="en-US" w:eastAsia="zh-CN"/>
        </w:rPr>
      </w:pPr>
      <w:bookmarkStart w:id="105" w:name="_Toc5929_WPSOffice_Level1"/>
      <w:r>
        <w:rPr>
          <w:rFonts w:hint="eastAsia"/>
          <w:sz w:val="28"/>
          <w:szCs w:val="28"/>
          <w:lang w:val="en-US" w:eastAsia="zh-CN"/>
        </w:rPr>
        <w:t>七、其他需要说明的</w:t>
      </w:r>
      <w:bookmarkEnd w:id="104"/>
      <w:r>
        <w:rPr>
          <w:rFonts w:hint="eastAsia"/>
          <w:sz w:val="28"/>
          <w:szCs w:val="28"/>
          <w:lang w:val="en-US" w:eastAsia="zh-CN"/>
        </w:rPr>
        <w:t>问题</w:t>
      </w:r>
      <w:bookmarkEnd w:id="105"/>
      <w:bookmarkStart w:id="106" w:name="_Toc3096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sz w:val="28"/>
          <w:szCs w:val="28"/>
        </w:rPr>
      </w:pPr>
      <w:bookmarkStart w:id="107" w:name="_Toc14605_WPSOffice_Level2"/>
      <w:r>
        <w:rPr>
          <w:rFonts w:hint="eastAsia"/>
          <w:sz w:val="28"/>
          <w:szCs w:val="28"/>
          <w:lang w:val="en-US" w:eastAsia="zh-CN"/>
        </w:rPr>
        <w:t>（一）关于评价责任的说明</w:t>
      </w:r>
      <w:bookmarkEnd w:id="106"/>
      <w:bookmarkEnd w:id="107"/>
    </w:p>
    <w:p>
      <w:pPr>
        <w:keepNext/>
        <w:keepLines/>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left"/>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项目单位的责任是提供与形成本项目绩效自评报告相关的基础工作材料和项目资金财务核算资料，并对其真实性、合法性、完整性负责。</w:t>
      </w:r>
      <w:bookmarkStart w:id="108" w:name="_Toc5363"/>
    </w:p>
    <w:p>
      <w:pPr>
        <w:pageBreakBefore w:val="0"/>
        <w:widowControl w:val="0"/>
        <w:kinsoku/>
        <w:wordWrap/>
        <w:overflowPunct/>
        <w:topLinePunct w:val="0"/>
        <w:autoSpaceDE/>
        <w:autoSpaceDN/>
        <w:bidi w:val="0"/>
        <w:adjustRightInd w:val="0"/>
        <w:snapToGrid w:val="0"/>
        <w:spacing w:line="360" w:lineRule="auto"/>
        <w:ind w:left="0" w:leftChars="0" w:right="0" w:firstLine="562" w:firstLineChars="200"/>
        <w:textAlignment w:val="auto"/>
        <w:outlineLvl w:val="1"/>
        <w:rPr>
          <w:rFonts w:hint="eastAsia"/>
          <w:b/>
          <w:bCs/>
          <w:sz w:val="28"/>
          <w:szCs w:val="28"/>
          <w:lang w:val="en-US" w:eastAsia="zh-CN"/>
        </w:rPr>
      </w:pPr>
      <w:bookmarkStart w:id="109" w:name="_Toc1006_WPSOffice_Level2"/>
      <w:r>
        <w:rPr>
          <w:rFonts w:hint="eastAsia"/>
          <w:b/>
          <w:bCs/>
          <w:sz w:val="28"/>
          <w:szCs w:val="28"/>
          <w:lang w:val="en-US" w:eastAsia="zh-CN"/>
        </w:rPr>
        <w:t>（二）关于影响本项目绩效评价局限性的说明</w:t>
      </w:r>
      <w:bookmarkEnd w:id="108"/>
      <w:bookmarkEnd w:id="109"/>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r>
        <w:rPr>
          <w:rFonts w:hint="eastAsia" w:ascii="宋体" w:hAnsi="宋体" w:cs="宋体"/>
          <w:i w:val="0"/>
          <w:caps w:val="0"/>
          <w:color w:val="auto"/>
          <w:spacing w:val="0"/>
          <w:kern w:val="0"/>
          <w:sz w:val="28"/>
          <w:szCs w:val="28"/>
          <w:shd w:val="clear" w:fill="FFFFFF"/>
          <w:lang w:val="en-US" w:eastAsia="zh-CN" w:bidi="ar"/>
        </w:rPr>
        <w:t>项目绩效很难在短期内体现出来，主要原因有以下两点：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bookmarkStart w:id="110" w:name="_Toc26929_WPSOffice_Level3"/>
      <w:r>
        <w:rPr>
          <w:rFonts w:hint="eastAsia" w:ascii="宋体" w:hAnsi="宋体" w:cs="宋体"/>
          <w:i w:val="0"/>
          <w:caps w:val="0"/>
          <w:color w:val="auto"/>
          <w:spacing w:val="0"/>
          <w:kern w:val="0"/>
          <w:sz w:val="28"/>
          <w:szCs w:val="28"/>
          <w:shd w:val="clear" w:fill="FFFFFF"/>
          <w:lang w:val="en-US" w:eastAsia="zh-CN" w:bidi="ar"/>
        </w:rPr>
        <w:t>1.项目效益是长期的过程，并非所有的投入当年就能见效，很难在短期内见到的效果；</w:t>
      </w:r>
      <w:bookmarkEnd w:id="11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Autospacing="0" w:afterAutospacing="0" w:line="360" w:lineRule="auto"/>
        <w:ind w:left="0" w:leftChars="0" w:right="0" w:firstLine="560" w:firstLineChars="200"/>
        <w:jc w:val="both"/>
        <w:textAlignment w:val="auto"/>
        <w:rPr>
          <w:rFonts w:hint="eastAsia" w:ascii="宋体" w:hAnsi="宋体" w:cs="宋体"/>
          <w:i w:val="0"/>
          <w:caps w:val="0"/>
          <w:color w:val="auto"/>
          <w:spacing w:val="0"/>
          <w:kern w:val="0"/>
          <w:sz w:val="28"/>
          <w:szCs w:val="28"/>
          <w:shd w:val="clear" w:fill="FFFFFF"/>
          <w:lang w:val="en-US" w:eastAsia="zh-CN" w:bidi="ar"/>
        </w:rPr>
      </w:pPr>
      <w:bookmarkStart w:id="111" w:name="_Toc30805_WPSOffice_Level3"/>
      <w:r>
        <w:rPr>
          <w:rFonts w:hint="eastAsia" w:ascii="宋体" w:hAnsi="宋体" w:cs="宋体"/>
          <w:i w:val="0"/>
          <w:caps w:val="0"/>
          <w:color w:val="auto"/>
          <w:spacing w:val="0"/>
          <w:kern w:val="0"/>
          <w:sz w:val="28"/>
          <w:szCs w:val="28"/>
          <w:shd w:val="clear" w:fill="FFFFFF"/>
          <w:lang w:val="en-US" w:eastAsia="zh-CN" w:bidi="ar"/>
        </w:rPr>
        <w:t>2.项目的效益难以定量地衡量。</w:t>
      </w:r>
      <w:bookmarkEnd w:id="111"/>
    </w:p>
    <w:p>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ind w:left="0" w:leftChars="0" w:right="0" w:firstLine="2520" w:firstLineChars="900"/>
        <w:jc w:val="both"/>
        <w:textAlignment w:val="auto"/>
        <w:outlineLvl w:val="0"/>
        <w:rPr>
          <w:rFonts w:hint="default"/>
          <w:lang w:val="en-US" w:eastAsia="zh-CN"/>
        </w:rPr>
      </w:pPr>
    </w:p>
    <w:sectPr>
      <w:footerReference r:id="rId5" w:type="default"/>
      <w:pgSz w:w="11906" w:h="16838"/>
      <w:pgMar w:top="1134" w:right="1417" w:bottom="1134" w:left="1417" w:header="567" w:footer="567" w:gutter="0"/>
      <w:pgNumType w:fmt="decimal"/>
      <w:cols w:space="0" w:num="1"/>
      <w:rtlGutter w:val="0"/>
      <w:docGrid w:type="lines" w:linePitch="3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FA394"/>
    <w:multiLevelType w:val="singleLevel"/>
    <w:tmpl w:val="854FA394"/>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20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YWVkYzBlZjUwNWQzODZkYWIwNzk3ZDA0NDdmNjYifQ=="/>
  </w:docVars>
  <w:rsids>
    <w:rsidRoot w:val="00172A27"/>
    <w:rsid w:val="000B44D3"/>
    <w:rsid w:val="000C3DA7"/>
    <w:rsid w:val="001315D9"/>
    <w:rsid w:val="00154A87"/>
    <w:rsid w:val="003B657C"/>
    <w:rsid w:val="00501EE6"/>
    <w:rsid w:val="00530E8E"/>
    <w:rsid w:val="00757B9E"/>
    <w:rsid w:val="00B95CDD"/>
    <w:rsid w:val="00E67BBE"/>
    <w:rsid w:val="00E76BC7"/>
    <w:rsid w:val="00F52A8D"/>
    <w:rsid w:val="01134710"/>
    <w:rsid w:val="0136557F"/>
    <w:rsid w:val="01382BF0"/>
    <w:rsid w:val="01583CAC"/>
    <w:rsid w:val="015D1EF7"/>
    <w:rsid w:val="015E6884"/>
    <w:rsid w:val="016D6AC7"/>
    <w:rsid w:val="016F4205"/>
    <w:rsid w:val="01973B44"/>
    <w:rsid w:val="019F1377"/>
    <w:rsid w:val="01A22C15"/>
    <w:rsid w:val="01AC531C"/>
    <w:rsid w:val="01C17B7C"/>
    <w:rsid w:val="01C25065"/>
    <w:rsid w:val="01F40F97"/>
    <w:rsid w:val="02071992"/>
    <w:rsid w:val="02191294"/>
    <w:rsid w:val="0224187C"/>
    <w:rsid w:val="02247ACE"/>
    <w:rsid w:val="02337A29"/>
    <w:rsid w:val="02380E83"/>
    <w:rsid w:val="023A109F"/>
    <w:rsid w:val="023C33AF"/>
    <w:rsid w:val="0240532B"/>
    <w:rsid w:val="02424984"/>
    <w:rsid w:val="0250441F"/>
    <w:rsid w:val="02573AD0"/>
    <w:rsid w:val="02657B3D"/>
    <w:rsid w:val="02775491"/>
    <w:rsid w:val="028E4F47"/>
    <w:rsid w:val="02965A3A"/>
    <w:rsid w:val="029F7484"/>
    <w:rsid w:val="02AC4FF8"/>
    <w:rsid w:val="02B7624C"/>
    <w:rsid w:val="02B9266D"/>
    <w:rsid w:val="02BA6D6B"/>
    <w:rsid w:val="02F17256"/>
    <w:rsid w:val="03015719"/>
    <w:rsid w:val="03065425"/>
    <w:rsid w:val="030B47EA"/>
    <w:rsid w:val="030D40BE"/>
    <w:rsid w:val="03213215"/>
    <w:rsid w:val="03270E48"/>
    <w:rsid w:val="03353615"/>
    <w:rsid w:val="03411FB9"/>
    <w:rsid w:val="03480563"/>
    <w:rsid w:val="035D4073"/>
    <w:rsid w:val="036F2FCB"/>
    <w:rsid w:val="039C1716"/>
    <w:rsid w:val="03A260E4"/>
    <w:rsid w:val="03A64944"/>
    <w:rsid w:val="03C107DA"/>
    <w:rsid w:val="03C926DB"/>
    <w:rsid w:val="03DF4B5E"/>
    <w:rsid w:val="03FA360A"/>
    <w:rsid w:val="0433224A"/>
    <w:rsid w:val="04361A4D"/>
    <w:rsid w:val="043D4E77"/>
    <w:rsid w:val="04451B1E"/>
    <w:rsid w:val="04620439"/>
    <w:rsid w:val="046B1E68"/>
    <w:rsid w:val="047343F5"/>
    <w:rsid w:val="04801E7D"/>
    <w:rsid w:val="04806B11"/>
    <w:rsid w:val="04874344"/>
    <w:rsid w:val="04891E6A"/>
    <w:rsid w:val="0492154D"/>
    <w:rsid w:val="04A74086"/>
    <w:rsid w:val="04A92001"/>
    <w:rsid w:val="04B07740"/>
    <w:rsid w:val="04E15802"/>
    <w:rsid w:val="04F35D86"/>
    <w:rsid w:val="050719CA"/>
    <w:rsid w:val="05103789"/>
    <w:rsid w:val="05252415"/>
    <w:rsid w:val="0548177D"/>
    <w:rsid w:val="05551D4C"/>
    <w:rsid w:val="05740860"/>
    <w:rsid w:val="058B0247"/>
    <w:rsid w:val="058F54B1"/>
    <w:rsid w:val="059960DD"/>
    <w:rsid w:val="059C5A9E"/>
    <w:rsid w:val="05A5192A"/>
    <w:rsid w:val="05AA02EA"/>
    <w:rsid w:val="05AD7C10"/>
    <w:rsid w:val="05B146DA"/>
    <w:rsid w:val="05B448C3"/>
    <w:rsid w:val="05B6739C"/>
    <w:rsid w:val="05CF7D50"/>
    <w:rsid w:val="05D610DF"/>
    <w:rsid w:val="05F56343"/>
    <w:rsid w:val="05FD679E"/>
    <w:rsid w:val="0608486B"/>
    <w:rsid w:val="0609094D"/>
    <w:rsid w:val="060F2843"/>
    <w:rsid w:val="061B4D44"/>
    <w:rsid w:val="06257970"/>
    <w:rsid w:val="062E2CC9"/>
    <w:rsid w:val="06691F53"/>
    <w:rsid w:val="06712BB6"/>
    <w:rsid w:val="06765AF4"/>
    <w:rsid w:val="067D155B"/>
    <w:rsid w:val="068C79F0"/>
    <w:rsid w:val="06C4362D"/>
    <w:rsid w:val="06C62F02"/>
    <w:rsid w:val="06CE625A"/>
    <w:rsid w:val="06E96BF0"/>
    <w:rsid w:val="06EC048E"/>
    <w:rsid w:val="06F05D04"/>
    <w:rsid w:val="070E48A8"/>
    <w:rsid w:val="070E6657"/>
    <w:rsid w:val="071F6AB6"/>
    <w:rsid w:val="072E6CF9"/>
    <w:rsid w:val="07566EC6"/>
    <w:rsid w:val="07632E46"/>
    <w:rsid w:val="076D7821"/>
    <w:rsid w:val="077C7A64"/>
    <w:rsid w:val="079E6266"/>
    <w:rsid w:val="07B13FA0"/>
    <w:rsid w:val="07E21FBD"/>
    <w:rsid w:val="08017F69"/>
    <w:rsid w:val="080C5C27"/>
    <w:rsid w:val="08171283"/>
    <w:rsid w:val="084367D4"/>
    <w:rsid w:val="08597DA5"/>
    <w:rsid w:val="085A7E6E"/>
    <w:rsid w:val="085E50A4"/>
    <w:rsid w:val="086A3D60"/>
    <w:rsid w:val="086E1AA3"/>
    <w:rsid w:val="08730E67"/>
    <w:rsid w:val="088272FC"/>
    <w:rsid w:val="08830107"/>
    <w:rsid w:val="08AC4379"/>
    <w:rsid w:val="08D656F2"/>
    <w:rsid w:val="08E753B1"/>
    <w:rsid w:val="09217E21"/>
    <w:rsid w:val="092B1742"/>
    <w:rsid w:val="092D370C"/>
    <w:rsid w:val="095073FA"/>
    <w:rsid w:val="097A4477"/>
    <w:rsid w:val="099472E7"/>
    <w:rsid w:val="09C120A6"/>
    <w:rsid w:val="09C80DC3"/>
    <w:rsid w:val="09C921F2"/>
    <w:rsid w:val="09CB4CD3"/>
    <w:rsid w:val="09D55377"/>
    <w:rsid w:val="09E57362"/>
    <w:rsid w:val="0A0A57FB"/>
    <w:rsid w:val="0A105711"/>
    <w:rsid w:val="0A120031"/>
    <w:rsid w:val="0A12645E"/>
    <w:rsid w:val="0A2D3298"/>
    <w:rsid w:val="0A2F4637"/>
    <w:rsid w:val="0A341FB8"/>
    <w:rsid w:val="0A40121D"/>
    <w:rsid w:val="0A646D3F"/>
    <w:rsid w:val="0A652A31"/>
    <w:rsid w:val="0A6E5D8A"/>
    <w:rsid w:val="0A7972FD"/>
    <w:rsid w:val="0A860781"/>
    <w:rsid w:val="0A9D041D"/>
    <w:rsid w:val="0A9D419E"/>
    <w:rsid w:val="0AA03A6A"/>
    <w:rsid w:val="0AD100C7"/>
    <w:rsid w:val="0AE95411"/>
    <w:rsid w:val="0AF942F3"/>
    <w:rsid w:val="0B1D50BA"/>
    <w:rsid w:val="0B301291"/>
    <w:rsid w:val="0B333027"/>
    <w:rsid w:val="0B3C7C36"/>
    <w:rsid w:val="0B5036E2"/>
    <w:rsid w:val="0B50723E"/>
    <w:rsid w:val="0B7D77A7"/>
    <w:rsid w:val="0B7F614D"/>
    <w:rsid w:val="0BA13F3D"/>
    <w:rsid w:val="0BA17FF6"/>
    <w:rsid w:val="0BA42425"/>
    <w:rsid w:val="0BAB2EE5"/>
    <w:rsid w:val="0BD12E42"/>
    <w:rsid w:val="0BD75BB1"/>
    <w:rsid w:val="0BE44893"/>
    <w:rsid w:val="0C1110C3"/>
    <w:rsid w:val="0C234952"/>
    <w:rsid w:val="0C240125"/>
    <w:rsid w:val="0C374037"/>
    <w:rsid w:val="0C4F3999"/>
    <w:rsid w:val="0C9413AC"/>
    <w:rsid w:val="0CA27F6D"/>
    <w:rsid w:val="0CB47CA0"/>
    <w:rsid w:val="0CBF5CFF"/>
    <w:rsid w:val="0CDC7979"/>
    <w:rsid w:val="0CDD71F7"/>
    <w:rsid w:val="0CF956B3"/>
    <w:rsid w:val="0CFD33F5"/>
    <w:rsid w:val="0D045C85"/>
    <w:rsid w:val="0D13389A"/>
    <w:rsid w:val="0D4C4A8C"/>
    <w:rsid w:val="0D4E1EA3"/>
    <w:rsid w:val="0D531267"/>
    <w:rsid w:val="0D6945E7"/>
    <w:rsid w:val="0D755BC1"/>
    <w:rsid w:val="0D7C0F42"/>
    <w:rsid w:val="0D8905D4"/>
    <w:rsid w:val="0D8E04F1"/>
    <w:rsid w:val="0DBC0642"/>
    <w:rsid w:val="0DBD3B65"/>
    <w:rsid w:val="0DC43625"/>
    <w:rsid w:val="0DCB34F3"/>
    <w:rsid w:val="0DE16873"/>
    <w:rsid w:val="0DEC54F8"/>
    <w:rsid w:val="0E0052DD"/>
    <w:rsid w:val="0E016F15"/>
    <w:rsid w:val="0E14196C"/>
    <w:rsid w:val="0E1529C0"/>
    <w:rsid w:val="0E214EC1"/>
    <w:rsid w:val="0E855450"/>
    <w:rsid w:val="0E946FD3"/>
    <w:rsid w:val="0EB3626A"/>
    <w:rsid w:val="0ECD393B"/>
    <w:rsid w:val="0ED963E0"/>
    <w:rsid w:val="0EE969AF"/>
    <w:rsid w:val="0EF97BEC"/>
    <w:rsid w:val="0F00541F"/>
    <w:rsid w:val="0F16254C"/>
    <w:rsid w:val="0F334EAC"/>
    <w:rsid w:val="0F5673F2"/>
    <w:rsid w:val="0F607C6B"/>
    <w:rsid w:val="0F6270FC"/>
    <w:rsid w:val="0F636C99"/>
    <w:rsid w:val="0F6B0AEA"/>
    <w:rsid w:val="0F755E00"/>
    <w:rsid w:val="0F7A5DAB"/>
    <w:rsid w:val="0F89339D"/>
    <w:rsid w:val="0F946336"/>
    <w:rsid w:val="0FAA2EE3"/>
    <w:rsid w:val="0FB00ACE"/>
    <w:rsid w:val="0FB12275"/>
    <w:rsid w:val="0FB81855"/>
    <w:rsid w:val="0FBD753A"/>
    <w:rsid w:val="102173FB"/>
    <w:rsid w:val="102F1C84"/>
    <w:rsid w:val="10384339"/>
    <w:rsid w:val="10613C9B"/>
    <w:rsid w:val="10616D58"/>
    <w:rsid w:val="10726B00"/>
    <w:rsid w:val="107A159C"/>
    <w:rsid w:val="10901EFA"/>
    <w:rsid w:val="109B1533"/>
    <w:rsid w:val="10B90B8E"/>
    <w:rsid w:val="10C676B7"/>
    <w:rsid w:val="10CC7C33"/>
    <w:rsid w:val="10ED3781"/>
    <w:rsid w:val="10F17243"/>
    <w:rsid w:val="10FB6ED7"/>
    <w:rsid w:val="11000BEA"/>
    <w:rsid w:val="110A68BF"/>
    <w:rsid w:val="11103304"/>
    <w:rsid w:val="11170296"/>
    <w:rsid w:val="111734DB"/>
    <w:rsid w:val="11196324"/>
    <w:rsid w:val="111C4301"/>
    <w:rsid w:val="11335BD7"/>
    <w:rsid w:val="1140546A"/>
    <w:rsid w:val="11477335"/>
    <w:rsid w:val="114A472F"/>
    <w:rsid w:val="116C6D9B"/>
    <w:rsid w:val="11934328"/>
    <w:rsid w:val="11C646FD"/>
    <w:rsid w:val="11C90394"/>
    <w:rsid w:val="11CB2213"/>
    <w:rsid w:val="11FA279C"/>
    <w:rsid w:val="120726C5"/>
    <w:rsid w:val="12236D5C"/>
    <w:rsid w:val="12400634"/>
    <w:rsid w:val="1252783C"/>
    <w:rsid w:val="12591F6D"/>
    <w:rsid w:val="12597320"/>
    <w:rsid w:val="126B0E01"/>
    <w:rsid w:val="127759F8"/>
    <w:rsid w:val="12863E8D"/>
    <w:rsid w:val="12A76C1A"/>
    <w:rsid w:val="12AA7D0C"/>
    <w:rsid w:val="12B91B6C"/>
    <w:rsid w:val="12BB3B36"/>
    <w:rsid w:val="12C66037"/>
    <w:rsid w:val="12CC7AF2"/>
    <w:rsid w:val="12D818B5"/>
    <w:rsid w:val="12DE49FC"/>
    <w:rsid w:val="12F870B3"/>
    <w:rsid w:val="12FA679C"/>
    <w:rsid w:val="12FF4D3A"/>
    <w:rsid w:val="130F60A2"/>
    <w:rsid w:val="13160D6D"/>
    <w:rsid w:val="13176392"/>
    <w:rsid w:val="13277637"/>
    <w:rsid w:val="13386F35"/>
    <w:rsid w:val="133D1120"/>
    <w:rsid w:val="13410312"/>
    <w:rsid w:val="134C478E"/>
    <w:rsid w:val="135D3102"/>
    <w:rsid w:val="13756EDC"/>
    <w:rsid w:val="13766B26"/>
    <w:rsid w:val="13A945AF"/>
    <w:rsid w:val="13B011C1"/>
    <w:rsid w:val="13B36871"/>
    <w:rsid w:val="13B567D8"/>
    <w:rsid w:val="13B62731"/>
    <w:rsid w:val="13B642FE"/>
    <w:rsid w:val="13C91FE9"/>
    <w:rsid w:val="13FF5CA5"/>
    <w:rsid w:val="140C03C2"/>
    <w:rsid w:val="140C2170"/>
    <w:rsid w:val="14117786"/>
    <w:rsid w:val="14362F21"/>
    <w:rsid w:val="1438100F"/>
    <w:rsid w:val="14381D9F"/>
    <w:rsid w:val="143F3A5E"/>
    <w:rsid w:val="1440384D"/>
    <w:rsid w:val="1457163D"/>
    <w:rsid w:val="147026FF"/>
    <w:rsid w:val="149549FF"/>
    <w:rsid w:val="14B60A59"/>
    <w:rsid w:val="14B940A6"/>
    <w:rsid w:val="14BE790E"/>
    <w:rsid w:val="14C712B2"/>
    <w:rsid w:val="14D52B81"/>
    <w:rsid w:val="14E37374"/>
    <w:rsid w:val="14FF546F"/>
    <w:rsid w:val="150177FB"/>
    <w:rsid w:val="150F1F18"/>
    <w:rsid w:val="1517701E"/>
    <w:rsid w:val="151C682B"/>
    <w:rsid w:val="15316332"/>
    <w:rsid w:val="15334D63"/>
    <w:rsid w:val="15347BD0"/>
    <w:rsid w:val="153B3244"/>
    <w:rsid w:val="154F0566"/>
    <w:rsid w:val="154F4A0A"/>
    <w:rsid w:val="15640FA4"/>
    <w:rsid w:val="15672512"/>
    <w:rsid w:val="15704A83"/>
    <w:rsid w:val="158E72E0"/>
    <w:rsid w:val="159B6E95"/>
    <w:rsid w:val="15B42ABF"/>
    <w:rsid w:val="15C727F2"/>
    <w:rsid w:val="15CE3B81"/>
    <w:rsid w:val="15D32F45"/>
    <w:rsid w:val="1602634E"/>
    <w:rsid w:val="160752E5"/>
    <w:rsid w:val="16100ABC"/>
    <w:rsid w:val="161E4FE6"/>
    <w:rsid w:val="162D4D4B"/>
    <w:rsid w:val="16375D0B"/>
    <w:rsid w:val="163A1B1B"/>
    <w:rsid w:val="16556050"/>
    <w:rsid w:val="165C3C6F"/>
    <w:rsid w:val="166C7AC5"/>
    <w:rsid w:val="16786FA1"/>
    <w:rsid w:val="168626AD"/>
    <w:rsid w:val="168D57EA"/>
    <w:rsid w:val="16961201"/>
    <w:rsid w:val="169C3C7F"/>
    <w:rsid w:val="169F796D"/>
    <w:rsid w:val="16D74CB7"/>
    <w:rsid w:val="16DC7544"/>
    <w:rsid w:val="16FC296F"/>
    <w:rsid w:val="17275339"/>
    <w:rsid w:val="172A128B"/>
    <w:rsid w:val="17487963"/>
    <w:rsid w:val="174C4112"/>
    <w:rsid w:val="1756361F"/>
    <w:rsid w:val="175E69A5"/>
    <w:rsid w:val="17797B1C"/>
    <w:rsid w:val="1786223A"/>
    <w:rsid w:val="17983C59"/>
    <w:rsid w:val="179B1456"/>
    <w:rsid w:val="179E3A27"/>
    <w:rsid w:val="179E60CC"/>
    <w:rsid w:val="17B15FA7"/>
    <w:rsid w:val="17C57205"/>
    <w:rsid w:val="17D47448"/>
    <w:rsid w:val="17D60E0D"/>
    <w:rsid w:val="17D63778"/>
    <w:rsid w:val="17DB07D7"/>
    <w:rsid w:val="17E1088B"/>
    <w:rsid w:val="17E31439"/>
    <w:rsid w:val="17E76679"/>
    <w:rsid w:val="17F35B20"/>
    <w:rsid w:val="17FF5A8C"/>
    <w:rsid w:val="182757CA"/>
    <w:rsid w:val="189A5F9C"/>
    <w:rsid w:val="189D0F13"/>
    <w:rsid w:val="18B3705E"/>
    <w:rsid w:val="18B90B18"/>
    <w:rsid w:val="18C1177B"/>
    <w:rsid w:val="18D248A0"/>
    <w:rsid w:val="18EA1EED"/>
    <w:rsid w:val="19030013"/>
    <w:rsid w:val="194523AC"/>
    <w:rsid w:val="19460C23"/>
    <w:rsid w:val="194A1770"/>
    <w:rsid w:val="197513E8"/>
    <w:rsid w:val="19946E8F"/>
    <w:rsid w:val="19B66E06"/>
    <w:rsid w:val="19BB6C9E"/>
    <w:rsid w:val="1A156547"/>
    <w:rsid w:val="1A3F504D"/>
    <w:rsid w:val="1A440F33"/>
    <w:rsid w:val="1A55661F"/>
    <w:rsid w:val="1A562397"/>
    <w:rsid w:val="1A586481"/>
    <w:rsid w:val="1A740FFC"/>
    <w:rsid w:val="1A7A42D7"/>
    <w:rsid w:val="1A9A04D5"/>
    <w:rsid w:val="1AA475A6"/>
    <w:rsid w:val="1AC96A7A"/>
    <w:rsid w:val="1AE6371B"/>
    <w:rsid w:val="1AF26A01"/>
    <w:rsid w:val="1AF37BE5"/>
    <w:rsid w:val="1B1069E9"/>
    <w:rsid w:val="1B2129A5"/>
    <w:rsid w:val="1B3B3984"/>
    <w:rsid w:val="1B427F31"/>
    <w:rsid w:val="1B4D4249"/>
    <w:rsid w:val="1B4F7512"/>
    <w:rsid w:val="1B544B28"/>
    <w:rsid w:val="1B634D6B"/>
    <w:rsid w:val="1B6A00BD"/>
    <w:rsid w:val="1B6D1EAC"/>
    <w:rsid w:val="1B972D4E"/>
    <w:rsid w:val="1B99078D"/>
    <w:rsid w:val="1BA13EA4"/>
    <w:rsid w:val="1BAB226E"/>
    <w:rsid w:val="1BBB0703"/>
    <w:rsid w:val="1BBC5D0B"/>
    <w:rsid w:val="1BE532A6"/>
    <w:rsid w:val="1BEA0FE8"/>
    <w:rsid w:val="1BEB0470"/>
    <w:rsid w:val="1BF925E9"/>
    <w:rsid w:val="1C077DEC"/>
    <w:rsid w:val="1C0C1E63"/>
    <w:rsid w:val="1C0E6981"/>
    <w:rsid w:val="1C142509"/>
    <w:rsid w:val="1C180F75"/>
    <w:rsid w:val="1C2775DA"/>
    <w:rsid w:val="1C4245CE"/>
    <w:rsid w:val="1C432F6C"/>
    <w:rsid w:val="1C536B8E"/>
    <w:rsid w:val="1C750479"/>
    <w:rsid w:val="1C9512DA"/>
    <w:rsid w:val="1CA2234C"/>
    <w:rsid w:val="1CBF06C7"/>
    <w:rsid w:val="1CE912A0"/>
    <w:rsid w:val="1CF03875"/>
    <w:rsid w:val="1D72517A"/>
    <w:rsid w:val="1D77787C"/>
    <w:rsid w:val="1D8F0099"/>
    <w:rsid w:val="1D927673"/>
    <w:rsid w:val="1D98335A"/>
    <w:rsid w:val="1DAB5A97"/>
    <w:rsid w:val="1DD106B2"/>
    <w:rsid w:val="1DEB0179"/>
    <w:rsid w:val="1DED3012"/>
    <w:rsid w:val="1DF04C6C"/>
    <w:rsid w:val="1DF919B7"/>
    <w:rsid w:val="1DFE521F"/>
    <w:rsid w:val="1E1D526D"/>
    <w:rsid w:val="1E3A3BD5"/>
    <w:rsid w:val="1E401394"/>
    <w:rsid w:val="1E4C7D38"/>
    <w:rsid w:val="1E527310"/>
    <w:rsid w:val="1E616E29"/>
    <w:rsid w:val="1E62130A"/>
    <w:rsid w:val="1E6908EA"/>
    <w:rsid w:val="1E6A01BF"/>
    <w:rsid w:val="1E764DB5"/>
    <w:rsid w:val="1E8C5095"/>
    <w:rsid w:val="1ED331B1"/>
    <w:rsid w:val="1F0423C1"/>
    <w:rsid w:val="1F06438B"/>
    <w:rsid w:val="1F073C5F"/>
    <w:rsid w:val="1F0F3883"/>
    <w:rsid w:val="1F1F3367"/>
    <w:rsid w:val="1F226CEB"/>
    <w:rsid w:val="1F2962CC"/>
    <w:rsid w:val="1F316F2E"/>
    <w:rsid w:val="1F395D49"/>
    <w:rsid w:val="1F42781F"/>
    <w:rsid w:val="1F49071C"/>
    <w:rsid w:val="1F567D6F"/>
    <w:rsid w:val="1F6317DE"/>
    <w:rsid w:val="1F6966C8"/>
    <w:rsid w:val="1F731213"/>
    <w:rsid w:val="1FA0658E"/>
    <w:rsid w:val="1FBC4A4A"/>
    <w:rsid w:val="1FCB2EDF"/>
    <w:rsid w:val="1FCF04BB"/>
    <w:rsid w:val="20016901"/>
    <w:rsid w:val="201F5E38"/>
    <w:rsid w:val="202D3EB4"/>
    <w:rsid w:val="208270BF"/>
    <w:rsid w:val="20840535"/>
    <w:rsid w:val="20A24ABD"/>
    <w:rsid w:val="20D12777"/>
    <w:rsid w:val="20E00075"/>
    <w:rsid w:val="20E62665"/>
    <w:rsid w:val="20F01F24"/>
    <w:rsid w:val="20F16975"/>
    <w:rsid w:val="210B5C89"/>
    <w:rsid w:val="21250680"/>
    <w:rsid w:val="21294361"/>
    <w:rsid w:val="213A656E"/>
    <w:rsid w:val="21453C31"/>
    <w:rsid w:val="216C24A0"/>
    <w:rsid w:val="21777EC3"/>
    <w:rsid w:val="218617B3"/>
    <w:rsid w:val="219914E7"/>
    <w:rsid w:val="219E4D4F"/>
    <w:rsid w:val="21BC2A75"/>
    <w:rsid w:val="21C1030D"/>
    <w:rsid w:val="21EE5BE9"/>
    <w:rsid w:val="22097CEF"/>
    <w:rsid w:val="220B1CB9"/>
    <w:rsid w:val="2217626B"/>
    <w:rsid w:val="221D78A3"/>
    <w:rsid w:val="22401351"/>
    <w:rsid w:val="22682C67"/>
    <w:rsid w:val="226D1CAB"/>
    <w:rsid w:val="226F0499"/>
    <w:rsid w:val="22715FC0"/>
    <w:rsid w:val="22774421"/>
    <w:rsid w:val="227D2BB6"/>
    <w:rsid w:val="227D2C66"/>
    <w:rsid w:val="22A00653"/>
    <w:rsid w:val="22A530BF"/>
    <w:rsid w:val="22BC2FFB"/>
    <w:rsid w:val="22C63C15"/>
    <w:rsid w:val="22E03BBA"/>
    <w:rsid w:val="22E21CC0"/>
    <w:rsid w:val="23006217"/>
    <w:rsid w:val="23007343"/>
    <w:rsid w:val="232662B2"/>
    <w:rsid w:val="2331574F"/>
    <w:rsid w:val="234B319D"/>
    <w:rsid w:val="236005A3"/>
    <w:rsid w:val="23665B38"/>
    <w:rsid w:val="23671BC7"/>
    <w:rsid w:val="236F714D"/>
    <w:rsid w:val="23865954"/>
    <w:rsid w:val="238C6E29"/>
    <w:rsid w:val="238E78B0"/>
    <w:rsid w:val="23B76159"/>
    <w:rsid w:val="23F21382"/>
    <w:rsid w:val="240115C5"/>
    <w:rsid w:val="241B7C0C"/>
    <w:rsid w:val="242374FD"/>
    <w:rsid w:val="24255939"/>
    <w:rsid w:val="245C67FB"/>
    <w:rsid w:val="247E2C16"/>
    <w:rsid w:val="24B11017"/>
    <w:rsid w:val="24B46637"/>
    <w:rsid w:val="24BE0A59"/>
    <w:rsid w:val="24C06D8A"/>
    <w:rsid w:val="24DA7B2F"/>
    <w:rsid w:val="24DD793C"/>
    <w:rsid w:val="24E16D01"/>
    <w:rsid w:val="24E74595"/>
    <w:rsid w:val="24FD27ED"/>
    <w:rsid w:val="25090731"/>
    <w:rsid w:val="250C6474"/>
    <w:rsid w:val="250D7AF6"/>
    <w:rsid w:val="251A1F8F"/>
    <w:rsid w:val="25203CCD"/>
    <w:rsid w:val="253F116C"/>
    <w:rsid w:val="254774AC"/>
    <w:rsid w:val="25624F4F"/>
    <w:rsid w:val="25787665"/>
    <w:rsid w:val="25866AA9"/>
    <w:rsid w:val="25B708E2"/>
    <w:rsid w:val="25CB59E7"/>
    <w:rsid w:val="25CD79B1"/>
    <w:rsid w:val="25D845A8"/>
    <w:rsid w:val="25F61BF9"/>
    <w:rsid w:val="26040EF9"/>
    <w:rsid w:val="26137938"/>
    <w:rsid w:val="261A071C"/>
    <w:rsid w:val="262E5023"/>
    <w:rsid w:val="26355556"/>
    <w:rsid w:val="267947AD"/>
    <w:rsid w:val="26804A23"/>
    <w:rsid w:val="26844111"/>
    <w:rsid w:val="26993D37"/>
    <w:rsid w:val="269A41CC"/>
    <w:rsid w:val="26BB37FF"/>
    <w:rsid w:val="26BB5A5B"/>
    <w:rsid w:val="26E52AD8"/>
    <w:rsid w:val="26ED4425"/>
    <w:rsid w:val="26EF7DFB"/>
    <w:rsid w:val="26F92A28"/>
    <w:rsid w:val="27081F0F"/>
    <w:rsid w:val="27117D71"/>
    <w:rsid w:val="27334738"/>
    <w:rsid w:val="274243CE"/>
    <w:rsid w:val="274468DB"/>
    <w:rsid w:val="27547C5E"/>
    <w:rsid w:val="276B23A0"/>
    <w:rsid w:val="27C750DF"/>
    <w:rsid w:val="27E56B08"/>
    <w:rsid w:val="28094EEC"/>
    <w:rsid w:val="281713B7"/>
    <w:rsid w:val="28235FAE"/>
    <w:rsid w:val="28433F5A"/>
    <w:rsid w:val="28463A4A"/>
    <w:rsid w:val="28584889"/>
    <w:rsid w:val="285F68BA"/>
    <w:rsid w:val="28620159"/>
    <w:rsid w:val="28757E8C"/>
    <w:rsid w:val="287700A8"/>
    <w:rsid w:val="2899001E"/>
    <w:rsid w:val="28AD1D1C"/>
    <w:rsid w:val="28DA5749"/>
    <w:rsid w:val="28DC12FF"/>
    <w:rsid w:val="28E76FDC"/>
    <w:rsid w:val="28F32B26"/>
    <w:rsid w:val="28F74D45"/>
    <w:rsid w:val="29146FF1"/>
    <w:rsid w:val="292673D8"/>
    <w:rsid w:val="29391D41"/>
    <w:rsid w:val="2946642F"/>
    <w:rsid w:val="294D2BB7"/>
    <w:rsid w:val="294F2DD3"/>
    <w:rsid w:val="296D0128"/>
    <w:rsid w:val="296D0649"/>
    <w:rsid w:val="29724362"/>
    <w:rsid w:val="29833C9F"/>
    <w:rsid w:val="2984482A"/>
    <w:rsid w:val="29AD26A3"/>
    <w:rsid w:val="29AE7AF9"/>
    <w:rsid w:val="29B72E2C"/>
    <w:rsid w:val="29C817C4"/>
    <w:rsid w:val="29D76564"/>
    <w:rsid w:val="29F179E6"/>
    <w:rsid w:val="29F55728"/>
    <w:rsid w:val="2A12362E"/>
    <w:rsid w:val="2A2869B0"/>
    <w:rsid w:val="2A295E04"/>
    <w:rsid w:val="2A547ED3"/>
    <w:rsid w:val="2A663F30"/>
    <w:rsid w:val="2A816FBC"/>
    <w:rsid w:val="2A895E70"/>
    <w:rsid w:val="2AA158C9"/>
    <w:rsid w:val="2ABC6246"/>
    <w:rsid w:val="2AC90E07"/>
    <w:rsid w:val="2AD01CF1"/>
    <w:rsid w:val="2ADB2B70"/>
    <w:rsid w:val="2ADC41F2"/>
    <w:rsid w:val="2ADF3CE2"/>
    <w:rsid w:val="2AEB2687"/>
    <w:rsid w:val="2AEC39A9"/>
    <w:rsid w:val="2AF0736A"/>
    <w:rsid w:val="2AF92D34"/>
    <w:rsid w:val="2B020125"/>
    <w:rsid w:val="2B302521"/>
    <w:rsid w:val="2B410002"/>
    <w:rsid w:val="2B500237"/>
    <w:rsid w:val="2B581B41"/>
    <w:rsid w:val="2B6C1A1A"/>
    <w:rsid w:val="2B7B5C15"/>
    <w:rsid w:val="2B7F3F48"/>
    <w:rsid w:val="2B822FEC"/>
    <w:rsid w:val="2B886128"/>
    <w:rsid w:val="2B9176D3"/>
    <w:rsid w:val="2BB86A0D"/>
    <w:rsid w:val="2BC3287C"/>
    <w:rsid w:val="2BCA4992"/>
    <w:rsid w:val="2BDF5D62"/>
    <w:rsid w:val="2BE059F7"/>
    <w:rsid w:val="2C0E0D23"/>
    <w:rsid w:val="2C1A76C8"/>
    <w:rsid w:val="2C250D85"/>
    <w:rsid w:val="2C363DD6"/>
    <w:rsid w:val="2C6609A6"/>
    <w:rsid w:val="2C6A3CF4"/>
    <w:rsid w:val="2C7C7A3B"/>
    <w:rsid w:val="2C8E3C12"/>
    <w:rsid w:val="2C9102CD"/>
    <w:rsid w:val="2C996A07"/>
    <w:rsid w:val="2CB3174D"/>
    <w:rsid w:val="2CC644E9"/>
    <w:rsid w:val="2CCD473A"/>
    <w:rsid w:val="2CDD07AF"/>
    <w:rsid w:val="2CEE3326"/>
    <w:rsid w:val="2CFD1DE1"/>
    <w:rsid w:val="2D144117"/>
    <w:rsid w:val="2D23435A"/>
    <w:rsid w:val="2D2C2E93"/>
    <w:rsid w:val="2D66133F"/>
    <w:rsid w:val="2D6B64FF"/>
    <w:rsid w:val="2D7050C6"/>
    <w:rsid w:val="2D7770FE"/>
    <w:rsid w:val="2D88240F"/>
    <w:rsid w:val="2D925870"/>
    <w:rsid w:val="2DB2482A"/>
    <w:rsid w:val="2DC53663"/>
    <w:rsid w:val="2DE46287"/>
    <w:rsid w:val="2DEA131C"/>
    <w:rsid w:val="2DEF248E"/>
    <w:rsid w:val="2DF0277D"/>
    <w:rsid w:val="2DF16206"/>
    <w:rsid w:val="2DF6381D"/>
    <w:rsid w:val="2DFF3D5F"/>
    <w:rsid w:val="2E092D17"/>
    <w:rsid w:val="2E0E4F95"/>
    <w:rsid w:val="2E187C37"/>
    <w:rsid w:val="2E1C6801"/>
    <w:rsid w:val="2E224612"/>
    <w:rsid w:val="2E4C78E1"/>
    <w:rsid w:val="2E6115DE"/>
    <w:rsid w:val="2E8157DC"/>
    <w:rsid w:val="2E870919"/>
    <w:rsid w:val="2E90020C"/>
    <w:rsid w:val="2E976DAE"/>
    <w:rsid w:val="2EAB3F94"/>
    <w:rsid w:val="2EAE2349"/>
    <w:rsid w:val="2EBB07BA"/>
    <w:rsid w:val="2EBD433B"/>
    <w:rsid w:val="2ED34D81"/>
    <w:rsid w:val="2ED94EFC"/>
    <w:rsid w:val="2EE002BE"/>
    <w:rsid w:val="2EF74C60"/>
    <w:rsid w:val="2F193C67"/>
    <w:rsid w:val="2F315A58"/>
    <w:rsid w:val="2F37615C"/>
    <w:rsid w:val="2F450F87"/>
    <w:rsid w:val="2F527179"/>
    <w:rsid w:val="2F68699C"/>
    <w:rsid w:val="2F70526B"/>
    <w:rsid w:val="2F737636"/>
    <w:rsid w:val="2F8421B2"/>
    <w:rsid w:val="2F8C268B"/>
    <w:rsid w:val="2F93612B"/>
    <w:rsid w:val="2F9436EE"/>
    <w:rsid w:val="2F977499"/>
    <w:rsid w:val="2FB7522E"/>
    <w:rsid w:val="2FBE65BC"/>
    <w:rsid w:val="2FC66065"/>
    <w:rsid w:val="2FCE70FF"/>
    <w:rsid w:val="2FD10B96"/>
    <w:rsid w:val="2FEA115F"/>
    <w:rsid w:val="2FEE5271"/>
    <w:rsid w:val="30332B06"/>
    <w:rsid w:val="304464C2"/>
    <w:rsid w:val="306D2E1E"/>
    <w:rsid w:val="308B2942"/>
    <w:rsid w:val="308C66BA"/>
    <w:rsid w:val="30986AF1"/>
    <w:rsid w:val="30A56CD5"/>
    <w:rsid w:val="30AE03DF"/>
    <w:rsid w:val="30BA6D84"/>
    <w:rsid w:val="30CB0F91"/>
    <w:rsid w:val="30F0526D"/>
    <w:rsid w:val="30FD1934"/>
    <w:rsid w:val="310C524F"/>
    <w:rsid w:val="3115220C"/>
    <w:rsid w:val="314F04FE"/>
    <w:rsid w:val="315174A9"/>
    <w:rsid w:val="31737B35"/>
    <w:rsid w:val="3199108F"/>
    <w:rsid w:val="319B3BC9"/>
    <w:rsid w:val="31A812D2"/>
    <w:rsid w:val="31B04B94"/>
    <w:rsid w:val="31C40891"/>
    <w:rsid w:val="31C47557"/>
    <w:rsid w:val="31D618DC"/>
    <w:rsid w:val="31D811CF"/>
    <w:rsid w:val="31E06CBE"/>
    <w:rsid w:val="31E3055C"/>
    <w:rsid w:val="31F04BD8"/>
    <w:rsid w:val="31F462C5"/>
    <w:rsid w:val="31FC05CA"/>
    <w:rsid w:val="321E77E6"/>
    <w:rsid w:val="32340DB8"/>
    <w:rsid w:val="323D5EBE"/>
    <w:rsid w:val="3247732A"/>
    <w:rsid w:val="32566F80"/>
    <w:rsid w:val="3260194A"/>
    <w:rsid w:val="32627887"/>
    <w:rsid w:val="327318E0"/>
    <w:rsid w:val="327B4FB4"/>
    <w:rsid w:val="328651DD"/>
    <w:rsid w:val="32987598"/>
    <w:rsid w:val="329A10FF"/>
    <w:rsid w:val="329D4BAF"/>
    <w:rsid w:val="32A73338"/>
    <w:rsid w:val="32C263C3"/>
    <w:rsid w:val="32D0288E"/>
    <w:rsid w:val="32DD31FD"/>
    <w:rsid w:val="32EE540A"/>
    <w:rsid w:val="32FA0696"/>
    <w:rsid w:val="33264770"/>
    <w:rsid w:val="333429AC"/>
    <w:rsid w:val="333E1EEE"/>
    <w:rsid w:val="334212B2"/>
    <w:rsid w:val="335039CF"/>
    <w:rsid w:val="337F6063"/>
    <w:rsid w:val="33822CF6"/>
    <w:rsid w:val="3390201E"/>
    <w:rsid w:val="33A0550D"/>
    <w:rsid w:val="33B6494D"/>
    <w:rsid w:val="33E119DF"/>
    <w:rsid w:val="33E7754E"/>
    <w:rsid w:val="33EC7B9C"/>
    <w:rsid w:val="340C5B48"/>
    <w:rsid w:val="34160775"/>
    <w:rsid w:val="34445510"/>
    <w:rsid w:val="344D7068"/>
    <w:rsid w:val="344F3601"/>
    <w:rsid w:val="3452370C"/>
    <w:rsid w:val="3457535B"/>
    <w:rsid w:val="345E211C"/>
    <w:rsid w:val="3474193F"/>
    <w:rsid w:val="348A49AB"/>
    <w:rsid w:val="348B6F28"/>
    <w:rsid w:val="34991350"/>
    <w:rsid w:val="34A1605E"/>
    <w:rsid w:val="34BE4161"/>
    <w:rsid w:val="34D04DC8"/>
    <w:rsid w:val="34EA4772"/>
    <w:rsid w:val="35064C8D"/>
    <w:rsid w:val="35374E47"/>
    <w:rsid w:val="35416FA2"/>
    <w:rsid w:val="35551771"/>
    <w:rsid w:val="356F6A98"/>
    <w:rsid w:val="35775243"/>
    <w:rsid w:val="35A63D7A"/>
    <w:rsid w:val="35AB1518"/>
    <w:rsid w:val="35B20971"/>
    <w:rsid w:val="35B91D00"/>
    <w:rsid w:val="35DE565D"/>
    <w:rsid w:val="35FE5964"/>
    <w:rsid w:val="36124D9C"/>
    <w:rsid w:val="36413AA3"/>
    <w:rsid w:val="3642157C"/>
    <w:rsid w:val="364C4922"/>
    <w:rsid w:val="364F191D"/>
    <w:rsid w:val="365674BD"/>
    <w:rsid w:val="3659703F"/>
    <w:rsid w:val="366F6862"/>
    <w:rsid w:val="368B585E"/>
    <w:rsid w:val="36913B20"/>
    <w:rsid w:val="36987940"/>
    <w:rsid w:val="36987B67"/>
    <w:rsid w:val="36A165F4"/>
    <w:rsid w:val="36A55DE0"/>
    <w:rsid w:val="36C00830"/>
    <w:rsid w:val="36D4177D"/>
    <w:rsid w:val="36F63C70"/>
    <w:rsid w:val="36F823B4"/>
    <w:rsid w:val="36F976A3"/>
    <w:rsid w:val="37162A18"/>
    <w:rsid w:val="376165F7"/>
    <w:rsid w:val="3783605E"/>
    <w:rsid w:val="378D51F2"/>
    <w:rsid w:val="37964007"/>
    <w:rsid w:val="379C5435"/>
    <w:rsid w:val="37C8622A"/>
    <w:rsid w:val="37DD09A1"/>
    <w:rsid w:val="37EF7C5B"/>
    <w:rsid w:val="37F97CB9"/>
    <w:rsid w:val="38134ACE"/>
    <w:rsid w:val="38137C9C"/>
    <w:rsid w:val="381A6725"/>
    <w:rsid w:val="38247A18"/>
    <w:rsid w:val="38521A51"/>
    <w:rsid w:val="385E3083"/>
    <w:rsid w:val="385E74CA"/>
    <w:rsid w:val="386115E2"/>
    <w:rsid w:val="38637D01"/>
    <w:rsid w:val="38771CDA"/>
    <w:rsid w:val="388D1222"/>
    <w:rsid w:val="38AA06AD"/>
    <w:rsid w:val="38AA423A"/>
    <w:rsid w:val="38B46F01"/>
    <w:rsid w:val="38E2156D"/>
    <w:rsid w:val="38FE5C7B"/>
    <w:rsid w:val="3909201C"/>
    <w:rsid w:val="391F518B"/>
    <w:rsid w:val="392F6E44"/>
    <w:rsid w:val="396052B3"/>
    <w:rsid w:val="396E1053"/>
    <w:rsid w:val="39792D7A"/>
    <w:rsid w:val="39850165"/>
    <w:rsid w:val="39987E7E"/>
    <w:rsid w:val="39A13EE2"/>
    <w:rsid w:val="39CD7B28"/>
    <w:rsid w:val="39F01A68"/>
    <w:rsid w:val="3A162D97"/>
    <w:rsid w:val="3A3A2515"/>
    <w:rsid w:val="3A4A1178"/>
    <w:rsid w:val="3A4F7CC5"/>
    <w:rsid w:val="3A575643"/>
    <w:rsid w:val="3A606BEE"/>
    <w:rsid w:val="3A6366DE"/>
    <w:rsid w:val="3A853F0F"/>
    <w:rsid w:val="3AAC51BF"/>
    <w:rsid w:val="3AB550F3"/>
    <w:rsid w:val="3AD273C0"/>
    <w:rsid w:val="3AE13B89"/>
    <w:rsid w:val="3AE55345"/>
    <w:rsid w:val="3AFA638A"/>
    <w:rsid w:val="3B196D9D"/>
    <w:rsid w:val="3B273268"/>
    <w:rsid w:val="3B366E5F"/>
    <w:rsid w:val="3B462F6A"/>
    <w:rsid w:val="3B533A8A"/>
    <w:rsid w:val="3B592C84"/>
    <w:rsid w:val="3B5B1ACD"/>
    <w:rsid w:val="3B673FAC"/>
    <w:rsid w:val="3B6C15C2"/>
    <w:rsid w:val="3B751315"/>
    <w:rsid w:val="3B96663F"/>
    <w:rsid w:val="3BB1669C"/>
    <w:rsid w:val="3BDD601C"/>
    <w:rsid w:val="3BE63123"/>
    <w:rsid w:val="3BED44B1"/>
    <w:rsid w:val="3BF539A4"/>
    <w:rsid w:val="3C091D72"/>
    <w:rsid w:val="3C0E2587"/>
    <w:rsid w:val="3C0E2679"/>
    <w:rsid w:val="3C1001A0"/>
    <w:rsid w:val="3C1E28BD"/>
    <w:rsid w:val="3C2052F0"/>
    <w:rsid w:val="3C245D0D"/>
    <w:rsid w:val="3C2A2ADB"/>
    <w:rsid w:val="3C385A93"/>
    <w:rsid w:val="3C4D31A2"/>
    <w:rsid w:val="3C645466"/>
    <w:rsid w:val="3C706B28"/>
    <w:rsid w:val="3C797AF3"/>
    <w:rsid w:val="3CAA05F4"/>
    <w:rsid w:val="3CCB4989"/>
    <w:rsid w:val="3CD016DD"/>
    <w:rsid w:val="3CFC0724"/>
    <w:rsid w:val="3D0B5494"/>
    <w:rsid w:val="3D141AAB"/>
    <w:rsid w:val="3D234E73"/>
    <w:rsid w:val="3D371FD6"/>
    <w:rsid w:val="3D3A1978"/>
    <w:rsid w:val="3D417C86"/>
    <w:rsid w:val="3D526201"/>
    <w:rsid w:val="3D6669F2"/>
    <w:rsid w:val="3D6F2EDF"/>
    <w:rsid w:val="3D801355"/>
    <w:rsid w:val="3D830958"/>
    <w:rsid w:val="3D8F1791"/>
    <w:rsid w:val="3D997F87"/>
    <w:rsid w:val="3DB12122"/>
    <w:rsid w:val="3DBC05DF"/>
    <w:rsid w:val="3DC2371B"/>
    <w:rsid w:val="3DDD67A7"/>
    <w:rsid w:val="3DE10046"/>
    <w:rsid w:val="3DF203F7"/>
    <w:rsid w:val="3DF5764D"/>
    <w:rsid w:val="3DFE711A"/>
    <w:rsid w:val="3E483BB4"/>
    <w:rsid w:val="3E4E4747"/>
    <w:rsid w:val="3E5A7DF8"/>
    <w:rsid w:val="3E630A5B"/>
    <w:rsid w:val="3EB23790"/>
    <w:rsid w:val="3EBA2645"/>
    <w:rsid w:val="3ED44E34"/>
    <w:rsid w:val="3F061212"/>
    <w:rsid w:val="3F261A88"/>
    <w:rsid w:val="3F275F2C"/>
    <w:rsid w:val="3F476B9F"/>
    <w:rsid w:val="3F49270E"/>
    <w:rsid w:val="3F554BAC"/>
    <w:rsid w:val="3F5A0851"/>
    <w:rsid w:val="3F5E2EE4"/>
    <w:rsid w:val="3F6269B3"/>
    <w:rsid w:val="3F8A2017"/>
    <w:rsid w:val="3F9115F7"/>
    <w:rsid w:val="3FA255B3"/>
    <w:rsid w:val="3FBA6DA0"/>
    <w:rsid w:val="3FC96FE3"/>
    <w:rsid w:val="3FCE0156"/>
    <w:rsid w:val="3FCF2120"/>
    <w:rsid w:val="3FD332A4"/>
    <w:rsid w:val="3FE30FA5"/>
    <w:rsid w:val="3FEE7EAC"/>
    <w:rsid w:val="3FEF631E"/>
    <w:rsid w:val="3FF027C2"/>
    <w:rsid w:val="3FF102E8"/>
    <w:rsid w:val="40191C11"/>
    <w:rsid w:val="4044666A"/>
    <w:rsid w:val="40550877"/>
    <w:rsid w:val="40721429"/>
    <w:rsid w:val="407A1155"/>
    <w:rsid w:val="408B42FB"/>
    <w:rsid w:val="40905D53"/>
    <w:rsid w:val="40974F5E"/>
    <w:rsid w:val="40A4535A"/>
    <w:rsid w:val="40B27A77"/>
    <w:rsid w:val="40E045E4"/>
    <w:rsid w:val="40E202B0"/>
    <w:rsid w:val="40E268FE"/>
    <w:rsid w:val="40E63C3A"/>
    <w:rsid w:val="40FC6F44"/>
    <w:rsid w:val="410B117F"/>
    <w:rsid w:val="411E4892"/>
    <w:rsid w:val="413D15B5"/>
    <w:rsid w:val="41401ECE"/>
    <w:rsid w:val="41433130"/>
    <w:rsid w:val="414F729C"/>
    <w:rsid w:val="41733EA4"/>
    <w:rsid w:val="418F600A"/>
    <w:rsid w:val="419B49AF"/>
    <w:rsid w:val="419E624E"/>
    <w:rsid w:val="41A158A7"/>
    <w:rsid w:val="41A251CC"/>
    <w:rsid w:val="41A75102"/>
    <w:rsid w:val="41B65345"/>
    <w:rsid w:val="41E81277"/>
    <w:rsid w:val="41FA0242"/>
    <w:rsid w:val="420C1409"/>
    <w:rsid w:val="420E33D3"/>
    <w:rsid w:val="4214206C"/>
    <w:rsid w:val="421E7CE0"/>
    <w:rsid w:val="42204242"/>
    <w:rsid w:val="42210821"/>
    <w:rsid w:val="422C5607"/>
    <w:rsid w:val="423F358D"/>
    <w:rsid w:val="42907DEC"/>
    <w:rsid w:val="42996133"/>
    <w:rsid w:val="42C83582"/>
    <w:rsid w:val="42D737C5"/>
    <w:rsid w:val="42F30563"/>
    <w:rsid w:val="42F500EF"/>
    <w:rsid w:val="43022B82"/>
    <w:rsid w:val="430B7913"/>
    <w:rsid w:val="432307B8"/>
    <w:rsid w:val="43283A0E"/>
    <w:rsid w:val="433306ED"/>
    <w:rsid w:val="433B2D2A"/>
    <w:rsid w:val="4352715B"/>
    <w:rsid w:val="435968D0"/>
    <w:rsid w:val="435C3CCA"/>
    <w:rsid w:val="43654021"/>
    <w:rsid w:val="43657023"/>
    <w:rsid w:val="436E72E2"/>
    <w:rsid w:val="43717A3F"/>
    <w:rsid w:val="43821067"/>
    <w:rsid w:val="438A6A89"/>
    <w:rsid w:val="439F21E7"/>
    <w:rsid w:val="439F7FBE"/>
    <w:rsid w:val="43B6162D"/>
    <w:rsid w:val="43BB41A8"/>
    <w:rsid w:val="43C52AB5"/>
    <w:rsid w:val="43DF111F"/>
    <w:rsid w:val="43E26BF6"/>
    <w:rsid w:val="43E97E7C"/>
    <w:rsid w:val="43F839F3"/>
    <w:rsid w:val="440305EA"/>
    <w:rsid w:val="442F155D"/>
    <w:rsid w:val="44634B1B"/>
    <w:rsid w:val="447859E5"/>
    <w:rsid w:val="448B2315"/>
    <w:rsid w:val="449000D0"/>
    <w:rsid w:val="4498523C"/>
    <w:rsid w:val="44AD2AAA"/>
    <w:rsid w:val="44B30262"/>
    <w:rsid w:val="44BA61FA"/>
    <w:rsid w:val="44C71617"/>
    <w:rsid w:val="44D75CFE"/>
    <w:rsid w:val="44DE52DF"/>
    <w:rsid w:val="44E1092B"/>
    <w:rsid w:val="44EA0679"/>
    <w:rsid w:val="44F52A14"/>
    <w:rsid w:val="44F7413F"/>
    <w:rsid w:val="45260A34"/>
    <w:rsid w:val="455D2910"/>
    <w:rsid w:val="456B1A5D"/>
    <w:rsid w:val="45790B64"/>
    <w:rsid w:val="4584442F"/>
    <w:rsid w:val="45943BEF"/>
    <w:rsid w:val="45997167"/>
    <w:rsid w:val="459C2AA4"/>
    <w:rsid w:val="45A35BE1"/>
    <w:rsid w:val="45D3296A"/>
    <w:rsid w:val="45F06DC0"/>
    <w:rsid w:val="460E7377"/>
    <w:rsid w:val="46130FB8"/>
    <w:rsid w:val="462907DC"/>
    <w:rsid w:val="4642471A"/>
    <w:rsid w:val="465B1E84"/>
    <w:rsid w:val="468846E9"/>
    <w:rsid w:val="46A96F97"/>
    <w:rsid w:val="46AA2FF7"/>
    <w:rsid w:val="46B53E1D"/>
    <w:rsid w:val="46BE0193"/>
    <w:rsid w:val="46C202E8"/>
    <w:rsid w:val="46C81DFB"/>
    <w:rsid w:val="46CA5BDD"/>
    <w:rsid w:val="46D62DD0"/>
    <w:rsid w:val="46D85D5E"/>
    <w:rsid w:val="46D87B0C"/>
    <w:rsid w:val="46DC584E"/>
    <w:rsid w:val="46E2336C"/>
    <w:rsid w:val="46E841F3"/>
    <w:rsid w:val="46EC61DB"/>
    <w:rsid w:val="46F31965"/>
    <w:rsid w:val="46FD4309"/>
    <w:rsid w:val="473A2575"/>
    <w:rsid w:val="474A1EA4"/>
    <w:rsid w:val="475A5D99"/>
    <w:rsid w:val="475F45CC"/>
    <w:rsid w:val="4780267D"/>
    <w:rsid w:val="478A7058"/>
    <w:rsid w:val="478E72F2"/>
    <w:rsid w:val="479B0DE7"/>
    <w:rsid w:val="479F09BE"/>
    <w:rsid w:val="47A74171"/>
    <w:rsid w:val="47B10A89"/>
    <w:rsid w:val="47B232E9"/>
    <w:rsid w:val="47C14A44"/>
    <w:rsid w:val="47CF49DF"/>
    <w:rsid w:val="47D77DC3"/>
    <w:rsid w:val="47FC6667"/>
    <w:rsid w:val="480701F9"/>
    <w:rsid w:val="48117D0E"/>
    <w:rsid w:val="48286871"/>
    <w:rsid w:val="4829193B"/>
    <w:rsid w:val="484418FD"/>
    <w:rsid w:val="484F2050"/>
    <w:rsid w:val="484F4941"/>
    <w:rsid w:val="485567E2"/>
    <w:rsid w:val="485853A8"/>
    <w:rsid w:val="485E0A0E"/>
    <w:rsid w:val="489E7F50"/>
    <w:rsid w:val="48AD5549"/>
    <w:rsid w:val="48B14AB8"/>
    <w:rsid w:val="48D662CD"/>
    <w:rsid w:val="48EA3B26"/>
    <w:rsid w:val="49090450"/>
    <w:rsid w:val="491237A9"/>
    <w:rsid w:val="492334DC"/>
    <w:rsid w:val="492E3CAD"/>
    <w:rsid w:val="49315AE0"/>
    <w:rsid w:val="49373210"/>
    <w:rsid w:val="494E0559"/>
    <w:rsid w:val="49557B3A"/>
    <w:rsid w:val="49725FF6"/>
    <w:rsid w:val="498875C7"/>
    <w:rsid w:val="4995285F"/>
    <w:rsid w:val="49A168DB"/>
    <w:rsid w:val="49AB48CC"/>
    <w:rsid w:val="49B5296F"/>
    <w:rsid w:val="49D2773F"/>
    <w:rsid w:val="49DF5977"/>
    <w:rsid w:val="49E85664"/>
    <w:rsid w:val="49EB7B56"/>
    <w:rsid w:val="4A044C06"/>
    <w:rsid w:val="4A0B01F8"/>
    <w:rsid w:val="4A111CB3"/>
    <w:rsid w:val="4A370FED"/>
    <w:rsid w:val="4A3A1DD0"/>
    <w:rsid w:val="4A750C38"/>
    <w:rsid w:val="4A7E6C1C"/>
    <w:rsid w:val="4A8E50B1"/>
    <w:rsid w:val="4A9F4FAB"/>
    <w:rsid w:val="4AA448D5"/>
    <w:rsid w:val="4AD625B4"/>
    <w:rsid w:val="4ADD1B95"/>
    <w:rsid w:val="4AE42F23"/>
    <w:rsid w:val="4AF55130"/>
    <w:rsid w:val="4B1D6435"/>
    <w:rsid w:val="4B3043BA"/>
    <w:rsid w:val="4B3B0528"/>
    <w:rsid w:val="4B5859EE"/>
    <w:rsid w:val="4B6422B6"/>
    <w:rsid w:val="4B67093E"/>
    <w:rsid w:val="4B863FDA"/>
    <w:rsid w:val="4B944633"/>
    <w:rsid w:val="4B9613D7"/>
    <w:rsid w:val="4B9A7A86"/>
    <w:rsid w:val="4B9C1A50"/>
    <w:rsid w:val="4B9F32EE"/>
    <w:rsid w:val="4BA24238"/>
    <w:rsid w:val="4BA91A77"/>
    <w:rsid w:val="4BAD1567"/>
    <w:rsid w:val="4BBA2466"/>
    <w:rsid w:val="4BBD5522"/>
    <w:rsid w:val="4BC845F3"/>
    <w:rsid w:val="4BCE4E1C"/>
    <w:rsid w:val="4BD96ED8"/>
    <w:rsid w:val="4BE02215"/>
    <w:rsid w:val="4BE156B5"/>
    <w:rsid w:val="4BED3696"/>
    <w:rsid w:val="4BFE0015"/>
    <w:rsid w:val="4C07336D"/>
    <w:rsid w:val="4C1E7CDB"/>
    <w:rsid w:val="4C221129"/>
    <w:rsid w:val="4C4475EA"/>
    <w:rsid w:val="4C4A5008"/>
    <w:rsid w:val="4C5145E8"/>
    <w:rsid w:val="4C5E3D85"/>
    <w:rsid w:val="4C6D1621"/>
    <w:rsid w:val="4C6D519A"/>
    <w:rsid w:val="4C871DB8"/>
    <w:rsid w:val="4C9D4CD8"/>
    <w:rsid w:val="4CAD3CEC"/>
    <w:rsid w:val="4CB15087"/>
    <w:rsid w:val="4CB701C3"/>
    <w:rsid w:val="4CBE3209"/>
    <w:rsid w:val="4CC3375D"/>
    <w:rsid w:val="4CCA7EF7"/>
    <w:rsid w:val="4CDB2104"/>
    <w:rsid w:val="4CF44A19"/>
    <w:rsid w:val="4CFC77CC"/>
    <w:rsid w:val="4D0553D3"/>
    <w:rsid w:val="4D1D096E"/>
    <w:rsid w:val="4D1F6494"/>
    <w:rsid w:val="4D297313"/>
    <w:rsid w:val="4D4144B0"/>
    <w:rsid w:val="4D453A21"/>
    <w:rsid w:val="4D471547"/>
    <w:rsid w:val="4D550108"/>
    <w:rsid w:val="4D6D2EE2"/>
    <w:rsid w:val="4D795A49"/>
    <w:rsid w:val="4D7D31BB"/>
    <w:rsid w:val="4D827540"/>
    <w:rsid w:val="4D8F3F46"/>
    <w:rsid w:val="4D9F3131"/>
    <w:rsid w:val="4DBE47B9"/>
    <w:rsid w:val="4DD96FB4"/>
    <w:rsid w:val="4DF23BA9"/>
    <w:rsid w:val="4DF55447"/>
    <w:rsid w:val="4E08517B"/>
    <w:rsid w:val="4E121FED"/>
    <w:rsid w:val="4E360894"/>
    <w:rsid w:val="4E3C3076"/>
    <w:rsid w:val="4E485577"/>
    <w:rsid w:val="4E557C94"/>
    <w:rsid w:val="4E630603"/>
    <w:rsid w:val="4E6E0718"/>
    <w:rsid w:val="4E6F1BA8"/>
    <w:rsid w:val="4E712D20"/>
    <w:rsid w:val="4E74458A"/>
    <w:rsid w:val="4E7C6663"/>
    <w:rsid w:val="4E803594"/>
    <w:rsid w:val="4E830CA5"/>
    <w:rsid w:val="4E9133C2"/>
    <w:rsid w:val="4E964AA1"/>
    <w:rsid w:val="4EB64BD7"/>
    <w:rsid w:val="4EB66985"/>
    <w:rsid w:val="4ECC34C8"/>
    <w:rsid w:val="4ECD6AD5"/>
    <w:rsid w:val="4ECE20D4"/>
    <w:rsid w:val="4ED00D91"/>
    <w:rsid w:val="4ED87597"/>
    <w:rsid w:val="4EF61477"/>
    <w:rsid w:val="4F027DBD"/>
    <w:rsid w:val="4F095074"/>
    <w:rsid w:val="4F6A4986"/>
    <w:rsid w:val="4F721D24"/>
    <w:rsid w:val="4F7B372A"/>
    <w:rsid w:val="4F870321"/>
    <w:rsid w:val="4F8B4779"/>
    <w:rsid w:val="4F8B48DA"/>
    <w:rsid w:val="4F8B6063"/>
    <w:rsid w:val="4F8B7E11"/>
    <w:rsid w:val="4F96241E"/>
    <w:rsid w:val="4F9F6923"/>
    <w:rsid w:val="4FA57B27"/>
    <w:rsid w:val="4FAE0225"/>
    <w:rsid w:val="4FB1648B"/>
    <w:rsid w:val="4FB8461F"/>
    <w:rsid w:val="50154D2E"/>
    <w:rsid w:val="502838B2"/>
    <w:rsid w:val="505C2ED7"/>
    <w:rsid w:val="50662E2C"/>
    <w:rsid w:val="507B2D18"/>
    <w:rsid w:val="50A302D1"/>
    <w:rsid w:val="50D42D7B"/>
    <w:rsid w:val="50D61ADF"/>
    <w:rsid w:val="50D8234B"/>
    <w:rsid w:val="50E60B4A"/>
    <w:rsid w:val="50FB0FC7"/>
    <w:rsid w:val="511300BE"/>
    <w:rsid w:val="51165E00"/>
    <w:rsid w:val="513B7615"/>
    <w:rsid w:val="514E761A"/>
    <w:rsid w:val="514F4E6E"/>
    <w:rsid w:val="515D758B"/>
    <w:rsid w:val="5167040A"/>
    <w:rsid w:val="51764AF1"/>
    <w:rsid w:val="517918AC"/>
    <w:rsid w:val="51870AB3"/>
    <w:rsid w:val="51956D25"/>
    <w:rsid w:val="51961F47"/>
    <w:rsid w:val="51C94C21"/>
    <w:rsid w:val="51DF6663"/>
    <w:rsid w:val="51E657D3"/>
    <w:rsid w:val="51EC4EB6"/>
    <w:rsid w:val="51ED6C65"/>
    <w:rsid w:val="51F10A82"/>
    <w:rsid w:val="51F71A48"/>
    <w:rsid w:val="51FB0B52"/>
    <w:rsid w:val="51FC6DA4"/>
    <w:rsid w:val="52067C23"/>
    <w:rsid w:val="520A3291"/>
    <w:rsid w:val="520D49EB"/>
    <w:rsid w:val="521144B8"/>
    <w:rsid w:val="521F2A93"/>
    <w:rsid w:val="522950B9"/>
    <w:rsid w:val="522A32FE"/>
    <w:rsid w:val="522B5CE1"/>
    <w:rsid w:val="52304CA0"/>
    <w:rsid w:val="525E23AB"/>
    <w:rsid w:val="52651758"/>
    <w:rsid w:val="52705CA9"/>
    <w:rsid w:val="5272350A"/>
    <w:rsid w:val="52727066"/>
    <w:rsid w:val="528374C6"/>
    <w:rsid w:val="52871B8B"/>
    <w:rsid w:val="528C16EB"/>
    <w:rsid w:val="529813CF"/>
    <w:rsid w:val="52AA4A52"/>
    <w:rsid w:val="52BC4786"/>
    <w:rsid w:val="52C27FEE"/>
    <w:rsid w:val="52D81169"/>
    <w:rsid w:val="52DE3E81"/>
    <w:rsid w:val="52E33AC0"/>
    <w:rsid w:val="52E55A8A"/>
    <w:rsid w:val="52EF2924"/>
    <w:rsid w:val="52F263F9"/>
    <w:rsid w:val="52F474CB"/>
    <w:rsid w:val="52FB52AE"/>
    <w:rsid w:val="534C78B7"/>
    <w:rsid w:val="535B5D4C"/>
    <w:rsid w:val="536978C0"/>
    <w:rsid w:val="53837051"/>
    <w:rsid w:val="53926F90"/>
    <w:rsid w:val="53955C07"/>
    <w:rsid w:val="53B45965"/>
    <w:rsid w:val="53CA771D"/>
    <w:rsid w:val="53D77AC9"/>
    <w:rsid w:val="53DD0E57"/>
    <w:rsid w:val="53E2021C"/>
    <w:rsid w:val="540E5AB0"/>
    <w:rsid w:val="541224FD"/>
    <w:rsid w:val="541468D3"/>
    <w:rsid w:val="541A5C08"/>
    <w:rsid w:val="54244390"/>
    <w:rsid w:val="542B571F"/>
    <w:rsid w:val="542C0846"/>
    <w:rsid w:val="5439161E"/>
    <w:rsid w:val="543C16DA"/>
    <w:rsid w:val="54442C85"/>
    <w:rsid w:val="54891A20"/>
    <w:rsid w:val="548E5012"/>
    <w:rsid w:val="549F5278"/>
    <w:rsid w:val="54A121DA"/>
    <w:rsid w:val="54A55D34"/>
    <w:rsid w:val="54A83213"/>
    <w:rsid w:val="54B12F7D"/>
    <w:rsid w:val="54B75204"/>
    <w:rsid w:val="54BB2F47"/>
    <w:rsid w:val="54C57079"/>
    <w:rsid w:val="54D16B91"/>
    <w:rsid w:val="54D67D81"/>
    <w:rsid w:val="54F71AA5"/>
    <w:rsid w:val="54FE4BE1"/>
    <w:rsid w:val="550D799A"/>
    <w:rsid w:val="55142657"/>
    <w:rsid w:val="551E742C"/>
    <w:rsid w:val="55320188"/>
    <w:rsid w:val="553A3615"/>
    <w:rsid w:val="554E5790"/>
    <w:rsid w:val="555A3408"/>
    <w:rsid w:val="556C0470"/>
    <w:rsid w:val="558A46C7"/>
    <w:rsid w:val="55A35789"/>
    <w:rsid w:val="55AA4D69"/>
    <w:rsid w:val="55EF09CE"/>
    <w:rsid w:val="55F66200"/>
    <w:rsid w:val="562722FF"/>
    <w:rsid w:val="562B7C58"/>
    <w:rsid w:val="564451BE"/>
    <w:rsid w:val="564A6D4B"/>
    <w:rsid w:val="56563E15"/>
    <w:rsid w:val="56644F18"/>
    <w:rsid w:val="5668791F"/>
    <w:rsid w:val="56794E67"/>
    <w:rsid w:val="56811F6E"/>
    <w:rsid w:val="569D43CC"/>
    <w:rsid w:val="56AE2637"/>
    <w:rsid w:val="56C47577"/>
    <w:rsid w:val="56CE58D8"/>
    <w:rsid w:val="56D55E16"/>
    <w:rsid w:val="56D95906"/>
    <w:rsid w:val="56FA7C75"/>
    <w:rsid w:val="56FC4DE8"/>
    <w:rsid w:val="57066B18"/>
    <w:rsid w:val="574E5B20"/>
    <w:rsid w:val="575651A9"/>
    <w:rsid w:val="5780396F"/>
    <w:rsid w:val="5798123C"/>
    <w:rsid w:val="57A73717"/>
    <w:rsid w:val="57D64006"/>
    <w:rsid w:val="57E0285A"/>
    <w:rsid w:val="58006EC2"/>
    <w:rsid w:val="58111582"/>
    <w:rsid w:val="58115986"/>
    <w:rsid w:val="582D3C83"/>
    <w:rsid w:val="5832583F"/>
    <w:rsid w:val="583848AE"/>
    <w:rsid w:val="584B2834"/>
    <w:rsid w:val="58727DC0"/>
    <w:rsid w:val="588261A9"/>
    <w:rsid w:val="5887032B"/>
    <w:rsid w:val="588875E4"/>
    <w:rsid w:val="588F3A0E"/>
    <w:rsid w:val="58A35F9C"/>
    <w:rsid w:val="58C148A4"/>
    <w:rsid w:val="58C61EBA"/>
    <w:rsid w:val="58D603C3"/>
    <w:rsid w:val="58D63E23"/>
    <w:rsid w:val="58DF072D"/>
    <w:rsid w:val="58E56176"/>
    <w:rsid w:val="59091DA7"/>
    <w:rsid w:val="590B15D2"/>
    <w:rsid w:val="5916278A"/>
    <w:rsid w:val="59254E33"/>
    <w:rsid w:val="592A4D4B"/>
    <w:rsid w:val="59367040"/>
    <w:rsid w:val="593F6F11"/>
    <w:rsid w:val="59727FC3"/>
    <w:rsid w:val="59AF3D51"/>
    <w:rsid w:val="59C12681"/>
    <w:rsid w:val="59D2488F"/>
    <w:rsid w:val="59D9770F"/>
    <w:rsid w:val="59E44CEE"/>
    <w:rsid w:val="59FE7432"/>
    <w:rsid w:val="5A166E71"/>
    <w:rsid w:val="5A2169D9"/>
    <w:rsid w:val="5A4C2893"/>
    <w:rsid w:val="5A4D6684"/>
    <w:rsid w:val="5A53777D"/>
    <w:rsid w:val="5A5D684E"/>
    <w:rsid w:val="5A8C2C8F"/>
    <w:rsid w:val="5A8E4EF3"/>
    <w:rsid w:val="5ACF0A7B"/>
    <w:rsid w:val="5AD2118A"/>
    <w:rsid w:val="5AD52888"/>
    <w:rsid w:val="5AFA409D"/>
    <w:rsid w:val="5B130E01"/>
    <w:rsid w:val="5B1A029B"/>
    <w:rsid w:val="5B215ACE"/>
    <w:rsid w:val="5B256F8B"/>
    <w:rsid w:val="5B385991"/>
    <w:rsid w:val="5B386973"/>
    <w:rsid w:val="5B3B6835"/>
    <w:rsid w:val="5B461090"/>
    <w:rsid w:val="5B520409"/>
    <w:rsid w:val="5B690A8E"/>
    <w:rsid w:val="5B7B51DE"/>
    <w:rsid w:val="5B81031A"/>
    <w:rsid w:val="5B8322E4"/>
    <w:rsid w:val="5B857E0A"/>
    <w:rsid w:val="5BAF7D88"/>
    <w:rsid w:val="5BB4249E"/>
    <w:rsid w:val="5BB93F58"/>
    <w:rsid w:val="5BCD17B1"/>
    <w:rsid w:val="5BD35767"/>
    <w:rsid w:val="5BD448EE"/>
    <w:rsid w:val="5C090A3C"/>
    <w:rsid w:val="5C3D2493"/>
    <w:rsid w:val="5C3F445D"/>
    <w:rsid w:val="5C506638"/>
    <w:rsid w:val="5C6139A2"/>
    <w:rsid w:val="5C7D31D8"/>
    <w:rsid w:val="5C7D6D34"/>
    <w:rsid w:val="5C8E7193"/>
    <w:rsid w:val="5C92723A"/>
    <w:rsid w:val="5CA6628A"/>
    <w:rsid w:val="5CAB5BB6"/>
    <w:rsid w:val="5CAF6AC4"/>
    <w:rsid w:val="5CB653DA"/>
    <w:rsid w:val="5CE6025C"/>
    <w:rsid w:val="5CF1327E"/>
    <w:rsid w:val="5CFA65D6"/>
    <w:rsid w:val="5CFF3BED"/>
    <w:rsid w:val="5D062910"/>
    <w:rsid w:val="5D0A0CC1"/>
    <w:rsid w:val="5D121B72"/>
    <w:rsid w:val="5D1C2F23"/>
    <w:rsid w:val="5D235B2D"/>
    <w:rsid w:val="5D3119D1"/>
    <w:rsid w:val="5D331AE8"/>
    <w:rsid w:val="5D382776"/>
    <w:rsid w:val="5D5E792A"/>
    <w:rsid w:val="5D7A3273"/>
    <w:rsid w:val="5D7C348F"/>
    <w:rsid w:val="5D962A9B"/>
    <w:rsid w:val="5DA0717E"/>
    <w:rsid w:val="5DAD641C"/>
    <w:rsid w:val="5DB16193"/>
    <w:rsid w:val="5DBD1BFF"/>
    <w:rsid w:val="5DBD6A37"/>
    <w:rsid w:val="5DCA5944"/>
    <w:rsid w:val="5DEB5F1F"/>
    <w:rsid w:val="5DEE7A70"/>
    <w:rsid w:val="5DFF121C"/>
    <w:rsid w:val="5E074070"/>
    <w:rsid w:val="5E0A1A50"/>
    <w:rsid w:val="5E0D40E7"/>
    <w:rsid w:val="5E113BD7"/>
    <w:rsid w:val="5E197CFB"/>
    <w:rsid w:val="5E316028"/>
    <w:rsid w:val="5E483371"/>
    <w:rsid w:val="5E5F6487"/>
    <w:rsid w:val="5E655CD1"/>
    <w:rsid w:val="5E6C3504"/>
    <w:rsid w:val="5E744166"/>
    <w:rsid w:val="5E7A79CF"/>
    <w:rsid w:val="5E8650EC"/>
    <w:rsid w:val="5E873E9A"/>
    <w:rsid w:val="5E8A1232"/>
    <w:rsid w:val="5EB56D43"/>
    <w:rsid w:val="5EC24ED2"/>
    <w:rsid w:val="5ED63536"/>
    <w:rsid w:val="5F024888"/>
    <w:rsid w:val="5F0A3D8C"/>
    <w:rsid w:val="5F1C0A86"/>
    <w:rsid w:val="5F2636B2"/>
    <w:rsid w:val="5F2A3FC9"/>
    <w:rsid w:val="5F30008D"/>
    <w:rsid w:val="5F5244A8"/>
    <w:rsid w:val="5F6B0DF8"/>
    <w:rsid w:val="5F7A57AC"/>
    <w:rsid w:val="5F9406AE"/>
    <w:rsid w:val="5F990328"/>
    <w:rsid w:val="5F9B6CFE"/>
    <w:rsid w:val="5FBA204D"/>
    <w:rsid w:val="5FC058B5"/>
    <w:rsid w:val="5FCB6008"/>
    <w:rsid w:val="5FD10DCB"/>
    <w:rsid w:val="5FEA095A"/>
    <w:rsid w:val="60213E7A"/>
    <w:rsid w:val="6024051F"/>
    <w:rsid w:val="602844E5"/>
    <w:rsid w:val="60474414"/>
    <w:rsid w:val="604A33D1"/>
    <w:rsid w:val="605129B1"/>
    <w:rsid w:val="60553502"/>
    <w:rsid w:val="607E1938"/>
    <w:rsid w:val="609A6DCB"/>
    <w:rsid w:val="60B87B72"/>
    <w:rsid w:val="60CB6DDC"/>
    <w:rsid w:val="60CC028A"/>
    <w:rsid w:val="60D96E40"/>
    <w:rsid w:val="60E76E71"/>
    <w:rsid w:val="60FE6800"/>
    <w:rsid w:val="61215AAC"/>
    <w:rsid w:val="612C2AD6"/>
    <w:rsid w:val="6141508A"/>
    <w:rsid w:val="61493688"/>
    <w:rsid w:val="61572249"/>
    <w:rsid w:val="615B0273"/>
    <w:rsid w:val="61747F98"/>
    <w:rsid w:val="61A570C7"/>
    <w:rsid w:val="61C97C73"/>
    <w:rsid w:val="61CB270F"/>
    <w:rsid w:val="61DC44FC"/>
    <w:rsid w:val="61EB473F"/>
    <w:rsid w:val="61EB7D99"/>
    <w:rsid w:val="61F37E6F"/>
    <w:rsid w:val="61F574B9"/>
    <w:rsid w:val="621E2048"/>
    <w:rsid w:val="623954AB"/>
    <w:rsid w:val="623E6F65"/>
    <w:rsid w:val="62413DFB"/>
    <w:rsid w:val="62664FC1"/>
    <w:rsid w:val="62803EDC"/>
    <w:rsid w:val="628D3A49"/>
    <w:rsid w:val="629628FD"/>
    <w:rsid w:val="629C4C96"/>
    <w:rsid w:val="62C0797A"/>
    <w:rsid w:val="62C91D4E"/>
    <w:rsid w:val="62CE02E9"/>
    <w:rsid w:val="62DD34B8"/>
    <w:rsid w:val="62E0001C"/>
    <w:rsid w:val="62E0626E"/>
    <w:rsid w:val="62E62CA0"/>
    <w:rsid w:val="62EF025F"/>
    <w:rsid w:val="62F64193"/>
    <w:rsid w:val="62FE5D89"/>
    <w:rsid w:val="630006BE"/>
    <w:rsid w:val="630160EF"/>
    <w:rsid w:val="63065CD5"/>
    <w:rsid w:val="630737FB"/>
    <w:rsid w:val="630D0385"/>
    <w:rsid w:val="63147CC6"/>
    <w:rsid w:val="631F6D97"/>
    <w:rsid w:val="63312626"/>
    <w:rsid w:val="634D62A9"/>
    <w:rsid w:val="63531E46"/>
    <w:rsid w:val="6356208C"/>
    <w:rsid w:val="63575B29"/>
    <w:rsid w:val="636B1FDC"/>
    <w:rsid w:val="63720B26"/>
    <w:rsid w:val="63894210"/>
    <w:rsid w:val="638D1AEA"/>
    <w:rsid w:val="638E1826"/>
    <w:rsid w:val="63901A42"/>
    <w:rsid w:val="6393049E"/>
    <w:rsid w:val="63950466"/>
    <w:rsid w:val="639E11C0"/>
    <w:rsid w:val="639E415F"/>
    <w:rsid w:val="639F57E1"/>
    <w:rsid w:val="63BA261B"/>
    <w:rsid w:val="63D3125A"/>
    <w:rsid w:val="63D32641"/>
    <w:rsid w:val="63D53C56"/>
    <w:rsid w:val="63DF02D4"/>
    <w:rsid w:val="63E31B72"/>
    <w:rsid w:val="63E40235"/>
    <w:rsid w:val="63E425BB"/>
    <w:rsid w:val="63E703DA"/>
    <w:rsid w:val="63EF1C0E"/>
    <w:rsid w:val="63F070FC"/>
    <w:rsid w:val="63F518A5"/>
    <w:rsid w:val="63FE69AC"/>
    <w:rsid w:val="640970FF"/>
    <w:rsid w:val="642340BA"/>
    <w:rsid w:val="64763CBE"/>
    <w:rsid w:val="649966D5"/>
    <w:rsid w:val="64B13A1E"/>
    <w:rsid w:val="64BD0C9C"/>
    <w:rsid w:val="64BD3F93"/>
    <w:rsid w:val="64C51278"/>
    <w:rsid w:val="64D21BE7"/>
    <w:rsid w:val="64D4770D"/>
    <w:rsid w:val="64E97365"/>
    <w:rsid w:val="64EE30E0"/>
    <w:rsid w:val="64FB113D"/>
    <w:rsid w:val="650638CC"/>
    <w:rsid w:val="651421FF"/>
    <w:rsid w:val="651915C4"/>
    <w:rsid w:val="651B533C"/>
    <w:rsid w:val="653F54CE"/>
    <w:rsid w:val="654109CA"/>
    <w:rsid w:val="654A5C21"/>
    <w:rsid w:val="65857A45"/>
    <w:rsid w:val="65876E75"/>
    <w:rsid w:val="658E1694"/>
    <w:rsid w:val="659D0447"/>
    <w:rsid w:val="65A128B8"/>
    <w:rsid w:val="65AE69E0"/>
    <w:rsid w:val="65C459D3"/>
    <w:rsid w:val="65C82C47"/>
    <w:rsid w:val="65D07D56"/>
    <w:rsid w:val="65E25469"/>
    <w:rsid w:val="65E9368C"/>
    <w:rsid w:val="65EC0A86"/>
    <w:rsid w:val="65F22540"/>
    <w:rsid w:val="65FC33BF"/>
    <w:rsid w:val="661C4DA8"/>
    <w:rsid w:val="661C73DE"/>
    <w:rsid w:val="661D7FD8"/>
    <w:rsid w:val="661F2C0A"/>
    <w:rsid w:val="66234775"/>
    <w:rsid w:val="662D5327"/>
    <w:rsid w:val="66430AE1"/>
    <w:rsid w:val="6647794F"/>
    <w:rsid w:val="66611474"/>
    <w:rsid w:val="667C62AE"/>
    <w:rsid w:val="668F4233"/>
    <w:rsid w:val="668F5CC8"/>
    <w:rsid w:val="669E6783"/>
    <w:rsid w:val="66B21CD0"/>
    <w:rsid w:val="66B3122D"/>
    <w:rsid w:val="66BD5E1B"/>
    <w:rsid w:val="66DB2FD4"/>
    <w:rsid w:val="66DD4F9F"/>
    <w:rsid w:val="66EF5371"/>
    <w:rsid w:val="66F25230"/>
    <w:rsid w:val="66F45E44"/>
    <w:rsid w:val="67080B97"/>
    <w:rsid w:val="670C7632"/>
    <w:rsid w:val="670D5158"/>
    <w:rsid w:val="67174456"/>
    <w:rsid w:val="6733742A"/>
    <w:rsid w:val="674279AC"/>
    <w:rsid w:val="674768BC"/>
    <w:rsid w:val="67523C88"/>
    <w:rsid w:val="67650AF0"/>
    <w:rsid w:val="678172D0"/>
    <w:rsid w:val="67A27F96"/>
    <w:rsid w:val="67BE4013"/>
    <w:rsid w:val="67E1461B"/>
    <w:rsid w:val="67E36D16"/>
    <w:rsid w:val="67E61FB8"/>
    <w:rsid w:val="67E96050"/>
    <w:rsid w:val="67FB209D"/>
    <w:rsid w:val="67FD51CC"/>
    <w:rsid w:val="6804655B"/>
    <w:rsid w:val="681E586F"/>
    <w:rsid w:val="683A3A89"/>
    <w:rsid w:val="683A43A3"/>
    <w:rsid w:val="68442DFB"/>
    <w:rsid w:val="685F7C35"/>
    <w:rsid w:val="68882CE8"/>
    <w:rsid w:val="68886FC7"/>
    <w:rsid w:val="688B4359"/>
    <w:rsid w:val="688E7B06"/>
    <w:rsid w:val="68BF7F71"/>
    <w:rsid w:val="68D33A25"/>
    <w:rsid w:val="68EA74FF"/>
    <w:rsid w:val="68FD5854"/>
    <w:rsid w:val="690600B1"/>
    <w:rsid w:val="69197DE4"/>
    <w:rsid w:val="691E189E"/>
    <w:rsid w:val="691E542C"/>
    <w:rsid w:val="69201B59"/>
    <w:rsid w:val="694933D1"/>
    <w:rsid w:val="6953779A"/>
    <w:rsid w:val="69561384"/>
    <w:rsid w:val="695D5F23"/>
    <w:rsid w:val="696574CD"/>
    <w:rsid w:val="69823BDB"/>
    <w:rsid w:val="69841B48"/>
    <w:rsid w:val="69A215BB"/>
    <w:rsid w:val="69A91168"/>
    <w:rsid w:val="69B400A1"/>
    <w:rsid w:val="69BD2E65"/>
    <w:rsid w:val="69F93DB7"/>
    <w:rsid w:val="6A0B10D8"/>
    <w:rsid w:val="6A18009C"/>
    <w:rsid w:val="6A184540"/>
    <w:rsid w:val="6A1D2383"/>
    <w:rsid w:val="6A294057"/>
    <w:rsid w:val="6A3D3FA6"/>
    <w:rsid w:val="6A6C42EE"/>
    <w:rsid w:val="6A6E1657"/>
    <w:rsid w:val="6A8E035E"/>
    <w:rsid w:val="6AC36B8F"/>
    <w:rsid w:val="6ACE0D8E"/>
    <w:rsid w:val="6AE83F12"/>
    <w:rsid w:val="6AF428B7"/>
    <w:rsid w:val="6AFC79BD"/>
    <w:rsid w:val="6AFD7857"/>
    <w:rsid w:val="6B0D2DCF"/>
    <w:rsid w:val="6B23644F"/>
    <w:rsid w:val="6B503DEB"/>
    <w:rsid w:val="6B58608B"/>
    <w:rsid w:val="6B6C0D22"/>
    <w:rsid w:val="6B72691B"/>
    <w:rsid w:val="6B80239C"/>
    <w:rsid w:val="6B874966"/>
    <w:rsid w:val="6B9678B6"/>
    <w:rsid w:val="6BB96FF1"/>
    <w:rsid w:val="6BBD539F"/>
    <w:rsid w:val="6BC54BC6"/>
    <w:rsid w:val="6BC86FD7"/>
    <w:rsid w:val="6BD12BF8"/>
    <w:rsid w:val="6BDD334B"/>
    <w:rsid w:val="6BE50451"/>
    <w:rsid w:val="6BE741CA"/>
    <w:rsid w:val="6BE91CF0"/>
    <w:rsid w:val="6BF32B6E"/>
    <w:rsid w:val="6BF34310"/>
    <w:rsid w:val="6C070C5C"/>
    <w:rsid w:val="6C180172"/>
    <w:rsid w:val="6C186A79"/>
    <w:rsid w:val="6C354F35"/>
    <w:rsid w:val="6C3A079D"/>
    <w:rsid w:val="6C4908ED"/>
    <w:rsid w:val="6C66774C"/>
    <w:rsid w:val="6C783074"/>
    <w:rsid w:val="6C814B9E"/>
    <w:rsid w:val="6C9267E6"/>
    <w:rsid w:val="6C953C26"/>
    <w:rsid w:val="6CCA7D73"/>
    <w:rsid w:val="6CEE4B95"/>
    <w:rsid w:val="6CF52916"/>
    <w:rsid w:val="6D050DAB"/>
    <w:rsid w:val="6D0C7A50"/>
    <w:rsid w:val="6D0F39D8"/>
    <w:rsid w:val="6D1C17D7"/>
    <w:rsid w:val="6D203E37"/>
    <w:rsid w:val="6D2531FB"/>
    <w:rsid w:val="6D323B6A"/>
    <w:rsid w:val="6D4549E6"/>
    <w:rsid w:val="6D5C4743"/>
    <w:rsid w:val="6D5E2269"/>
    <w:rsid w:val="6D6746FB"/>
    <w:rsid w:val="6D6E67B9"/>
    <w:rsid w:val="6DA00AD4"/>
    <w:rsid w:val="6DAE20B4"/>
    <w:rsid w:val="6E201C15"/>
    <w:rsid w:val="6E251CF8"/>
    <w:rsid w:val="6E2A4841"/>
    <w:rsid w:val="6E3A4840"/>
    <w:rsid w:val="6E423149"/>
    <w:rsid w:val="6E4476B1"/>
    <w:rsid w:val="6E843F52"/>
    <w:rsid w:val="6EA840E4"/>
    <w:rsid w:val="6EB65BCC"/>
    <w:rsid w:val="6EBC31C7"/>
    <w:rsid w:val="6ED749C9"/>
    <w:rsid w:val="6EE03925"/>
    <w:rsid w:val="6EEB3FD1"/>
    <w:rsid w:val="6EF66B94"/>
    <w:rsid w:val="6F052E4D"/>
    <w:rsid w:val="6F3E05A4"/>
    <w:rsid w:val="6F433E0D"/>
    <w:rsid w:val="6F502086"/>
    <w:rsid w:val="6F524050"/>
    <w:rsid w:val="6F7C2E7B"/>
    <w:rsid w:val="6FAF4FFE"/>
    <w:rsid w:val="6FB76632"/>
    <w:rsid w:val="6FCE205B"/>
    <w:rsid w:val="6FF15617"/>
    <w:rsid w:val="6FF83B30"/>
    <w:rsid w:val="70031466"/>
    <w:rsid w:val="701337DF"/>
    <w:rsid w:val="70240CBB"/>
    <w:rsid w:val="70301524"/>
    <w:rsid w:val="704774D5"/>
    <w:rsid w:val="705D2040"/>
    <w:rsid w:val="707944E2"/>
    <w:rsid w:val="70A032B4"/>
    <w:rsid w:val="70A5278F"/>
    <w:rsid w:val="70BE257C"/>
    <w:rsid w:val="70C21D6D"/>
    <w:rsid w:val="70D72A5F"/>
    <w:rsid w:val="70DC0075"/>
    <w:rsid w:val="70E87657"/>
    <w:rsid w:val="71081111"/>
    <w:rsid w:val="710A1D3E"/>
    <w:rsid w:val="71221C3A"/>
    <w:rsid w:val="71237A52"/>
    <w:rsid w:val="71257C6E"/>
    <w:rsid w:val="714B0D57"/>
    <w:rsid w:val="714F6A99"/>
    <w:rsid w:val="716F531A"/>
    <w:rsid w:val="71793333"/>
    <w:rsid w:val="71804EA4"/>
    <w:rsid w:val="718524BB"/>
    <w:rsid w:val="71857176"/>
    <w:rsid w:val="71940950"/>
    <w:rsid w:val="71B40FF2"/>
    <w:rsid w:val="71B45292"/>
    <w:rsid w:val="71DF6096"/>
    <w:rsid w:val="71E85A49"/>
    <w:rsid w:val="720A6576"/>
    <w:rsid w:val="721733F9"/>
    <w:rsid w:val="72265F7C"/>
    <w:rsid w:val="72452668"/>
    <w:rsid w:val="724636AF"/>
    <w:rsid w:val="726E73F3"/>
    <w:rsid w:val="72747FF5"/>
    <w:rsid w:val="7275482B"/>
    <w:rsid w:val="72B172DF"/>
    <w:rsid w:val="72C139C6"/>
    <w:rsid w:val="72C337D4"/>
    <w:rsid w:val="72D8486C"/>
    <w:rsid w:val="72EB0EDB"/>
    <w:rsid w:val="7309711B"/>
    <w:rsid w:val="730D6C0C"/>
    <w:rsid w:val="731E2B7F"/>
    <w:rsid w:val="731F693F"/>
    <w:rsid w:val="73224E88"/>
    <w:rsid w:val="733817AF"/>
    <w:rsid w:val="73483566"/>
    <w:rsid w:val="734E4B2E"/>
    <w:rsid w:val="736F3422"/>
    <w:rsid w:val="73836ECE"/>
    <w:rsid w:val="738B5D82"/>
    <w:rsid w:val="738B7B30"/>
    <w:rsid w:val="738F7820"/>
    <w:rsid w:val="739C41D5"/>
    <w:rsid w:val="73DB0AB8"/>
    <w:rsid w:val="73DC213A"/>
    <w:rsid w:val="73E84242"/>
    <w:rsid w:val="74064E51"/>
    <w:rsid w:val="74143FCA"/>
    <w:rsid w:val="74454183"/>
    <w:rsid w:val="745368A0"/>
    <w:rsid w:val="745C677F"/>
    <w:rsid w:val="747A2167"/>
    <w:rsid w:val="749432D7"/>
    <w:rsid w:val="74A94712"/>
    <w:rsid w:val="74BD01BD"/>
    <w:rsid w:val="74C94DB4"/>
    <w:rsid w:val="74D263DA"/>
    <w:rsid w:val="74D472B5"/>
    <w:rsid w:val="74D8656F"/>
    <w:rsid w:val="74DD43BC"/>
    <w:rsid w:val="74E25E76"/>
    <w:rsid w:val="74EE481B"/>
    <w:rsid w:val="74F26F08"/>
    <w:rsid w:val="74F636CF"/>
    <w:rsid w:val="74F6547D"/>
    <w:rsid w:val="74FB750D"/>
    <w:rsid w:val="750F79FE"/>
    <w:rsid w:val="751B75FD"/>
    <w:rsid w:val="751C37AC"/>
    <w:rsid w:val="75241FEA"/>
    <w:rsid w:val="753E4279"/>
    <w:rsid w:val="754461E9"/>
    <w:rsid w:val="755C79D6"/>
    <w:rsid w:val="75660B34"/>
    <w:rsid w:val="75720FA8"/>
    <w:rsid w:val="75722D56"/>
    <w:rsid w:val="75930F1E"/>
    <w:rsid w:val="75C23793"/>
    <w:rsid w:val="75D91027"/>
    <w:rsid w:val="75F66EDB"/>
    <w:rsid w:val="76090028"/>
    <w:rsid w:val="76190F6B"/>
    <w:rsid w:val="763E0E8A"/>
    <w:rsid w:val="7641490B"/>
    <w:rsid w:val="764D731F"/>
    <w:rsid w:val="7651520C"/>
    <w:rsid w:val="76544B51"/>
    <w:rsid w:val="765D4D0E"/>
    <w:rsid w:val="766528BB"/>
    <w:rsid w:val="76676633"/>
    <w:rsid w:val="767B0330"/>
    <w:rsid w:val="76913A3E"/>
    <w:rsid w:val="76A57695"/>
    <w:rsid w:val="76AA29C3"/>
    <w:rsid w:val="76B37ACA"/>
    <w:rsid w:val="76BA4415"/>
    <w:rsid w:val="76BF7B83"/>
    <w:rsid w:val="76DE4C97"/>
    <w:rsid w:val="76FA74A7"/>
    <w:rsid w:val="76FF5F65"/>
    <w:rsid w:val="771066E9"/>
    <w:rsid w:val="771147F0"/>
    <w:rsid w:val="771F6F0D"/>
    <w:rsid w:val="77376CA5"/>
    <w:rsid w:val="775E5C88"/>
    <w:rsid w:val="777C610E"/>
    <w:rsid w:val="7781412C"/>
    <w:rsid w:val="7796055C"/>
    <w:rsid w:val="779D5006"/>
    <w:rsid w:val="779D7E32"/>
    <w:rsid w:val="77A323CD"/>
    <w:rsid w:val="77AD276B"/>
    <w:rsid w:val="77CE088D"/>
    <w:rsid w:val="77D52578"/>
    <w:rsid w:val="77F02ACA"/>
    <w:rsid w:val="7803238B"/>
    <w:rsid w:val="780A196C"/>
    <w:rsid w:val="780C3400"/>
    <w:rsid w:val="781F4CEB"/>
    <w:rsid w:val="782B3690"/>
    <w:rsid w:val="78372035"/>
    <w:rsid w:val="78715547"/>
    <w:rsid w:val="78872FBC"/>
    <w:rsid w:val="789631FF"/>
    <w:rsid w:val="78AF2513"/>
    <w:rsid w:val="78C063BF"/>
    <w:rsid w:val="78C53AE4"/>
    <w:rsid w:val="78C87131"/>
    <w:rsid w:val="78CB14BA"/>
    <w:rsid w:val="78E33F6B"/>
    <w:rsid w:val="78FD327E"/>
    <w:rsid w:val="794744F9"/>
    <w:rsid w:val="794762A8"/>
    <w:rsid w:val="794E3ADA"/>
    <w:rsid w:val="79507852"/>
    <w:rsid w:val="79510C9A"/>
    <w:rsid w:val="79584959"/>
    <w:rsid w:val="795E16BE"/>
    <w:rsid w:val="797D7F1B"/>
    <w:rsid w:val="7988058F"/>
    <w:rsid w:val="79BD3C98"/>
    <w:rsid w:val="79C66CD5"/>
    <w:rsid w:val="79C97604"/>
    <w:rsid w:val="79DA2067"/>
    <w:rsid w:val="7A04063C"/>
    <w:rsid w:val="7A0E5017"/>
    <w:rsid w:val="7A3C1B84"/>
    <w:rsid w:val="7A8556B0"/>
    <w:rsid w:val="7A862E00"/>
    <w:rsid w:val="7A923E9A"/>
    <w:rsid w:val="7AB930CE"/>
    <w:rsid w:val="7AE53FCA"/>
    <w:rsid w:val="7AE77D42"/>
    <w:rsid w:val="7B0459B3"/>
    <w:rsid w:val="7B0C1DB5"/>
    <w:rsid w:val="7B171441"/>
    <w:rsid w:val="7B2F2E62"/>
    <w:rsid w:val="7B2F435B"/>
    <w:rsid w:val="7B4C4049"/>
    <w:rsid w:val="7B4E1B6F"/>
    <w:rsid w:val="7B5829EE"/>
    <w:rsid w:val="7B670E83"/>
    <w:rsid w:val="7BC77B74"/>
    <w:rsid w:val="7BCC6F38"/>
    <w:rsid w:val="7BD04C7A"/>
    <w:rsid w:val="7BDF5F4A"/>
    <w:rsid w:val="7BFB1039"/>
    <w:rsid w:val="7C217284"/>
    <w:rsid w:val="7C246D74"/>
    <w:rsid w:val="7C2D5C29"/>
    <w:rsid w:val="7C6403D2"/>
    <w:rsid w:val="7C7A6994"/>
    <w:rsid w:val="7C835849"/>
    <w:rsid w:val="7C935A6A"/>
    <w:rsid w:val="7C9537CE"/>
    <w:rsid w:val="7CAF2AE1"/>
    <w:rsid w:val="7CBA3C1C"/>
    <w:rsid w:val="7CBF0865"/>
    <w:rsid w:val="7CC973C1"/>
    <w:rsid w:val="7CCE2A52"/>
    <w:rsid w:val="7CD1266E"/>
    <w:rsid w:val="7CE3278B"/>
    <w:rsid w:val="7D124E1E"/>
    <w:rsid w:val="7D133070"/>
    <w:rsid w:val="7D140B97"/>
    <w:rsid w:val="7D162B61"/>
    <w:rsid w:val="7D1D244E"/>
    <w:rsid w:val="7D1D5C9D"/>
    <w:rsid w:val="7D344D95"/>
    <w:rsid w:val="7D4C2098"/>
    <w:rsid w:val="7D90733C"/>
    <w:rsid w:val="7D9C58DF"/>
    <w:rsid w:val="7DBA300E"/>
    <w:rsid w:val="7DCC6151"/>
    <w:rsid w:val="7DCE6F97"/>
    <w:rsid w:val="7DEA3DFF"/>
    <w:rsid w:val="7DF509C8"/>
    <w:rsid w:val="7E026C41"/>
    <w:rsid w:val="7E0866D3"/>
    <w:rsid w:val="7E0C7EB2"/>
    <w:rsid w:val="7E1A21DD"/>
    <w:rsid w:val="7E2E3EDA"/>
    <w:rsid w:val="7E3E411D"/>
    <w:rsid w:val="7E412766"/>
    <w:rsid w:val="7E460B6B"/>
    <w:rsid w:val="7E464D80"/>
    <w:rsid w:val="7E574376"/>
    <w:rsid w:val="7E665979"/>
    <w:rsid w:val="7E837D82"/>
    <w:rsid w:val="7E990778"/>
    <w:rsid w:val="7E9B156F"/>
    <w:rsid w:val="7EC860DC"/>
    <w:rsid w:val="7EDC56E4"/>
    <w:rsid w:val="7EE10F4C"/>
    <w:rsid w:val="7F052E8D"/>
    <w:rsid w:val="7F0C5FC9"/>
    <w:rsid w:val="7F0C7329"/>
    <w:rsid w:val="7F0D7F93"/>
    <w:rsid w:val="7F264BB1"/>
    <w:rsid w:val="7F2D1F8D"/>
    <w:rsid w:val="7F390D88"/>
    <w:rsid w:val="7F703475"/>
    <w:rsid w:val="7F761695"/>
    <w:rsid w:val="7F7A3456"/>
    <w:rsid w:val="7F8244DD"/>
    <w:rsid w:val="7F930807"/>
    <w:rsid w:val="7FA272D5"/>
    <w:rsid w:val="7FBE4DEA"/>
    <w:rsid w:val="7FFA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eastAsia="宋体" w:asciiTheme="minorAscii" w:hAnsiTheme="minorAscii" w:cstheme="minorBidi"/>
      <w:kern w:val="2"/>
      <w:sz w:val="28"/>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360" w:lineRule="auto"/>
      <w:outlineLvl w:val="0"/>
    </w:pPr>
    <w:rPr>
      <w:rFonts w:eastAsia="宋体"/>
      <w:b/>
      <w:kern w:val="44"/>
      <w:sz w:val="30"/>
    </w:rPr>
  </w:style>
  <w:style w:type="paragraph" w:styleId="8">
    <w:name w:val="heading 2"/>
    <w:basedOn w:val="1"/>
    <w:next w:val="1"/>
    <w:link w:val="27"/>
    <w:unhideWhenUsed/>
    <w:qFormat/>
    <w:uiPriority w:val="0"/>
    <w:pPr>
      <w:keepNext/>
      <w:keepLines/>
      <w:spacing w:before="260" w:beforeLines="0" w:beforeAutospacing="0" w:after="260" w:afterLines="0" w:afterAutospacing="0" w:line="360" w:lineRule="auto"/>
      <w:outlineLvl w:val="1"/>
    </w:pPr>
    <w:rPr>
      <w:rFonts w:ascii="Arial" w:hAnsi="Arial" w:eastAsia="宋体"/>
      <w:b/>
      <w:sz w:val="30"/>
    </w:rPr>
  </w:style>
  <w:style w:type="paragraph" w:styleId="9">
    <w:name w:val="heading 3"/>
    <w:basedOn w:val="1"/>
    <w:next w:val="1"/>
    <w:unhideWhenUsed/>
    <w:qFormat/>
    <w:uiPriority w:val="0"/>
    <w:pPr>
      <w:keepNext/>
      <w:keepLines/>
      <w:spacing w:before="260" w:beforeLines="0" w:beforeAutospacing="0" w:after="260" w:afterLines="0" w:afterAutospacing="0" w:line="360" w:lineRule="auto"/>
      <w:ind w:firstLine="723" w:firstLineChars="200"/>
      <w:outlineLvl w:val="2"/>
    </w:pPr>
    <w:rPr>
      <w:rFonts w:eastAsia="宋体"/>
      <w:b/>
    </w:rPr>
  </w:style>
  <w:style w:type="paragraph" w:styleId="10">
    <w:name w:val="heading 4"/>
    <w:basedOn w:val="1"/>
    <w:next w:val="1"/>
    <w:link w:val="26"/>
    <w:unhideWhenUsed/>
    <w:qFormat/>
    <w:uiPriority w:val="0"/>
    <w:pPr>
      <w:keepNext/>
      <w:keepLines/>
      <w:spacing w:before="280" w:beforeLines="0" w:beforeAutospacing="0" w:after="290" w:afterLines="0" w:afterAutospacing="0" w:line="360" w:lineRule="auto"/>
      <w:ind w:firstLine="723" w:firstLineChars="200"/>
      <w:outlineLvl w:val="3"/>
    </w:pPr>
    <w:rPr>
      <w:rFonts w:ascii="Arial" w:hAnsi="Arial" w:eastAsia="宋体"/>
      <w:b/>
    </w:rPr>
  </w:style>
  <w:style w:type="paragraph" w:styleId="11">
    <w:name w:val="heading 5"/>
    <w:basedOn w:val="1"/>
    <w:next w:val="1"/>
    <w:semiHidden/>
    <w:unhideWhenUsed/>
    <w:qFormat/>
    <w:uiPriority w:val="0"/>
    <w:pPr>
      <w:keepNext/>
      <w:keepLines/>
      <w:spacing w:before="280" w:beforeLines="0" w:beforeAutospacing="0" w:after="290" w:afterLines="0" w:afterAutospacing="0" w:line="360" w:lineRule="auto"/>
      <w:outlineLvl w:val="4"/>
    </w:pPr>
    <w:rPr>
      <w:rFonts w:eastAsia="宋体"/>
      <w:b/>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qFormat/>
    <w:uiPriority w:val="0"/>
    <w:pPr>
      <w:tabs>
        <w:tab w:val="left" w:pos="567"/>
      </w:tabs>
      <w:spacing w:before="0" w:beforeLines="0" w:after="120" w:afterLines="0" w:line="240" w:lineRule="auto"/>
      <w:ind w:firstLine="420"/>
    </w:pPr>
    <w:rPr>
      <w:rFonts w:ascii="Calibri" w:hAnsi="Calibri" w:eastAsia="楷体_GB2312"/>
      <w:kern w:val="0"/>
      <w:sz w:val="32"/>
      <w:szCs w:val="20"/>
    </w:rPr>
  </w:style>
  <w:style w:type="paragraph" w:styleId="3">
    <w:name w:val="Body Text"/>
    <w:basedOn w:val="1"/>
    <w:next w:val="1"/>
    <w:qFormat/>
    <w:uiPriority w:val="0"/>
    <w:pPr>
      <w:tabs>
        <w:tab w:val="left" w:pos="567"/>
      </w:tabs>
      <w:spacing w:before="120" w:beforeLines="0" w:line="22" w:lineRule="atLeast"/>
    </w:pPr>
    <w:rPr>
      <w:rFonts w:ascii="宋体" w:hAnsi="宋体"/>
      <w:sz w:val="24"/>
    </w:rPr>
  </w:style>
  <w:style w:type="paragraph" w:styleId="4">
    <w:name w:val="Body Text First Indent 2"/>
    <w:basedOn w:val="5"/>
    <w:qFormat/>
    <w:uiPriority w:val="0"/>
    <w:pPr>
      <w:spacing w:after="120" w:afterLines="0" w:line="240" w:lineRule="auto"/>
      <w:ind w:left="420" w:leftChars="200" w:firstLine="420" w:firstLineChars="200"/>
    </w:pPr>
    <w:rPr>
      <w:kern w:val="0"/>
      <w:sz w:val="28"/>
    </w:rPr>
  </w:style>
  <w:style w:type="paragraph" w:styleId="5">
    <w:name w:val="Body Text Indent"/>
    <w:basedOn w:val="1"/>
    <w:next w:val="6"/>
    <w:qFormat/>
    <w:uiPriority w:val="0"/>
    <w:pPr>
      <w:spacing w:line="600" w:lineRule="exact"/>
      <w:ind w:right="85" w:firstLine="693" w:firstLineChars="231"/>
    </w:pPr>
    <w:rPr>
      <w:rFonts w:ascii="楷体_GB2312" w:hAnsi="宋体" w:eastAsia="楷体_GB2312"/>
      <w:sz w:val="30"/>
      <w:szCs w:val="30"/>
    </w:rPr>
  </w:style>
  <w:style w:type="paragraph" w:styleId="6">
    <w:name w:val="envelope return"/>
    <w:basedOn w:val="1"/>
    <w:qFormat/>
    <w:uiPriority w:val="0"/>
    <w:pPr>
      <w:snapToGrid w:val="0"/>
    </w:pPr>
    <w:rPr>
      <w:rFonts w:ascii="Arial" w:hAnsi="Arial"/>
    </w:rPr>
  </w:style>
  <w:style w:type="paragraph" w:styleId="12">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13">
    <w:name w:val="Block Text"/>
    <w:basedOn w:val="1"/>
    <w:qFormat/>
    <w:uiPriority w:val="0"/>
    <w:pPr>
      <w:tabs>
        <w:tab w:val="left" w:pos="0"/>
      </w:tabs>
      <w:spacing w:line="600" w:lineRule="exact"/>
      <w:ind w:left="181" w:leftChars="86" w:right="85" w:firstLine="450" w:firstLineChars="150"/>
    </w:pPr>
    <w:rPr>
      <w:rFonts w:ascii="楷体_GB2312" w:hAnsi="宋体" w:eastAsia="楷体_GB2312"/>
      <w:sz w:val="30"/>
      <w:szCs w:val="30"/>
    </w:rPr>
  </w:style>
  <w:style w:type="paragraph" w:styleId="14">
    <w:name w:val="Body Text Indent 2"/>
    <w:basedOn w:val="1"/>
    <w:qFormat/>
    <w:uiPriority w:val="0"/>
    <w:pPr>
      <w:spacing w:line="600" w:lineRule="exact"/>
      <w:ind w:right="85" w:firstLine="600" w:firstLineChars="200"/>
    </w:pPr>
    <w:rPr>
      <w:rFonts w:ascii="楷体_GB2312" w:hAnsi="宋体" w:eastAsia="楷体_GB2312"/>
      <w:sz w:val="30"/>
      <w:szCs w:val="30"/>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7">
    <w:name w:val="toc 1"/>
    <w:basedOn w:val="1"/>
    <w:next w:val="1"/>
    <w:qFormat/>
    <w:uiPriority w:val="0"/>
  </w:style>
  <w:style w:type="paragraph" w:styleId="18">
    <w:name w:val="toc 2"/>
    <w:basedOn w:val="1"/>
    <w:next w:val="1"/>
    <w:qFormat/>
    <w:uiPriority w:val="0"/>
    <w:pPr>
      <w:ind w:left="420" w:leftChars="200"/>
    </w:pPr>
  </w:style>
  <w:style w:type="paragraph" w:styleId="19">
    <w:name w:val="Normal (Web)"/>
    <w:basedOn w:val="1"/>
    <w:qFormat/>
    <w:uiPriority w:val="0"/>
    <w:pPr>
      <w:spacing w:before="0" w:beforeAutospacing="1" w:after="0" w:afterAutospacing="1"/>
      <w:ind w:left="0" w:right="0"/>
      <w:jc w:val="left"/>
    </w:pPr>
    <w:rPr>
      <w:kern w:val="0"/>
      <w:sz w:val="24"/>
      <w:lang w:val="en-US" w:eastAsia="zh-CN" w:bidi="ar"/>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customStyle="1" w:styleId="24">
    <w:name w:val="font21"/>
    <w:basedOn w:val="22"/>
    <w:qFormat/>
    <w:uiPriority w:val="0"/>
    <w:rPr>
      <w:rFonts w:hint="eastAsia" w:ascii="宋体" w:hAnsi="宋体" w:eastAsia="宋体" w:cs="宋体"/>
      <w:color w:val="000000"/>
      <w:sz w:val="18"/>
      <w:szCs w:val="18"/>
      <w:u w:val="none"/>
    </w:rPr>
  </w:style>
  <w:style w:type="character" w:customStyle="1" w:styleId="25">
    <w:name w:val="font01"/>
    <w:basedOn w:val="22"/>
    <w:qFormat/>
    <w:uiPriority w:val="0"/>
    <w:rPr>
      <w:rFonts w:hint="eastAsia" w:ascii="宋体" w:hAnsi="宋体" w:eastAsia="宋体" w:cs="宋体"/>
      <w:color w:val="FF0000"/>
      <w:sz w:val="18"/>
      <w:szCs w:val="18"/>
      <w:u w:val="none"/>
    </w:rPr>
  </w:style>
  <w:style w:type="character" w:customStyle="1" w:styleId="26">
    <w:name w:val="标题 4 Char"/>
    <w:link w:val="10"/>
    <w:qFormat/>
    <w:uiPriority w:val="0"/>
    <w:rPr>
      <w:rFonts w:ascii="Arial" w:hAnsi="Arial" w:eastAsia="宋体"/>
      <w:b/>
      <w:sz w:val="28"/>
    </w:rPr>
  </w:style>
  <w:style w:type="character" w:customStyle="1" w:styleId="27">
    <w:name w:val="标题 2 Char"/>
    <w:link w:val="8"/>
    <w:qFormat/>
    <w:uiPriority w:val="0"/>
    <w:rPr>
      <w:rFonts w:ascii="Arial" w:hAnsi="Arial" w:eastAsia="宋体"/>
      <w:b/>
      <w:sz w:val="30"/>
    </w:rPr>
  </w:style>
  <w:style w:type="paragraph" w:customStyle="1" w:styleId="28">
    <w:name w:val="WPSOffice手动目录 1"/>
    <w:qFormat/>
    <w:uiPriority w:val="0"/>
    <w:pPr>
      <w:ind w:leftChars="0"/>
    </w:pPr>
    <w:rPr>
      <w:rFonts w:ascii="Times New Roman" w:hAnsi="Times New Roman" w:eastAsia="宋体" w:cs="Times New Roman"/>
      <w:sz w:val="20"/>
      <w:szCs w:val="20"/>
    </w:rPr>
  </w:style>
  <w:style w:type="paragraph" w:customStyle="1" w:styleId="29">
    <w:name w:val="WPSOffice手动目录 2"/>
    <w:qFormat/>
    <w:uiPriority w:val="0"/>
    <w:pPr>
      <w:ind w:leftChars="200"/>
    </w:pPr>
    <w:rPr>
      <w:rFonts w:ascii="Times New Roman" w:hAnsi="Times New Roman" w:eastAsia="宋体" w:cs="Times New Roman"/>
      <w:sz w:val="20"/>
      <w:szCs w:val="20"/>
    </w:rPr>
  </w:style>
  <w:style w:type="paragraph" w:customStyle="1" w:styleId="30">
    <w:name w:val="WPSOffice手动目录 3"/>
    <w:qFormat/>
    <w:uiPriority w:val="0"/>
    <w:pPr>
      <w:ind w:leftChars="400"/>
    </w:pPr>
    <w:rPr>
      <w:rFonts w:ascii="Times New Roman" w:hAnsi="Times New Roman" w:eastAsia="宋体" w:cs="Times New Roman"/>
      <w:sz w:val="20"/>
      <w:szCs w:val="20"/>
    </w:rPr>
  </w:style>
  <w:style w:type="character" w:customStyle="1" w:styleId="31">
    <w:name w:val="font31"/>
    <w:basedOn w:val="22"/>
    <w:qFormat/>
    <w:uiPriority w:val="0"/>
    <w:rPr>
      <w:rFonts w:hint="eastAsia" w:ascii="宋体" w:hAnsi="宋体" w:eastAsia="宋体" w:cs="宋体"/>
      <w:color w:val="000000"/>
      <w:sz w:val="18"/>
      <w:szCs w:val="18"/>
      <w:u w:val="none"/>
    </w:rPr>
  </w:style>
  <w:style w:type="character" w:customStyle="1" w:styleId="32">
    <w:name w:val="font11"/>
    <w:basedOn w:val="22"/>
    <w:qFormat/>
    <w:uiPriority w:val="0"/>
    <w:rPr>
      <w:rFonts w:hint="eastAsia" w:ascii="宋体" w:hAnsi="宋体" w:eastAsia="宋体" w:cs="宋体"/>
      <w:color w:val="FF0000"/>
      <w:sz w:val="18"/>
      <w:szCs w:val="18"/>
      <w:u w:val="none"/>
    </w:rPr>
  </w:style>
  <w:style w:type="character" w:customStyle="1" w:styleId="33">
    <w:name w:val="font41"/>
    <w:basedOn w:val="22"/>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4812</Words>
  <Characters>5128</Characters>
  <Lines>0</Lines>
  <Paragraphs>0</Paragraphs>
  <TotalTime>7</TotalTime>
  <ScaleCrop>false</ScaleCrop>
  <LinksUpToDate>false</LinksUpToDate>
  <CharactersWithSpaces>5133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李惠茹</dc:creator>
  <cp:lastModifiedBy>泡泡</cp:lastModifiedBy>
  <dcterms:modified xsi:type="dcterms:W3CDTF">2023-03-30T08:22:09Z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D9E7B5E8C3FE4BDAB4C64DDCC32F72FC</vt:lpwstr>
  </property>
</Properties>
</file>