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ascii="黑体" w:hAnsi="黑体" w:eastAsia="黑体" w:cs="黑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ascii="黑体" w:hAnsi="黑体" w:eastAsia="黑体" w:cs="黑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ascii="黑体" w:hAnsi="黑体" w:eastAsia="黑体" w:cs="黑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ascii="黑体" w:hAnsi="黑体" w:eastAsia="黑体" w:cs="黑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color w:val="3272B9"/>
          <w:sz w:val="45"/>
          <w:szCs w:val="45"/>
        </w:rPr>
      </w:pPr>
      <w:r>
        <w:rPr>
          <w:rFonts w:ascii="黑体" w:hAnsi="黑体" w:eastAsia="黑体" w:cs="黑体"/>
          <w:sz w:val="32"/>
          <w:szCs w:val="32"/>
        </w:rPr>
        <w:t xml:space="preserve"> </w:t>
      </w:r>
      <w:r>
        <w:rPr>
          <w:color w:val="3272B9"/>
          <w:sz w:val="45"/>
          <w:szCs w:val="45"/>
        </w:rPr>
        <w:t>淮滨县文化广电新闻出版局2016年度部门决算公示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r>
        <w:rPr>
          <w:rFonts w:hint="default" w:ascii="Microsoft YaHei" w:hAnsi="Microsoft YaHei" w:eastAsia="Microsoft YaHei" w:cs="Microsoft YaHei"/>
          <w:b w:val="0"/>
          <w:i w:val="0"/>
          <w:caps w:val="0"/>
          <w:color w:val="000000"/>
          <w:spacing w:val="0"/>
          <w:sz w:val="22"/>
          <w:szCs w:val="22"/>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Microsoft YaHei" w:hAnsi="Microsoft YaHei" w:eastAsia="Microsoft YaHei" w:cs="Microsoft YaHei"/>
          <w:b w:val="0"/>
          <w:i w:val="0"/>
          <w:caps w:val="0"/>
          <w:color w:val="000000"/>
          <w:spacing w:val="0"/>
          <w:sz w:val="22"/>
          <w:szCs w:val="2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目　　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第一部分 概 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主要职能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部门决算单位构成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第二部分2016年度部门决算表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一、收入支出决算总表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二、收入决算表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三、支出决算表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四、财政拨款收入支出决算总表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五、一般公共预算财政拨款支出决算表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六、一般公共预算财政拨款基本支出决算表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七、一般公共预算财政拨款“三公”经费支出决算表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八、政府性基金预算财政拨款收入支出决算表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6" w:beforeAutospacing="0" w:after="76" w:afterAutospacing="0"/>
        <w:ind w:left="76" w:right="76" w:firstLine="0"/>
        <w:rPr>
          <w:rFonts w:hint="default" w:ascii="Microsoft YaHei" w:hAnsi="Microsoft YaHei" w:eastAsia="Microsoft YaHei" w:cs="Microsoft YaHei"/>
          <w:b w:val="0"/>
          <w:i w:val="0"/>
          <w:caps w:val="0"/>
          <w:color w:val="000000"/>
          <w:spacing w:val="0"/>
          <w:sz w:val="22"/>
          <w:szCs w:val="22"/>
        </w:rPr>
      </w:pPr>
      <w:r>
        <w:rPr>
          <w:rFonts w:hint="default" w:ascii="Microsoft YaHei" w:hAnsi="Microsoft YaHei" w:eastAsia="Microsoft YaHei" w:cs="Microsoft YaHei"/>
          <w:b w:val="0"/>
          <w:i w:val="0"/>
          <w:caps w:val="0"/>
          <w:color w:val="000000"/>
          <w:spacing w:val="0"/>
          <w:sz w:val="22"/>
          <w:szCs w:val="22"/>
          <w:shd w:val="clear" w:fill="FFFFFF"/>
        </w:rPr>
        <w:t>　　第三部分 2016年度部门决算情况说明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hint="eastAsia" w:ascii="隶书" w:hAnsi="隶书" w:eastAsia="隶书" w:cs="隶书"/>
          <w:sz w:val="48"/>
          <w:szCs w:val="48"/>
        </w:rPr>
      </w:pPr>
    </w:p>
    <w:p>
      <w:pPr>
        <w:jc w:val="center"/>
        <w:outlineLvl w:val="0"/>
        <w:rPr>
          <w:rFonts w:ascii="隶书" w:hAnsi="隶书" w:eastAsia="隶书" w:cs="隶书"/>
          <w:sz w:val="48"/>
          <w:szCs w:val="48"/>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r>
        <w:rPr>
          <w:rFonts w:hint="eastAsia" w:ascii="隶书" w:hAnsi="隶书" w:eastAsia="隶书" w:cs="隶书"/>
          <w:sz w:val="48"/>
          <w:szCs w:val="48"/>
        </w:rPr>
        <w:t>第一部分　淮滨县文化广电新闻出版　</w:t>
      </w:r>
      <w:r>
        <w:rPr>
          <w:rFonts w:ascii="隶书" w:hAnsi="隶书" w:eastAsia="隶书" w:cs="隶书"/>
          <w:sz w:val="48"/>
          <w:szCs w:val="48"/>
        </w:rPr>
        <w:t xml:space="preserve"> </w:t>
      </w:r>
      <w:r>
        <w:rPr>
          <w:rFonts w:hint="eastAsia" w:ascii="隶书" w:hAnsi="隶书" w:eastAsia="隶书" w:cs="隶书"/>
          <w:sz w:val="48"/>
          <w:szCs w:val="48"/>
        </w:rPr>
        <w:t>局概况</w:t>
      </w:r>
    </w:p>
    <w:p>
      <w:pPr>
        <w:numPr>
          <w:ilvl w:val="0"/>
          <w:numId w:val="1"/>
        </w:numPr>
        <w:spacing w:line="360" w:lineRule="auto"/>
        <w:ind w:firstLine="643" w:firstLineChars="200"/>
        <w:jc w:val="left"/>
        <w:outlineLvl w:val="1"/>
        <w:rPr>
          <w:rFonts w:ascii="宋体" w:cs="黑体"/>
          <w:b/>
          <w:sz w:val="32"/>
          <w:szCs w:val="32"/>
        </w:rPr>
      </w:pPr>
      <w:r>
        <w:rPr>
          <w:rFonts w:hint="eastAsia" w:ascii="宋体" w:hAnsi="宋体" w:cs="黑体"/>
          <w:b/>
          <w:sz w:val="32"/>
          <w:szCs w:val="32"/>
        </w:rPr>
        <w:t>主要职能</w:t>
      </w:r>
    </w:p>
    <w:p>
      <w:pPr>
        <w:ind w:firstLine="640" w:firstLineChars="200"/>
        <w:rPr>
          <w:rFonts w:ascii="仿宋" w:hAnsi="仿宋" w:eastAsia="仿宋"/>
          <w:sz w:val="32"/>
          <w:szCs w:val="32"/>
        </w:rPr>
      </w:pPr>
      <w:r>
        <w:rPr>
          <w:rFonts w:hint="eastAsia" w:ascii="仿宋" w:hAnsi="仿宋" w:eastAsia="仿宋"/>
          <w:sz w:val="32"/>
          <w:szCs w:val="32"/>
        </w:rPr>
        <w:t>（一）、拟定全县文化、文物、广播电影电视、新闻出版事业发展规划和政策措施。</w:t>
      </w:r>
    </w:p>
    <w:p>
      <w:pPr>
        <w:ind w:firstLine="640" w:firstLineChars="200"/>
        <w:rPr>
          <w:rFonts w:ascii="仿宋" w:hAnsi="仿宋" w:eastAsia="仿宋"/>
          <w:sz w:val="32"/>
          <w:szCs w:val="32"/>
        </w:rPr>
      </w:pPr>
      <w:r>
        <w:rPr>
          <w:rFonts w:hint="eastAsia" w:ascii="仿宋" w:hAnsi="仿宋" w:eastAsia="仿宋"/>
          <w:sz w:val="32"/>
          <w:szCs w:val="32"/>
        </w:rPr>
        <w:t>（二）、起草全县文化、文物、广播电影电视、新闻出版事业年度计划，并组织实施。</w:t>
      </w:r>
    </w:p>
    <w:p>
      <w:pPr>
        <w:ind w:firstLine="640" w:firstLineChars="200"/>
        <w:rPr>
          <w:rFonts w:ascii="仿宋" w:hAnsi="仿宋" w:eastAsia="仿宋" w:cs="宋体"/>
          <w:sz w:val="32"/>
          <w:szCs w:val="32"/>
        </w:rPr>
      </w:pPr>
      <w:r>
        <w:rPr>
          <w:rFonts w:hint="eastAsia" w:ascii="仿宋" w:hAnsi="仿宋" w:eastAsia="仿宋"/>
          <w:sz w:val="32"/>
          <w:szCs w:val="32"/>
        </w:rPr>
        <w:t>（三）、承担贯彻执行文化、文物、</w:t>
      </w:r>
      <w:r>
        <w:rPr>
          <w:rFonts w:hint="eastAsia" w:ascii="仿宋" w:hAnsi="仿宋" w:eastAsia="仿宋" w:cs="宋体"/>
          <w:sz w:val="32"/>
          <w:szCs w:val="32"/>
        </w:rPr>
        <w:t>广播电影电视、新闻出版业的法律、法规、规章和方针政策；推进文化、文物、广播电影电视、新闻出版领域的体制机制改革；指导全县重点文化设施建设和基本文化设施的建设管理；指导、管理社会文化事业、文物事业、图书事业、文化艺术经营活动行业；负责协调和管理全县广播电视事业等重大事项，监管广播电影电视节目传输、监测和安全播出；对全县图书报纸、刊物（内部刊物、内部资料）的出版实施监督管理；负责全县文化市场、广播电视、新闻出版及文物保护的行政执法工作，指导、协调文化产业发展，推进对外文化交流与合作；承办县委、县政府交办的其他事项。</w:t>
      </w:r>
    </w:p>
    <w:p>
      <w:pPr>
        <w:numPr>
          <w:ilvl w:val="0"/>
          <w:numId w:val="2"/>
        </w:numPr>
        <w:spacing w:line="360" w:lineRule="auto"/>
        <w:ind w:firstLine="643" w:firstLineChars="200"/>
        <w:jc w:val="left"/>
        <w:outlineLvl w:val="1"/>
        <w:rPr>
          <w:rFonts w:ascii="宋体" w:cs="黑体"/>
          <w:b/>
          <w:sz w:val="32"/>
          <w:szCs w:val="32"/>
        </w:rPr>
      </w:pPr>
      <w:r>
        <w:rPr>
          <w:rFonts w:hint="eastAsia" w:ascii="宋体" w:hAnsi="宋体" w:cs="黑体"/>
          <w:b/>
          <w:sz w:val="32"/>
          <w:szCs w:val="32"/>
        </w:rPr>
        <w:t>部门决算单位构成</w:t>
      </w:r>
    </w:p>
    <w:p>
      <w:p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纳入淮滨县文化广电新闻出版局</w:t>
      </w:r>
      <w:r>
        <w:rPr>
          <w:rFonts w:ascii="仿宋" w:hAnsi="仿宋" w:eastAsia="仿宋" w:cs="仿宋_GB2312"/>
          <w:sz w:val="32"/>
          <w:szCs w:val="32"/>
        </w:rPr>
        <w:t>2016</w:t>
      </w:r>
      <w:r>
        <w:rPr>
          <w:rFonts w:hint="eastAsia" w:ascii="仿宋" w:hAnsi="仿宋" w:eastAsia="仿宋" w:cs="仿宋_GB2312"/>
          <w:sz w:val="32"/>
          <w:szCs w:val="32"/>
        </w:rPr>
        <w:t>年度部门决算编制范围的单位包括：</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淮滨县文化广电新闻出版局本级（含文化、广电）</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淮滨县文化馆</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淮滨县图书馆</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淮滨县豫剧团</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淮滨县文化综合执法大队</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淮滨县文物局</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淮滨县淮河博物馆</w:t>
      </w:r>
    </w:p>
    <w:p>
      <w:pPr>
        <w:numPr>
          <w:ilvl w:val="0"/>
          <w:numId w:val="3"/>
        </w:numPr>
        <w:spacing w:line="360"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淮滨县人民剧院</w:t>
      </w:r>
    </w:p>
    <w:p>
      <w:pPr>
        <w:spacing w:line="360" w:lineRule="auto"/>
        <w:jc w:val="left"/>
        <w:rPr>
          <w:rFonts w:ascii="仿宋" w:hAnsi="仿宋" w:eastAsia="仿宋" w:cs="楷体_GB2312"/>
          <w:sz w:val="32"/>
          <w:szCs w:val="32"/>
        </w:rPr>
      </w:pPr>
    </w:p>
    <w:p>
      <w:pPr>
        <w:spacing w:line="360" w:lineRule="auto"/>
        <w:jc w:val="left"/>
        <w:rPr>
          <w:rFonts w:ascii="楷体_GB2312" w:hAnsi="楷体_GB2312" w:eastAsia="楷体_GB2312" w:cs="楷体_GB2312"/>
          <w:sz w:val="32"/>
          <w:szCs w:val="32"/>
        </w:rPr>
        <w:sectPr>
          <w:pgSz w:w="11906" w:h="16838"/>
          <w:pgMar w:top="1440" w:right="1800" w:bottom="1440" w:left="1800" w:header="851" w:footer="992" w:gutter="0"/>
          <w:pgNumType w:fmt="numberInDash"/>
          <w:cols w:space="425"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pPr>
      <w:r>
        <w:rPr>
          <w:rFonts w:hint="eastAsia" w:ascii="隶书" w:hAnsi="隶书" w:eastAsia="隶书" w:cs="隶书"/>
          <w:sz w:val="48"/>
          <w:szCs w:val="48"/>
        </w:rPr>
        <w:t>淮滨县文化广电新闻出版局</w:t>
      </w:r>
      <w:r>
        <w:rPr>
          <w:rFonts w:ascii="隶书" w:hAnsi="隶书" w:eastAsia="隶书" w:cs="隶书"/>
          <w:sz w:val="48"/>
          <w:szCs w:val="48"/>
        </w:rPr>
        <w:t>2016</w:t>
      </w:r>
      <w:r>
        <w:rPr>
          <w:rFonts w:hint="eastAsia" w:ascii="隶书" w:hAnsi="隶书" w:eastAsia="隶书" w:cs="隶书"/>
          <w:sz w:val="48"/>
          <w:szCs w:val="48"/>
        </w:rPr>
        <w:t>年度部门决算表</w:t>
      </w: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pPr>
    </w:p>
    <w:p>
      <w:pPr>
        <w:rPr>
          <w:rFonts w:ascii="隶书" w:hAnsi="隶书" w:eastAsia="隶书" w:cs="隶书"/>
          <w:sz w:val="48"/>
          <w:szCs w:val="48"/>
        </w:rPr>
      </w:pPr>
    </w:p>
    <w:tbl>
      <w:tblPr>
        <w:tblStyle w:val="8"/>
        <w:tblpPr w:leftFromText="180" w:rightFromText="180" w:vertAnchor="text" w:horzAnchor="margin" w:tblpXSpec="center" w:tblpY="157"/>
        <w:tblW w:w="10086" w:type="dxa"/>
        <w:tblInd w:w="0" w:type="dxa"/>
        <w:tblLayout w:type="fixed"/>
        <w:tblCellMar>
          <w:top w:w="0" w:type="dxa"/>
          <w:left w:w="108" w:type="dxa"/>
          <w:bottom w:w="0" w:type="dxa"/>
          <w:right w:w="108" w:type="dxa"/>
        </w:tblCellMar>
      </w:tblPr>
      <w:tblGrid>
        <w:gridCol w:w="2808"/>
        <w:gridCol w:w="342"/>
        <w:gridCol w:w="378"/>
        <w:gridCol w:w="132"/>
        <w:gridCol w:w="1176"/>
        <w:gridCol w:w="3150"/>
        <w:gridCol w:w="510"/>
        <w:gridCol w:w="252"/>
        <w:gridCol w:w="1338"/>
      </w:tblGrid>
      <w:tr>
        <w:tblPrEx>
          <w:tblLayout w:type="fixed"/>
          <w:tblCellMar>
            <w:top w:w="0" w:type="dxa"/>
            <w:left w:w="108" w:type="dxa"/>
            <w:bottom w:w="0" w:type="dxa"/>
            <w:right w:w="108" w:type="dxa"/>
          </w:tblCellMar>
        </w:tblPrEx>
        <w:trPr>
          <w:trHeight w:val="480" w:hRule="atLeast"/>
        </w:trPr>
        <w:tc>
          <w:tcPr>
            <w:tcW w:w="10086" w:type="dxa"/>
            <w:gridSpan w:val="9"/>
            <w:tcBorders>
              <w:top w:val="nil"/>
              <w:left w:val="nil"/>
              <w:bottom w:val="nil"/>
              <w:right w:val="nil"/>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收入支出决算总表</w:t>
            </w:r>
          </w:p>
        </w:tc>
      </w:tr>
      <w:tr>
        <w:tblPrEx>
          <w:tblLayout w:type="fixed"/>
          <w:tblCellMar>
            <w:top w:w="0" w:type="dxa"/>
            <w:left w:w="108" w:type="dxa"/>
            <w:bottom w:w="0" w:type="dxa"/>
            <w:right w:w="108" w:type="dxa"/>
          </w:tblCellMar>
        </w:tblPrEx>
        <w:trPr>
          <w:trHeight w:val="300" w:hRule="atLeast"/>
        </w:trPr>
        <w:tc>
          <w:tcPr>
            <w:tcW w:w="3150" w:type="dxa"/>
            <w:gridSpan w:val="2"/>
            <w:tcBorders>
              <w:top w:val="nil"/>
              <w:left w:val="nil"/>
              <w:bottom w:val="nil"/>
              <w:right w:val="nil"/>
            </w:tcBorders>
            <w:vAlign w:val="center"/>
          </w:tcPr>
          <w:p>
            <w:pPr>
              <w:widowControl/>
              <w:jc w:val="left"/>
              <w:rPr>
                <w:rFonts w:ascii="宋体" w:cs="宋体"/>
                <w:kern w:val="0"/>
                <w:sz w:val="24"/>
              </w:rPr>
            </w:pPr>
          </w:p>
        </w:tc>
        <w:tc>
          <w:tcPr>
            <w:tcW w:w="510" w:type="dxa"/>
            <w:gridSpan w:val="2"/>
            <w:tcBorders>
              <w:top w:val="nil"/>
              <w:left w:val="nil"/>
              <w:bottom w:val="nil"/>
              <w:right w:val="nil"/>
            </w:tcBorders>
            <w:vAlign w:val="center"/>
          </w:tcPr>
          <w:p>
            <w:pPr>
              <w:widowControl/>
              <w:jc w:val="left"/>
              <w:rPr>
                <w:rFonts w:ascii="宋体" w:cs="宋体"/>
                <w:kern w:val="0"/>
                <w:sz w:val="24"/>
              </w:rPr>
            </w:pPr>
          </w:p>
        </w:tc>
        <w:tc>
          <w:tcPr>
            <w:tcW w:w="1176" w:type="dxa"/>
            <w:tcBorders>
              <w:top w:val="nil"/>
              <w:left w:val="nil"/>
              <w:bottom w:val="nil"/>
              <w:right w:val="nil"/>
            </w:tcBorders>
            <w:vAlign w:val="center"/>
          </w:tcPr>
          <w:p>
            <w:pPr>
              <w:widowControl/>
              <w:jc w:val="left"/>
              <w:rPr>
                <w:rFonts w:ascii="宋体" w:cs="宋体"/>
                <w:kern w:val="0"/>
                <w:sz w:val="24"/>
              </w:rPr>
            </w:pPr>
          </w:p>
        </w:tc>
        <w:tc>
          <w:tcPr>
            <w:tcW w:w="3150" w:type="dxa"/>
            <w:tcBorders>
              <w:top w:val="nil"/>
              <w:left w:val="nil"/>
              <w:bottom w:val="nil"/>
              <w:right w:val="nil"/>
            </w:tcBorders>
            <w:vAlign w:val="center"/>
          </w:tcPr>
          <w:p>
            <w:pPr>
              <w:widowControl/>
              <w:jc w:val="left"/>
              <w:rPr>
                <w:rFonts w:ascii="宋体" w:cs="宋体"/>
                <w:kern w:val="0"/>
                <w:sz w:val="24"/>
              </w:rPr>
            </w:pPr>
          </w:p>
        </w:tc>
        <w:tc>
          <w:tcPr>
            <w:tcW w:w="510" w:type="dxa"/>
            <w:tcBorders>
              <w:top w:val="nil"/>
              <w:left w:val="nil"/>
              <w:bottom w:val="nil"/>
              <w:right w:val="nil"/>
            </w:tcBorders>
            <w:vAlign w:val="center"/>
          </w:tcPr>
          <w:p>
            <w:pPr>
              <w:widowControl/>
              <w:jc w:val="left"/>
              <w:rPr>
                <w:rFonts w:ascii="宋体" w:cs="宋体"/>
                <w:kern w:val="0"/>
                <w:sz w:val="24"/>
              </w:rPr>
            </w:pPr>
          </w:p>
        </w:tc>
        <w:tc>
          <w:tcPr>
            <w:tcW w:w="1590" w:type="dxa"/>
            <w:gridSpan w:val="2"/>
            <w:tcBorders>
              <w:top w:val="nil"/>
              <w:left w:val="nil"/>
              <w:bottom w:val="nil"/>
              <w:right w:val="nil"/>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公开</w:t>
            </w:r>
            <w:r>
              <w:rPr>
                <w:rFonts w:ascii="宋体" w:hAnsi="宋体" w:cs="宋体"/>
                <w:kern w:val="0"/>
                <w:szCs w:val="21"/>
              </w:rPr>
              <w:t>01</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trHeight w:val="360" w:hRule="atLeast"/>
        </w:trPr>
        <w:tc>
          <w:tcPr>
            <w:tcW w:w="3150" w:type="dxa"/>
            <w:gridSpan w:val="2"/>
            <w:tcBorders>
              <w:top w:val="nil"/>
              <w:left w:val="nil"/>
              <w:bottom w:val="nil"/>
              <w:right w:val="nil"/>
            </w:tcBorders>
            <w:vAlign w:val="center"/>
          </w:tcPr>
          <w:p>
            <w:pPr>
              <w:widowControl/>
              <w:jc w:val="left"/>
              <w:rPr>
                <w:rFonts w:ascii="宋体" w:cs="宋体"/>
                <w:kern w:val="0"/>
                <w:sz w:val="24"/>
              </w:rPr>
            </w:pPr>
          </w:p>
        </w:tc>
        <w:tc>
          <w:tcPr>
            <w:tcW w:w="510" w:type="dxa"/>
            <w:gridSpan w:val="2"/>
            <w:tcBorders>
              <w:top w:val="nil"/>
              <w:left w:val="nil"/>
              <w:bottom w:val="nil"/>
              <w:right w:val="nil"/>
            </w:tcBorders>
            <w:vAlign w:val="center"/>
          </w:tcPr>
          <w:p>
            <w:pPr>
              <w:widowControl/>
              <w:jc w:val="left"/>
              <w:rPr>
                <w:rFonts w:ascii="宋体" w:cs="宋体"/>
                <w:kern w:val="0"/>
                <w:sz w:val="24"/>
              </w:rPr>
            </w:pPr>
          </w:p>
        </w:tc>
        <w:tc>
          <w:tcPr>
            <w:tcW w:w="1176" w:type="dxa"/>
            <w:tcBorders>
              <w:top w:val="nil"/>
              <w:left w:val="nil"/>
              <w:bottom w:val="nil"/>
              <w:right w:val="nil"/>
            </w:tcBorders>
            <w:vAlign w:val="center"/>
          </w:tcPr>
          <w:p>
            <w:pPr>
              <w:widowControl/>
              <w:jc w:val="left"/>
              <w:rPr>
                <w:rFonts w:ascii="宋体" w:cs="宋体"/>
                <w:kern w:val="0"/>
                <w:sz w:val="24"/>
              </w:rPr>
            </w:pPr>
          </w:p>
        </w:tc>
        <w:tc>
          <w:tcPr>
            <w:tcW w:w="3150" w:type="dxa"/>
            <w:tcBorders>
              <w:top w:val="nil"/>
              <w:left w:val="nil"/>
              <w:bottom w:val="nil"/>
              <w:right w:val="nil"/>
            </w:tcBorders>
            <w:vAlign w:val="center"/>
          </w:tcPr>
          <w:p>
            <w:pPr>
              <w:widowControl/>
              <w:jc w:val="left"/>
              <w:rPr>
                <w:rFonts w:ascii="宋体" w:cs="宋体"/>
                <w:kern w:val="0"/>
                <w:sz w:val="24"/>
              </w:rPr>
            </w:pPr>
          </w:p>
        </w:tc>
        <w:tc>
          <w:tcPr>
            <w:tcW w:w="510" w:type="dxa"/>
            <w:tcBorders>
              <w:top w:val="nil"/>
              <w:left w:val="nil"/>
              <w:bottom w:val="nil"/>
              <w:right w:val="nil"/>
            </w:tcBorders>
            <w:vAlign w:val="center"/>
          </w:tcPr>
          <w:p>
            <w:pPr>
              <w:widowControl/>
              <w:jc w:val="left"/>
              <w:rPr>
                <w:rFonts w:ascii="宋体" w:cs="宋体"/>
                <w:kern w:val="0"/>
                <w:sz w:val="24"/>
              </w:rPr>
            </w:pPr>
          </w:p>
        </w:tc>
        <w:tc>
          <w:tcPr>
            <w:tcW w:w="1590" w:type="dxa"/>
            <w:gridSpan w:val="2"/>
            <w:tcBorders>
              <w:top w:val="nil"/>
              <w:left w:val="nil"/>
              <w:bottom w:val="nil"/>
              <w:right w:val="nil"/>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单位：万元</w:t>
            </w:r>
          </w:p>
        </w:tc>
      </w:tr>
      <w:tr>
        <w:tblPrEx>
          <w:tblLayout w:type="fixed"/>
          <w:tblCellMar>
            <w:top w:w="0" w:type="dxa"/>
            <w:left w:w="108" w:type="dxa"/>
            <w:bottom w:w="0" w:type="dxa"/>
            <w:right w:w="108" w:type="dxa"/>
          </w:tblCellMar>
        </w:tblPrEx>
        <w:trPr>
          <w:trHeight w:val="285" w:hRule="atLeast"/>
        </w:trPr>
        <w:tc>
          <w:tcPr>
            <w:tcW w:w="4836"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5250"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行次</w:t>
            </w:r>
          </w:p>
        </w:tc>
        <w:tc>
          <w:tcPr>
            <w:tcW w:w="1308"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决算数</w:t>
            </w:r>
          </w:p>
        </w:tc>
        <w:tc>
          <w:tcPr>
            <w:tcW w:w="315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w:t>
            </w:r>
            <w:r>
              <w:rPr>
                <w:rFonts w:ascii="宋体" w:hAnsi="宋体" w:cs="宋体"/>
                <w:kern w:val="0"/>
                <w:sz w:val="24"/>
              </w:rPr>
              <w:t>(</w:t>
            </w:r>
            <w:r>
              <w:rPr>
                <w:rFonts w:hint="eastAsia" w:ascii="宋体" w:hAnsi="宋体" w:cs="宋体"/>
                <w:kern w:val="0"/>
                <w:sz w:val="24"/>
              </w:rPr>
              <w:t>按功能分类</w:t>
            </w:r>
            <w:r>
              <w:rPr>
                <w:rFonts w:ascii="宋体" w:hAnsi="宋体" w:cs="宋体"/>
                <w:kern w:val="0"/>
                <w:sz w:val="24"/>
              </w:rPr>
              <w:t>)</w:t>
            </w:r>
          </w:p>
        </w:tc>
        <w:tc>
          <w:tcPr>
            <w:tcW w:w="762"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行次</w:t>
            </w:r>
          </w:p>
        </w:tc>
        <w:tc>
          <w:tcPr>
            <w:tcW w:w="133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栏次</w:t>
            </w:r>
          </w:p>
        </w:tc>
        <w:tc>
          <w:tcPr>
            <w:tcW w:w="7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08"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栏次</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一、财政拨款收入</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w:t>
            </w:r>
          </w:p>
        </w:tc>
        <w:tc>
          <w:tcPr>
            <w:tcW w:w="1308"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一、一般公共服务支出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二、外交支出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38</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二、上级补助收入</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三、国防支出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39</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三、事业收入</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四、公共安全支出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四、经营收入</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五、教育支出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41</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五、附属单位上缴收入</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6</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六、科学技术支出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42</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六、其他收入</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七、文化体育与传媒支出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43</w:t>
            </w:r>
          </w:p>
        </w:tc>
        <w:tc>
          <w:tcPr>
            <w:tcW w:w="133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1,766.38</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八、社会保障和就业支出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44</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九、医疗卫生与计划生育支出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45</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10</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十、节能环保支出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46</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十一、城乡社区支出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47</w:t>
            </w:r>
          </w:p>
        </w:tc>
        <w:tc>
          <w:tcPr>
            <w:tcW w:w="133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十二、农林水支出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48</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13</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十三、交通运输支出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49</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十四、资源勘探信息等支出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15</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十五、商业服务业等支出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51</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十六、金融支出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52</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17</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十七、援助其他地区支出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53</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十八、国土海洋气象等支出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54</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19</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十九、住房保障支出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55</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二十、粮油物资储备支出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56</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二十一、其他支出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57</w:t>
            </w:r>
          </w:p>
        </w:tc>
        <w:tc>
          <w:tcPr>
            <w:tcW w:w="133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二十二、债务还本支出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58</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23</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二十三、债务付息支出</w:t>
            </w:r>
          </w:p>
        </w:tc>
        <w:tc>
          <w:tcPr>
            <w:tcW w:w="762"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本年收入合计</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24</w:t>
            </w:r>
          </w:p>
        </w:tc>
        <w:tc>
          <w:tcPr>
            <w:tcW w:w="1308"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本年支出合计</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1,851.38</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用事业基金弥补收支差额</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25</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结余分配</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年初结转和结余</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26</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交纳所得税</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基本支出结转</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27</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提取职工福利基金</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项目支出结转和结余</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28</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转入事业基金</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经营结余</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29</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30</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年末结转和结余</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4,064.01</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31</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基本支出结转</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32</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项目支出结转和结余</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33</w:t>
            </w:r>
          </w:p>
        </w:tc>
        <w:tc>
          <w:tcPr>
            <w:tcW w:w="1308"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经营结余</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280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总计</w:t>
            </w:r>
          </w:p>
        </w:tc>
        <w:tc>
          <w:tcPr>
            <w:tcW w:w="72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36</w:t>
            </w:r>
          </w:p>
        </w:tc>
        <w:tc>
          <w:tcPr>
            <w:tcW w:w="1308"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31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总计</w:t>
            </w:r>
          </w:p>
        </w:tc>
        <w:tc>
          <w:tcPr>
            <w:tcW w:w="762"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33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r>
      <w:tr>
        <w:tblPrEx>
          <w:tblLayout w:type="fixed"/>
          <w:tblCellMar>
            <w:top w:w="0" w:type="dxa"/>
            <w:left w:w="108" w:type="dxa"/>
            <w:bottom w:w="0" w:type="dxa"/>
            <w:right w:w="108" w:type="dxa"/>
          </w:tblCellMar>
        </w:tblPrEx>
        <w:trPr>
          <w:trHeight w:val="285" w:hRule="atLeast"/>
        </w:trPr>
        <w:tc>
          <w:tcPr>
            <w:tcW w:w="7986" w:type="dxa"/>
            <w:gridSpan w:val="6"/>
            <w:tcBorders>
              <w:top w:val="nil"/>
              <w:left w:val="nil"/>
              <w:bottom w:val="nil"/>
              <w:right w:val="nil"/>
            </w:tcBorders>
            <w:vAlign w:val="center"/>
          </w:tcPr>
          <w:p>
            <w:pPr>
              <w:widowControl/>
              <w:jc w:val="left"/>
              <w:rPr>
                <w:rFonts w:ascii="宋体" w:cs="宋体"/>
                <w:kern w:val="0"/>
                <w:sz w:val="16"/>
                <w:szCs w:val="16"/>
              </w:rPr>
            </w:pPr>
          </w:p>
        </w:tc>
        <w:tc>
          <w:tcPr>
            <w:tcW w:w="762" w:type="dxa"/>
            <w:gridSpan w:val="2"/>
            <w:tcBorders>
              <w:top w:val="nil"/>
              <w:left w:val="nil"/>
              <w:bottom w:val="nil"/>
              <w:right w:val="nil"/>
            </w:tcBorders>
            <w:vAlign w:val="center"/>
          </w:tcPr>
          <w:p>
            <w:pPr>
              <w:widowControl/>
              <w:jc w:val="left"/>
              <w:rPr>
                <w:rFonts w:ascii="宋体" w:cs="宋体"/>
                <w:kern w:val="0"/>
                <w:sz w:val="24"/>
              </w:rPr>
            </w:pPr>
          </w:p>
        </w:tc>
        <w:tc>
          <w:tcPr>
            <w:tcW w:w="1338" w:type="dxa"/>
            <w:tcBorders>
              <w:top w:val="nil"/>
              <w:left w:val="nil"/>
              <w:bottom w:val="nil"/>
              <w:right w:val="nil"/>
            </w:tcBorders>
            <w:vAlign w:val="center"/>
          </w:tcPr>
          <w:p>
            <w:pPr>
              <w:widowControl/>
              <w:jc w:val="left"/>
              <w:rPr>
                <w:rFonts w:ascii="宋体" w:cs="宋体"/>
                <w:kern w:val="0"/>
                <w:sz w:val="24"/>
              </w:rPr>
            </w:pPr>
          </w:p>
        </w:tc>
      </w:tr>
    </w:tbl>
    <w:tbl>
      <w:tblPr>
        <w:tblStyle w:val="8"/>
        <w:tblpPr w:leftFromText="180" w:rightFromText="180" w:vertAnchor="page" w:horzAnchor="margin" w:tblpXSpec="center" w:tblpY="817"/>
        <w:tblW w:w="9953" w:type="dxa"/>
        <w:tblInd w:w="0" w:type="dxa"/>
        <w:tblLayout w:type="fixed"/>
        <w:tblCellMar>
          <w:top w:w="0" w:type="dxa"/>
          <w:left w:w="108" w:type="dxa"/>
          <w:bottom w:w="0" w:type="dxa"/>
          <w:right w:w="108" w:type="dxa"/>
        </w:tblCellMar>
      </w:tblPr>
      <w:tblGrid>
        <w:gridCol w:w="1072"/>
        <w:gridCol w:w="3026"/>
        <w:gridCol w:w="1239"/>
        <w:gridCol w:w="1194"/>
        <w:gridCol w:w="690"/>
        <w:gridCol w:w="650"/>
        <w:gridCol w:w="589"/>
        <w:gridCol w:w="879"/>
        <w:gridCol w:w="614"/>
      </w:tblGrid>
      <w:tr>
        <w:tblPrEx>
          <w:tblLayout w:type="fixed"/>
          <w:tblCellMar>
            <w:top w:w="0" w:type="dxa"/>
            <w:left w:w="108" w:type="dxa"/>
            <w:bottom w:w="0" w:type="dxa"/>
            <w:right w:w="108" w:type="dxa"/>
          </w:tblCellMar>
        </w:tblPrEx>
        <w:trPr>
          <w:trHeight w:val="462" w:hRule="atLeast"/>
        </w:trPr>
        <w:tc>
          <w:tcPr>
            <w:tcW w:w="9953" w:type="dxa"/>
            <w:gridSpan w:val="9"/>
            <w:tcBorders>
              <w:top w:val="nil"/>
              <w:left w:val="nil"/>
              <w:bottom w:val="nil"/>
              <w:right w:val="nil"/>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收入决算表</w:t>
            </w:r>
          </w:p>
        </w:tc>
      </w:tr>
      <w:tr>
        <w:tblPrEx>
          <w:tblLayout w:type="fixed"/>
          <w:tblCellMar>
            <w:top w:w="0" w:type="dxa"/>
            <w:left w:w="108" w:type="dxa"/>
            <w:bottom w:w="0" w:type="dxa"/>
            <w:right w:w="108" w:type="dxa"/>
          </w:tblCellMar>
        </w:tblPrEx>
        <w:trPr>
          <w:trHeight w:val="265" w:hRule="atLeast"/>
        </w:trPr>
        <w:tc>
          <w:tcPr>
            <w:tcW w:w="1072" w:type="dxa"/>
            <w:tcBorders>
              <w:top w:val="nil"/>
              <w:left w:val="nil"/>
              <w:bottom w:val="nil"/>
              <w:right w:val="nil"/>
            </w:tcBorders>
            <w:vAlign w:val="center"/>
          </w:tcPr>
          <w:p>
            <w:pPr>
              <w:widowControl/>
              <w:jc w:val="left"/>
              <w:rPr>
                <w:rFonts w:ascii="宋体" w:cs="宋体"/>
                <w:kern w:val="0"/>
                <w:sz w:val="24"/>
              </w:rPr>
            </w:pPr>
          </w:p>
        </w:tc>
        <w:tc>
          <w:tcPr>
            <w:tcW w:w="3026" w:type="dxa"/>
            <w:tcBorders>
              <w:top w:val="nil"/>
              <w:left w:val="nil"/>
              <w:bottom w:val="nil"/>
              <w:right w:val="nil"/>
            </w:tcBorders>
            <w:vAlign w:val="center"/>
          </w:tcPr>
          <w:p>
            <w:pPr>
              <w:widowControl/>
              <w:jc w:val="left"/>
              <w:rPr>
                <w:rFonts w:ascii="宋体" w:cs="宋体"/>
                <w:kern w:val="0"/>
                <w:sz w:val="24"/>
              </w:rPr>
            </w:pPr>
          </w:p>
        </w:tc>
        <w:tc>
          <w:tcPr>
            <w:tcW w:w="1239" w:type="dxa"/>
            <w:tcBorders>
              <w:top w:val="nil"/>
              <w:left w:val="nil"/>
              <w:bottom w:val="nil"/>
              <w:right w:val="nil"/>
            </w:tcBorders>
            <w:vAlign w:val="center"/>
          </w:tcPr>
          <w:p>
            <w:pPr>
              <w:widowControl/>
              <w:jc w:val="left"/>
              <w:rPr>
                <w:rFonts w:ascii="宋体" w:cs="宋体"/>
                <w:kern w:val="0"/>
                <w:sz w:val="24"/>
              </w:rPr>
            </w:pPr>
          </w:p>
        </w:tc>
        <w:tc>
          <w:tcPr>
            <w:tcW w:w="1194" w:type="dxa"/>
            <w:tcBorders>
              <w:top w:val="nil"/>
              <w:left w:val="nil"/>
              <w:bottom w:val="nil"/>
              <w:right w:val="nil"/>
            </w:tcBorders>
            <w:vAlign w:val="center"/>
          </w:tcPr>
          <w:p>
            <w:pPr>
              <w:widowControl/>
              <w:jc w:val="left"/>
              <w:rPr>
                <w:rFonts w:ascii="宋体" w:cs="宋体"/>
                <w:kern w:val="0"/>
                <w:sz w:val="24"/>
              </w:rPr>
            </w:pPr>
          </w:p>
        </w:tc>
        <w:tc>
          <w:tcPr>
            <w:tcW w:w="690" w:type="dxa"/>
            <w:tcBorders>
              <w:top w:val="nil"/>
              <w:left w:val="nil"/>
              <w:bottom w:val="nil"/>
              <w:right w:val="nil"/>
            </w:tcBorders>
            <w:vAlign w:val="center"/>
          </w:tcPr>
          <w:p>
            <w:pPr>
              <w:widowControl/>
              <w:jc w:val="left"/>
              <w:rPr>
                <w:rFonts w:ascii="宋体" w:cs="宋体"/>
                <w:kern w:val="0"/>
                <w:sz w:val="24"/>
              </w:rPr>
            </w:pPr>
          </w:p>
        </w:tc>
        <w:tc>
          <w:tcPr>
            <w:tcW w:w="650" w:type="dxa"/>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w:t>
            </w:r>
          </w:p>
        </w:tc>
        <w:tc>
          <w:tcPr>
            <w:tcW w:w="589" w:type="dxa"/>
            <w:tcBorders>
              <w:top w:val="nil"/>
              <w:left w:val="nil"/>
              <w:bottom w:val="nil"/>
              <w:right w:val="nil"/>
            </w:tcBorders>
            <w:vAlign w:val="center"/>
          </w:tcPr>
          <w:p>
            <w:pPr>
              <w:widowControl/>
              <w:jc w:val="left"/>
              <w:rPr>
                <w:rFonts w:ascii="宋体" w:cs="宋体"/>
                <w:kern w:val="0"/>
                <w:sz w:val="24"/>
              </w:rPr>
            </w:pPr>
          </w:p>
        </w:tc>
        <w:tc>
          <w:tcPr>
            <w:tcW w:w="1493" w:type="dxa"/>
            <w:gridSpan w:val="2"/>
            <w:tcBorders>
              <w:top w:val="nil"/>
              <w:left w:val="nil"/>
              <w:bottom w:val="nil"/>
              <w:right w:val="nil"/>
            </w:tcBorders>
            <w:vAlign w:val="center"/>
          </w:tcPr>
          <w:p>
            <w:pPr>
              <w:widowControl/>
              <w:jc w:val="center"/>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公开</w:t>
            </w:r>
            <w:r>
              <w:rPr>
                <w:rFonts w:ascii="宋体" w:hAnsi="宋体" w:cs="宋体"/>
                <w:kern w:val="0"/>
                <w:szCs w:val="21"/>
              </w:rPr>
              <w:t>02</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trHeight w:val="305" w:hRule="atLeast"/>
        </w:trPr>
        <w:tc>
          <w:tcPr>
            <w:tcW w:w="1072" w:type="dxa"/>
            <w:tcBorders>
              <w:top w:val="nil"/>
              <w:left w:val="nil"/>
              <w:bottom w:val="nil"/>
              <w:right w:val="nil"/>
            </w:tcBorders>
            <w:vAlign w:val="center"/>
          </w:tcPr>
          <w:p>
            <w:pPr>
              <w:widowControl/>
              <w:jc w:val="left"/>
              <w:rPr>
                <w:rFonts w:ascii="宋体" w:cs="宋体"/>
                <w:kern w:val="0"/>
                <w:sz w:val="24"/>
              </w:rPr>
            </w:pPr>
          </w:p>
        </w:tc>
        <w:tc>
          <w:tcPr>
            <w:tcW w:w="3026" w:type="dxa"/>
            <w:tcBorders>
              <w:top w:val="nil"/>
              <w:left w:val="nil"/>
              <w:bottom w:val="nil"/>
              <w:right w:val="nil"/>
            </w:tcBorders>
            <w:vAlign w:val="center"/>
          </w:tcPr>
          <w:p>
            <w:pPr>
              <w:widowControl/>
              <w:jc w:val="left"/>
              <w:rPr>
                <w:rFonts w:ascii="宋体" w:cs="宋体"/>
                <w:kern w:val="0"/>
                <w:sz w:val="24"/>
              </w:rPr>
            </w:pPr>
          </w:p>
        </w:tc>
        <w:tc>
          <w:tcPr>
            <w:tcW w:w="1239" w:type="dxa"/>
            <w:tcBorders>
              <w:top w:val="nil"/>
              <w:left w:val="nil"/>
              <w:bottom w:val="nil"/>
              <w:right w:val="nil"/>
            </w:tcBorders>
            <w:vAlign w:val="center"/>
          </w:tcPr>
          <w:p>
            <w:pPr>
              <w:widowControl/>
              <w:jc w:val="left"/>
              <w:rPr>
                <w:rFonts w:ascii="宋体" w:cs="宋体"/>
                <w:kern w:val="0"/>
                <w:sz w:val="24"/>
              </w:rPr>
            </w:pPr>
          </w:p>
        </w:tc>
        <w:tc>
          <w:tcPr>
            <w:tcW w:w="1194" w:type="dxa"/>
            <w:tcBorders>
              <w:top w:val="nil"/>
              <w:left w:val="nil"/>
              <w:bottom w:val="nil"/>
              <w:right w:val="nil"/>
            </w:tcBorders>
            <w:vAlign w:val="center"/>
          </w:tcPr>
          <w:p>
            <w:pPr>
              <w:widowControl/>
              <w:jc w:val="left"/>
              <w:rPr>
                <w:rFonts w:ascii="宋体" w:cs="宋体"/>
                <w:kern w:val="0"/>
                <w:sz w:val="24"/>
              </w:rPr>
            </w:pPr>
          </w:p>
        </w:tc>
        <w:tc>
          <w:tcPr>
            <w:tcW w:w="690" w:type="dxa"/>
            <w:tcBorders>
              <w:top w:val="nil"/>
              <w:left w:val="nil"/>
              <w:bottom w:val="nil"/>
              <w:right w:val="nil"/>
            </w:tcBorders>
            <w:vAlign w:val="center"/>
          </w:tcPr>
          <w:p>
            <w:pPr>
              <w:widowControl/>
              <w:jc w:val="left"/>
              <w:rPr>
                <w:rFonts w:ascii="宋体" w:cs="宋体"/>
                <w:kern w:val="0"/>
                <w:sz w:val="24"/>
              </w:rPr>
            </w:pPr>
          </w:p>
        </w:tc>
        <w:tc>
          <w:tcPr>
            <w:tcW w:w="650" w:type="dxa"/>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w:t>
            </w:r>
          </w:p>
        </w:tc>
        <w:tc>
          <w:tcPr>
            <w:tcW w:w="589" w:type="dxa"/>
            <w:tcBorders>
              <w:top w:val="nil"/>
              <w:left w:val="nil"/>
              <w:bottom w:val="nil"/>
              <w:right w:val="nil"/>
            </w:tcBorders>
            <w:vAlign w:val="center"/>
          </w:tcPr>
          <w:p>
            <w:pPr>
              <w:widowControl/>
              <w:jc w:val="left"/>
              <w:rPr>
                <w:rFonts w:ascii="宋体" w:cs="宋体"/>
                <w:kern w:val="0"/>
                <w:sz w:val="24"/>
              </w:rPr>
            </w:pPr>
          </w:p>
        </w:tc>
        <w:tc>
          <w:tcPr>
            <w:tcW w:w="1493" w:type="dxa"/>
            <w:gridSpan w:val="2"/>
            <w:tcBorders>
              <w:top w:val="nil"/>
              <w:left w:val="nil"/>
              <w:bottom w:val="nil"/>
              <w:right w:val="nil"/>
            </w:tcBorders>
            <w:vAlign w:val="center"/>
          </w:tcPr>
          <w:p>
            <w:pPr>
              <w:widowControl/>
              <w:jc w:val="center"/>
              <w:rPr>
                <w:rFonts w:ascii="宋体" w:cs="宋体"/>
                <w:kern w:val="0"/>
                <w:szCs w:val="21"/>
              </w:rPr>
            </w:pPr>
            <w:r>
              <w:rPr>
                <w:rFonts w:ascii="宋体" w:hAnsi="宋体" w:cs="宋体"/>
                <w:kern w:val="0"/>
                <w:szCs w:val="21"/>
              </w:rPr>
              <w:t xml:space="preserve"> </w:t>
            </w:r>
            <w:r>
              <w:rPr>
                <w:rFonts w:hint="eastAsia" w:ascii="宋体" w:hAnsi="宋体" w:cs="宋体"/>
                <w:kern w:val="0"/>
                <w:szCs w:val="21"/>
              </w:rPr>
              <w:t>单位：万元</w:t>
            </w:r>
          </w:p>
        </w:tc>
      </w:tr>
      <w:tr>
        <w:tblPrEx>
          <w:tblLayout w:type="fixed"/>
          <w:tblCellMar>
            <w:top w:w="0" w:type="dxa"/>
            <w:left w:w="108" w:type="dxa"/>
            <w:bottom w:w="0" w:type="dxa"/>
            <w:right w:w="108" w:type="dxa"/>
          </w:tblCellMar>
        </w:tblPrEx>
        <w:trPr>
          <w:trHeight w:val="252" w:hRule="atLeast"/>
        </w:trPr>
        <w:tc>
          <w:tcPr>
            <w:tcW w:w="40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项目</w:t>
            </w:r>
          </w:p>
        </w:tc>
        <w:tc>
          <w:tcPr>
            <w:tcW w:w="123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本年收入合计</w:t>
            </w:r>
          </w:p>
        </w:tc>
        <w:tc>
          <w:tcPr>
            <w:tcW w:w="119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财政拨款收入</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上级补助收入</w:t>
            </w:r>
          </w:p>
        </w:tc>
        <w:tc>
          <w:tcPr>
            <w:tcW w:w="65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事业收入</w:t>
            </w:r>
          </w:p>
        </w:tc>
        <w:tc>
          <w:tcPr>
            <w:tcW w:w="58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经营收入</w:t>
            </w: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附属单位上缴收入</w:t>
            </w:r>
          </w:p>
        </w:tc>
        <w:tc>
          <w:tcPr>
            <w:tcW w:w="61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其他收入</w:t>
            </w:r>
          </w:p>
        </w:tc>
      </w:tr>
      <w:tr>
        <w:tblPrEx>
          <w:tblLayout w:type="fixed"/>
          <w:tblCellMar>
            <w:top w:w="0" w:type="dxa"/>
            <w:left w:w="108" w:type="dxa"/>
            <w:bottom w:w="0" w:type="dxa"/>
            <w:right w:w="108" w:type="dxa"/>
          </w:tblCellMar>
        </w:tblPrEx>
        <w:trPr>
          <w:trHeight w:val="1215" w:hRule="atLeast"/>
        </w:trPr>
        <w:tc>
          <w:tcPr>
            <w:tcW w:w="107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支出功能分类科目编码</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科目名称</w:t>
            </w:r>
          </w:p>
        </w:tc>
        <w:tc>
          <w:tcPr>
            <w:tcW w:w="123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119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65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58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6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r>
      <w:tr>
        <w:tblPrEx>
          <w:tblLayout w:type="fixed"/>
          <w:tblCellMar>
            <w:top w:w="0" w:type="dxa"/>
            <w:left w:w="108" w:type="dxa"/>
            <w:bottom w:w="0" w:type="dxa"/>
            <w:right w:w="108" w:type="dxa"/>
          </w:tblCellMar>
        </w:tblPrEx>
        <w:trPr>
          <w:trHeight w:val="252" w:hRule="atLeast"/>
        </w:trPr>
        <w:tc>
          <w:tcPr>
            <w:tcW w:w="40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栏次</w:t>
            </w:r>
            <w:r>
              <w:rPr>
                <w:rFonts w:ascii="宋体" w:hAnsi="宋体" w:cs="宋体"/>
                <w:kern w:val="0"/>
                <w:sz w:val="24"/>
              </w:rPr>
              <w:t xml:space="preserve"> </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w:t>
            </w:r>
          </w:p>
        </w:tc>
        <w:tc>
          <w:tcPr>
            <w:tcW w:w="6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w:t>
            </w:r>
          </w:p>
        </w:tc>
        <w:tc>
          <w:tcPr>
            <w:tcW w:w="65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w:t>
            </w:r>
          </w:p>
        </w:tc>
        <w:tc>
          <w:tcPr>
            <w:tcW w:w="58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w:t>
            </w:r>
          </w:p>
        </w:tc>
        <w:tc>
          <w:tcPr>
            <w:tcW w:w="87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6</w:t>
            </w:r>
          </w:p>
        </w:tc>
        <w:tc>
          <w:tcPr>
            <w:tcW w:w="61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w:t>
            </w:r>
          </w:p>
        </w:tc>
      </w:tr>
      <w:tr>
        <w:tblPrEx>
          <w:tblLayout w:type="fixed"/>
          <w:tblCellMar>
            <w:top w:w="0" w:type="dxa"/>
            <w:left w:w="108" w:type="dxa"/>
            <w:bottom w:w="0" w:type="dxa"/>
            <w:right w:w="108" w:type="dxa"/>
          </w:tblCellMar>
        </w:tblPrEx>
        <w:trPr>
          <w:trHeight w:val="252" w:hRule="atLeast"/>
        </w:trPr>
        <w:tc>
          <w:tcPr>
            <w:tcW w:w="40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文化体育与传媒支出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2,050.58</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2,050.58</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文化</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1,247.75</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1,247.75</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2070101</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行政运行</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291.36</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291.36</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2070104</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图书馆</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72.88</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72.88</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2070106</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艺术表演场所</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12.00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12.00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2070107</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艺术表演团体</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97.68</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97.68</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群众文化</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205.12</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205.12</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2070112</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文化市场管理</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74.63</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74.63</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2070199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其他文化支出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494.09</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494.09</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文物</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331.14</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331.14</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2070204</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文物保护</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14.45</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14.45</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2070205</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博物馆</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316.70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316.70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20704</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新闻出版广播影视</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2070401</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行政运行</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03"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20707</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国家电影事业发展专项资金及对应专项债务收入安排的支出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2070799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其他国家电影事业发展专项资金支出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20799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其他文化体育与传媒支出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184.20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184.20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2079999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其他文化体育与传媒支出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184.20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184.20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城乡社区支出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21203</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城乡社区公共设施</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03"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2120399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其他城乡社区公共设施支出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213</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农林水支出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3,779.81</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3,779.81</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21305</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扶贫</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3,779.81</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3,779.81</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2130599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其他扶贫支出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3,779.81</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3,779.81</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03"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22960</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彩票公益金及对应专项债务收入安排的支出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03" w:hRule="atLeast"/>
        </w:trPr>
        <w:tc>
          <w:tcPr>
            <w:tcW w:w="1072"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2296010</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用于文化事业的彩票公益金支出</w:t>
            </w:r>
          </w:p>
        </w:tc>
        <w:tc>
          <w:tcPr>
            <w:tcW w:w="12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19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02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9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5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8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61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52" w:hRule="atLeast"/>
        </w:trPr>
        <w:tc>
          <w:tcPr>
            <w:tcW w:w="1072" w:type="dxa"/>
            <w:tcBorders>
              <w:top w:val="nil"/>
              <w:left w:val="nil"/>
              <w:bottom w:val="nil"/>
              <w:right w:val="nil"/>
            </w:tcBorders>
            <w:vAlign w:val="center"/>
          </w:tcPr>
          <w:p>
            <w:pPr>
              <w:widowControl/>
              <w:jc w:val="left"/>
              <w:rPr>
                <w:rFonts w:ascii="宋体" w:cs="宋体"/>
                <w:kern w:val="0"/>
                <w:sz w:val="24"/>
              </w:rPr>
            </w:pPr>
          </w:p>
        </w:tc>
        <w:tc>
          <w:tcPr>
            <w:tcW w:w="3026" w:type="dxa"/>
            <w:tcBorders>
              <w:top w:val="nil"/>
              <w:left w:val="nil"/>
              <w:bottom w:val="nil"/>
              <w:right w:val="nil"/>
            </w:tcBorders>
            <w:vAlign w:val="center"/>
          </w:tcPr>
          <w:p>
            <w:pPr>
              <w:widowControl/>
              <w:jc w:val="left"/>
              <w:rPr>
                <w:rFonts w:ascii="宋体" w:cs="宋体"/>
                <w:kern w:val="0"/>
                <w:sz w:val="24"/>
              </w:rPr>
            </w:pPr>
          </w:p>
        </w:tc>
        <w:tc>
          <w:tcPr>
            <w:tcW w:w="1239" w:type="dxa"/>
            <w:tcBorders>
              <w:top w:val="nil"/>
              <w:left w:val="nil"/>
              <w:bottom w:val="nil"/>
              <w:right w:val="nil"/>
            </w:tcBorders>
            <w:vAlign w:val="center"/>
          </w:tcPr>
          <w:p>
            <w:pPr>
              <w:widowControl/>
              <w:jc w:val="left"/>
              <w:rPr>
                <w:rFonts w:ascii="宋体" w:cs="宋体"/>
                <w:kern w:val="0"/>
                <w:sz w:val="24"/>
              </w:rPr>
            </w:pPr>
          </w:p>
        </w:tc>
        <w:tc>
          <w:tcPr>
            <w:tcW w:w="1194" w:type="dxa"/>
            <w:tcBorders>
              <w:top w:val="nil"/>
              <w:left w:val="nil"/>
              <w:bottom w:val="nil"/>
              <w:right w:val="nil"/>
            </w:tcBorders>
            <w:vAlign w:val="center"/>
          </w:tcPr>
          <w:p>
            <w:pPr>
              <w:widowControl/>
              <w:jc w:val="left"/>
              <w:rPr>
                <w:rFonts w:ascii="宋体" w:cs="宋体"/>
                <w:kern w:val="0"/>
                <w:sz w:val="24"/>
              </w:rPr>
            </w:pPr>
          </w:p>
        </w:tc>
        <w:tc>
          <w:tcPr>
            <w:tcW w:w="690" w:type="dxa"/>
            <w:tcBorders>
              <w:top w:val="nil"/>
              <w:left w:val="nil"/>
              <w:bottom w:val="nil"/>
              <w:right w:val="nil"/>
            </w:tcBorders>
            <w:vAlign w:val="center"/>
          </w:tcPr>
          <w:p>
            <w:pPr>
              <w:widowControl/>
              <w:jc w:val="left"/>
              <w:rPr>
                <w:rFonts w:ascii="宋体" w:cs="宋体"/>
                <w:kern w:val="0"/>
                <w:sz w:val="24"/>
              </w:rPr>
            </w:pPr>
          </w:p>
        </w:tc>
        <w:tc>
          <w:tcPr>
            <w:tcW w:w="650" w:type="dxa"/>
            <w:tcBorders>
              <w:top w:val="nil"/>
              <w:left w:val="nil"/>
              <w:bottom w:val="nil"/>
              <w:right w:val="nil"/>
            </w:tcBorders>
            <w:vAlign w:val="center"/>
          </w:tcPr>
          <w:p>
            <w:pPr>
              <w:widowControl/>
              <w:jc w:val="left"/>
              <w:rPr>
                <w:rFonts w:ascii="宋体" w:cs="宋体"/>
                <w:kern w:val="0"/>
                <w:sz w:val="24"/>
              </w:rPr>
            </w:pPr>
          </w:p>
        </w:tc>
        <w:tc>
          <w:tcPr>
            <w:tcW w:w="589" w:type="dxa"/>
            <w:tcBorders>
              <w:top w:val="nil"/>
              <w:left w:val="nil"/>
              <w:bottom w:val="nil"/>
              <w:right w:val="nil"/>
            </w:tcBorders>
            <w:vAlign w:val="center"/>
          </w:tcPr>
          <w:p>
            <w:pPr>
              <w:widowControl/>
              <w:jc w:val="left"/>
              <w:rPr>
                <w:rFonts w:ascii="宋体" w:cs="宋体"/>
                <w:kern w:val="0"/>
                <w:sz w:val="24"/>
              </w:rPr>
            </w:pPr>
          </w:p>
        </w:tc>
        <w:tc>
          <w:tcPr>
            <w:tcW w:w="879" w:type="dxa"/>
            <w:tcBorders>
              <w:top w:val="nil"/>
              <w:left w:val="nil"/>
              <w:bottom w:val="nil"/>
              <w:right w:val="nil"/>
            </w:tcBorders>
            <w:vAlign w:val="center"/>
          </w:tcPr>
          <w:p>
            <w:pPr>
              <w:widowControl/>
              <w:jc w:val="left"/>
              <w:rPr>
                <w:rFonts w:ascii="宋体" w:cs="宋体"/>
                <w:kern w:val="0"/>
                <w:sz w:val="24"/>
              </w:rPr>
            </w:pPr>
          </w:p>
        </w:tc>
        <w:tc>
          <w:tcPr>
            <w:tcW w:w="614" w:type="dxa"/>
            <w:tcBorders>
              <w:top w:val="nil"/>
              <w:left w:val="nil"/>
              <w:bottom w:val="nil"/>
              <w:right w:val="nil"/>
            </w:tcBorders>
            <w:vAlign w:val="center"/>
          </w:tcPr>
          <w:p>
            <w:pPr>
              <w:widowControl/>
              <w:jc w:val="left"/>
              <w:rPr>
                <w:rFonts w:ascii="宋体" w:cs="宋体"/>
                <w:kern w:val="0"/>
                <w:sz w:val="24"/>
              </w:rPr>
            </w:pPr>
          </w:p>
        </w:tc>
      </w:tr>
    </w:tbl>
    <w:tbl>
      <w:tblPr>
        <w:tblStyle w:val="8"/>
        <w:tblpPr w:leftFromText="180" w:rightFromText="180" w:vertAnchor="text" w:horzAnchor="margin" w:tblpXSpec="center" w:tblpY="-307"/>
        <w:tblW w:w="9905" w:type="dxa"/>
        <w:tblInd w:w="0" w:type="dxa"/>
        <w:tblLayout w:type="fixed"/>
        <w:tblCellMar>
          <w:top w:w="15" w:type="dxa"/>
          <w:left w:w="15" w:type="dxa"/>
          <w:bottom w:w="15" w:type="dxa"/>
          <w:right w:w="15" w:type="dxa"/>
        </w:tblCellMar>
      </w:tblPr>
      <w:tblGrid>
        <w:gridCol w:w="14"/>
        <w:gridCol w:w="1097"/>
        <w:gridCol w:w="2638"/>
        <w:gridCol w:w="1230"/>
        <w:gridCol w:w="1185"/>
        <w:gridCol w:w="1185"/>
        <w:gridCol w:w="439"/>
        <w:gridCol w:w="412"/>
        <w:gridCol w:w="85"/>
        <w:gridCol w:w="1620"/>
      </w:tblGrid>
      <w:tr>
        <w:tblPrEx>
          <w:tblLayout w:type="fixed"/>
          <w:tblCellMar>
            <w:top w:w="15" w:type="dxa"/>
            <w:left w:w="15" w:type="dxa"/>
            <w:bottom w:w="15" w:type="dxa"/>
            <w:right w:w="15" w:type="dxa"/>
          </w:tblCellMar>
        </w:tblPrEx>
        <w:trPr>
          <w:gridBefore w:val="1"/>
          <w:wBefore w:w="14" w:type="dxa"/>
          <w:trHeight w:val="375" w:hRule="atLeast"/>
        </w:trPr>
        <w:tc>
          <w:tcPr>
            <w:tcW w:w="9891" w:type="dxa"/>
            <w:gridSpan w:val="9"/>
            <w:vAlign w:val="center"/>
          </w:tcPr>
          <w:p>
            <w:pPr>
              <w:widowControl/>
              <w:jc w:val="center"/>
              <w:rPr>
                <w:rFonts w:ascii="宋体" w:cs="宋体"/>
                <w:b/>
                <w:bCs/>
                <w:kern w:val="0"/>
                <w:sz w:val="28"/>
                <w:szCs w:val="28"/>
              </w:rPr>
            </w:pPr>
            <w:r>
              <w:rPr>
                <w:rFonts w:hint="eastAsia" w:ascii="宋体" w:hAnsi="宋体" w:cs="宋体"/>
                <w:b/>
                <w:bCs/>
                <w:kern w:val="0"/>
                <w:sz w:val="28"/>
                <w:szCs w:val="28"/>
              </w:rPr>
              <w:t>支出决算表</w:t>
            </w:r>
          </w:p>
        </w:tc>
      </w:tr>
      <w:tr>
        <w:tblPrEx>
          <w:tblLayout w:type="fixed"/>
          <w:tblCellMar>
            <w:top w:w="0" w:type="dxa"/>
            <w:left w:w="108" w:type="dxa"/>
            <w:bottom w:w="0" w:type="dxa"/>
            <w:right w:w="108" w:type="dxa"/>
          </w:tblCellMar>
        </w:tblPrEx>
        <w:trPr>
          <w:trHeight w:val="300" w:hRule="atLeast"/>
        </w:trPr>
        <w:tc>
          <w:tcPr>
            <w:tcW w:w="1111" w:type="dxa"/>
            <w:gridSpan w:val="2"/>
            <w:tcBorders>
              <w:top w:val="nil"/>
              <w:left w:val="nil"/>
              <w:bottom w:val="nil"/>
              <w:right w:val="nil"/>
            </w:tcBorders>
            <w:vAlign w:val="center"/>
          </w:tcPr>
          <w:p>
            <w:pPr>
              <w:widowControl/>
              <w:jc w:val="left"/>
              <w:rPr>
                <w:rFonts w:ascii="宋体" w:cs="宋体"/>
                <w:kern w:val="0"/>
                <w:sz w:val="24"/>
              </w:rPr>
            </w:pPr>
          </w:p>
        </w:tc>
        <w:tc>
          <w:tcPr>
            <w:tcW w:w="2638" w:type="dxa"/>
            <w:tcBorders>
              <w:top w:val="nil"/>
              <w:left w:val="nil"/>
              <w:bottom w:val="nil"/>
              <w:right w:val="nil"/>
            </w:tcBorders>
            <w:vAlign w:val="center"/>
          </w:tcPr>
          <w:p>
            <w:pPr>
              <w:widowControl/>
              <w:jc w:val="left"/>
              <w:rPr>
                <w:rFonts w:ascii="宋体" w:cs="宋体"/>
                <w:kern w:val="0"/>
                <w:sz w:val="24"/>
              </w:rPr>
            </w:pPr>
          </w:p>
        </w:tc>
        <w:tc>
          <w:tcPr>
            <w:tcW w:w="1230" w:type="dxa"/>
            <w:tcBorders>
              <w:top w:val="nil"/>
              <w:left w:val="nil"/>
              <w:bottom w:val="nil"/>
              <w:right w:val="nil"/>
            </w:tcBorders>
            <w:vAlign w:val="center"/>
          </w:tcPr>
          <w:p>
            <w:pPr>
              <w:widowControl/>
              <w:jc w:val="left"/>
              <w:rPr>
                <w:rFonts w:ascii="宋体" w:cs="宋体"/>
                <w:kern w:val="0"/>
                <w:sz w:val="24"/>
              </w:rPr>
            </w:pPr>
          </w:p>
        </w:tc>
        <w:tc>
          <w:tcPr>
            <w:tcW w:w="1185" w:type="dxa"/>
            <w:tcBorders>
              <w:top w:val="nil"/>
              <w:left w:val="nil"/>
              <w:bottom w:val="nil"/>
              <w:right w:val="nil"/>
            </w:tcBorders>
            <w:vAlign w:val="center"/>
          </w:tcPr>
          <w:p>
            <w:pPr>
              <w:widowControl/>
              <w:jc w:val="left"/>
              <w:rPr>
                <w:rFonts w:ascii="宋体" w:cs="宋体"/>
                <w:kern w:val="0"/>
                <w:sz w:val="24"/>
              </w:rPr>
            </w:pPr>
          </w:p>
        </w:tc>
        <w:tc>
          <w:tcPr>
            <w:tcW w:w="1185" w:type="dxa"/>
            <w:tcBorders>
              <w:top w:val="nil"/>
              <w:left w:val="nil"/>
              <w:bottom w:val="nil"/>
              <w:right w:val="nil"/>
            </w:tcBorders>
            <w:vAlign w:val="center"/>
          </w:tcPr>
          <w:p>
            <w:pPr>
              <w:widowControl/>
              <w:jc w:val="left"/>
              <w:rPr>
                <w:rFonts w:ascii="宋体" w:cs="宋体"/>
                <w:kern w:val="0"/>
                <w:sz w:val="24"/>
              </w:rPr>
            </w:pPr>
          </w:p>
        </w:tc>
        <w:tc>
          <w:tcPr>
            <w:tcW w:w="439" w:type="dxa"/>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w:t>
            </w:r>
          </w:p>
        </w:tc>
        <w:tc>
          <w:tcPr>
            <w:tcW w:w="497" w:type="dxa"/>
            <w:gridSpan w:val="2"/>
            <w:tcBorders>
              <w:top w:val="nil"/>
              <w:left w:val="nil"/>
              <w:bottom w:val="nil"/>
              <w:right w:val="nil"/>
            </w:tcBorders>
            <w:vAlign w:val="center"/>
          </w:tcPr>
          <w:p>
            <w:pPr>
              <w:widowControl/>
              <w:jc w:val="left"/>
              <w:rPr>
                <w:rFonts w:ascii="宋体" w:cs="宋体"/>
                <w:kern w:val="0"/>
                <w:sz w:val="24"/>
              </w:rPr>
            </w:pPr>
          </w:p>
        </w:tc>
        <w:tc>
          <w:tcPr>
            <w:tcW w:w="1620" w:type="dxa"/>
            <w:tcBorders>
              <w:top w:val="nil"/>
              <w:left w:val="nil"/>
              <w:bottom w:val="nil"/>
              <w:right w:val="nil"/>
            </w:tcBorders>
            <w:vAlign w:val="center"/>
          </w:tcPr>
          <w:p>
            <w:pPr>
              <w:widowControl/>
              <w:jc w:val="left"/>
              <w:rPr>
                <w:rFonts w:ascii="宋体" w:cs="宋体"/>
                <w:kern w:val="0"/>
                <w:szCs w:val="21"/>
              </w:rPr>
            </w:pPr>
            <w:r>
              <w:rPr>
                <w:rFonts w:hint="eastAsia" w:ascii="宋体" w:hAnsi="宋体" w:cs="宋体"/>
                <w:kern w:val="0"/>
                <w:szCs w:val="21"/>
              </w:rPr>
              <w:t>公开</w:t>
            </w:r>
            <w:r>
              <w:rPr>
                <w:rFonts w:ascii="宋体" w:hAnsi="宋体" w:cs="宋体"/>
                <w:kern w:val="0"/>
                <w:szCs w:val="21"/>
              </w:rPr>
              <w:t>03</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trHeight w:val="315" w:hRule="atLeast"/>
        </w:trPr>
        <w:tc>
          <w:tcPr>
            <w:tcW w:w="1111" w:type="dxa"/>
            <w:gridSpan w:val="2"/>
            <w:tcBorders>
              <w:top w:val="nil"/>
              <w:left w:val="nil"/>
              <w:bottom w:val="nil"/>
              <w:right w:val="nil"/>
            </w:tcBorders>
            <w:vAlign w:val="center"/>
          </w:tcPr>
          <w:p>
            <w:pPr>
              <w:widowControl/>
              <w:jc w:val="left"/>
              <w:rPr>
                <w:rFonts w:ascii="宋体" w:cs="宋体"/>
                <w:kern w:val="0"/>
                <w:sz w:val="24"/>
              </w:rPr>
            </w:pPr>
          </w:p>
        </w:tc>
        <w:tc>
          <w:tcPr>
            <w:tcW w:w="2638" w:type="dxa"/>
            <w:tcBorders>
              <w:top w:val="nil"/>
              <w:left w:val="nil"/>
              <w:bottom w:val="nil"/>
              <w:right w:val="nil"/>
            </w:tcBorders>
            <w:vAlign w:val="center"/>
          </w:tcPr>
          <w:p>
            <w:pPr>
              <w:widowControl/>
              <w:jc w:val="left"/>
              <w:rPr>
                <w:rFonts w:ascii="宋体" w:cs="宋体"/>
                <w:kern w:val="0"/>
                <w:sz w:val="24"/>
              </w:rPr>
            </w:pPr>
          </w:p>
        </w:tc>
        <w:tc>
          <w:tcPr>
            <w:tcW w:w="1230" w:type="dxa"/>
            <w:tcBorders>
              <w:top w:val="nil"/>
              <w:left w:val="nil"/>
              <w:bottom w:val="nil"/>
              <w:right w:val="nil"/>
            </w:tcBorders>
            <w:vAlign w:val="center"/>
          </w:tcPr>
          <w:p>
            <w:pPr>
              <w:widowControl/>
              <w:jc w:val="left"/>
              <w:rPr>
                <w:rFonts w:ascii="宋体" w:cs="宋体"/>
                <w:kern w:val="0"/>
                <w:sz w:val="24"/>
              </w:rPr>
            </w:pPr>
          </w:p>
        </w:tc>
        <w:tc>
          <w:tcPr>
            <w:tcW w:w="1185" w:type="dxa"/>
            <w:tcBorders>
              <w:top w:val="nil"/>
              <w:left w:val="nil"/>
              <w:bottom w:val="nil"/>
              <w:right w:val="nil"/>
            </w:tcBorders>
            <w:vAlign w:val="center"/>
          </w:tcPr>
          <w:p>
            <w:pPr>
              <w:widowControl/>
              <w:jc w:val="left"/>
              <w:rPr>
                <w:rFonts w:ascii="宋体" w:cs="宋体"/>
                <w:kern w:val="0"/>
                <w:sz w:val="24"/>
              </w:rPr>
            </w:pPr>
          </w:p>
        </w:tc>
        <w:tc>
          <w:tcPr>
            <w:tcW w:w="1185" w:type="dxa"/>
            <w:tcBorders>
              <w:top w:val="nil"/>
              <w:left w:val="nil"/>
              <w:bottom w:val="nil"/>
              <w:right w:val="nil"/>
            </w:tcBorders>
            <w:vAlign w:val="center"/>
          </w:tcPr>
          <w:p>
            <w:pPr>
              <w:widowControl/>
              <w:jc w:val="left"/>
              <w:rPr>
                <w:rFonts w:ascii="宋体" w:cs="宋体"/>
                <w:kern w:val="0"/>
                <w:sz w:val="24"/>
              </w:rPr>
            </w:pPr>
          </w:p>
        </w:tc>
        <w:tc>
          <w:tcPr>
            <w:tcW w:w="439" w:type="dxa"/>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w:t>
            </w:r>
          </w:p>
        </w:tc>
        <w:tc>
          <w:tcPr>
            <w:tcW w:w="2117" w:type="dxa"/>
            <w:gridSpan w:val="3"/>
            <w:tcBorders>
              <w:top w:val="nil"/>
              <w:left w:val="nil"/>
              <w:bottom w:val="single" w:color="auto" w:sz="4" w:space="0"/>
              <w:right w:val="nil"/>
            </w:tcBorders>
            <w:vAlign w:val="center"/>
          </w:tcPr>
          <w:p>
            <w:pPr>
              <w:widowControl/>
              <w:jc w:val="center"/>
              <w:rPr>
                <w:rFonts w:ascii="宋体" w:cs="宋体"/>
                <w:kern w:val="0"/>
                <w:szCs w:val="21"/>
              </w:rPr>
            </w:pPr>
            <w:r>
              <w:rPr>
                <w:rFonts w:hint="eastAsia" w:ascii="宋体" w:hAnsi="宋体" w:cs="宋体"/>
                <w:kern w:val="0"/>
                <w:szCs w:val="21"/>
              </w:rPr>
              <w:t>单位：万元</w:t>
            </w:r>
          </w:p>
        </w:tc>
      </w:tr>
      <w:tr>
        <w:tblPrEx>
          <w:tblLayout w:type="fixed"/>
          <w:tblCellMar>
            <w:top w:w="0" w:type="dxa"/>
            <w:left w:w="108" w:type="dxa"/>
            <w:bottom w:w="0" w:type="dxa"/>
            <w:right w:w="108" w:type="dxa"/>
          </w:tblCellMar>
        </w:tblPrEx>
        <w:trPr>
          <w:trHeight w:val="285" w:hRule="atLeast"/>
        </w:trPr>
        <w:tc>
          <w:tcPr>
            <w:tcW w:w="37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w:t>
            </w:r>
          </w:p>
        </w:tc>
        <w:tc>
          <w:tcPr>
            <w:tcW w:w="123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本年支出合计</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基本支出</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项目支出</w:t>
            </w:r>
          </w:p>
        </w:tc>
        <w:tc>
          <w:tcPr>
            <w:tcW w:w="4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上缴上级支出</w:t>
            </w:r>
          </w:p>
        </w:tc>
        <w:tc>
          <w:tcPr>
            <w:tcW w:w="41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经营支出</w:t>
            </w:r>
          </w:p>
        </w:tc>
        <w:tc>
          <w:tcPr>
            <w:tcW w:w="1705"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85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支出功能分类科目编码</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科目名称</w:t>
            </w:r>
          </w:p>
        </w:tc>
        <w:tc>
          <w:tcPr>
            <w:tcW w:w="123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4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41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c>
          <w:tcPr>
            <w:tcW w:w="170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285" w:hRule="atLeast"/>
        </w:trPr>
        <w:tc>
          <w:tcPr>
            <w:tcW w:w="37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栏次</w:t>
            </w:r>
            <w:r>
              <w:rPr>
                <w:rFonts w:ascii="宋体" w:hAnsi="宋体" w:cs="宋体"/>
                <w:kern w:val="0"/>
                <w:sz w:val="24"/>
              </w:rPr>
              <w:t xml:space="preserve"> </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w:t>
            </w:r>
          </w:p>
        </w:tc>
        <w:tc>
          <w:tcPr>
            <w:tcW w:w="43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w:t>
            </w:r>
          </w:p>
        </w:tc>
        <w:tc>
          <w:tcPr>
            <w:tcW w:w="41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w:t>
            </w:r>
          </w:p>
        </w:tc>
        <w:tc>
          <w:tcPr>
            <w:tcW w:w="1705"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285" w:hRule="atLeast"/>
        </w:trPr>
        <w:tc>
          <w:tcPr>
            <w:tcW w:w="374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1,851.38</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1,106.99</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744.39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文化体育与传媒支出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1,766.38</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1,106.99</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659.39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文化</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1,147.75</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722.56</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425.19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2070101</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行政运行</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291.36</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291.36</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2070104</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图书馆</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72.88</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72.88</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2070106</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艺术表演场所</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12.00</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12.00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2070107</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艺术表演团体</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97.68</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88.24</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9.44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2070109</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群众文化</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205.12</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111.74</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93.38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2070112</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文化市场管理</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74.63</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74.63</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2070199</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其他文化支出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394.09</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71.71</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322.38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文物</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331.14</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221.14</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110.00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2070204</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文物保护</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14.45</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14.45</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2070205</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博物馆</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316.70</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206.70</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110.00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20704</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新闻出版广播影视</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2070401</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行政运行</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85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20707</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国家电影事业发展专项资金及对应专项债务收入安排的支出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124.20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2070799</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其他国家电影事业发展专项资金支出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124.20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城乡社区支出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80.00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21203</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城乡社区公共设施</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80.00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2120399</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其他城乡社区公共设施支出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80.00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5.00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22960</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彩票公益金及对应专项债务收入安排的支出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5.00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11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2296010</w:t>
            </w:r>
          </w:p>
        </w:tc>
        <w:tc>
          <w:tcPr>
            <w:tcW w:w="263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用于文化事业的彩票公益金支出</w:t>
            </w:r>
          </w:p>
        </w:tc>
        <w:tc>
          <w:tcPr>
            <w:tcW w:w="123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18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5.00 </w:t>
            </w:r>
          </w:p>
        </w:tc>
        <w:tc>
          <w:tcPr>
            <w:tcW w:w="43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41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05"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9905" w:type="dxa"/>
            <w:gridSpan w:val="10"/>
            <w:tcBorders>
              <w:top w:val="nil"/>
              <w:left w:val="nil"/>
              <w:bottom w:val="nil"/>
              <w:right w:val="nil"/>
            </w:tcBorders>
            <w:vAlign w:val="center"/>
          </w:tcPr>
          <w:p>
            <w:pPr>
              <w:widowControl/>
              <w:jc w:val="left"/>
              <w:rPr>
                <w:rFonts w:ascii="宋体" w:cs="宋体"/>
                <w:kern w:val="0"/>
                <w:sz w:val="24"/>
                <w:szCs w:val="24"/>
              </w:rPr>
            </w:pPr>
            <w:r>
              <w:rPr>
                <w:rFonts w:hint="eastAsia" w:ascii="宋体" w:hAnsi="宋体" w:cs="宋体"/>
                <w:color w:val="000000"/>
                <w:kern w:val="0"/>
                <w:sz w:val="24"/>
                <w:szCs w:val="24"/>
              </w:rPr>
              <w:t>注：本表反映部门本年度取得的各项支出情况。</w:t>
            </w:r>
          </w:p>
        </w:tc>
      </w:tr>
      <w:tr>
        <w:tblPrEx>
          <w:tblLayout w:type="fixed"/>
          <w:tblCellMar>
            <w:top w:w="15" w:type="dxa"/>
            <w:left w:w="15" w:type="dxa"/>
            <w:bottom w:w="15" w:type="dxa"/>
            <w:right w:w="15" w:type="dxa"/>
          </w:tblCellMar>
        </w:tblPrEx>
        <w:trPr>
          <w:gridBefore w:val="1"/>
          <w:wBefore w:w="14" w:type="dxa"/>
          <w:trHeight w:val="65" w:hRule="atLeast"/>
        </w:trPr>
        <w:tc>
          <w:tcPr>
            <w:tcW w:w="9891" w:type="dxa"/>
            <w:gridSpan w:val="9"/>
            <w:vAlign w:val="center"/>
          </w:tcPr>
          <w:p>
            <w:pPr>
              <w:widowControl/>
              <w:textAlignment w:val="center"/>
              <w:rPr>
                <w:rFonts w:ascii="黑体" w:hAnsi="宋体" w:eastAsia="黑体" w:cs="黑体"/>
                <w:color w:val="000000"/>
                <w:sz w:val="28"/>
                <w:szCs w:val="28"/>
              </w:rPr>
            </w:pPr>
          </w:p>
        </w:tc>
      </w:tr>
      <w:tr>
        <w:tblPrEx>
          <w:tblLayout w:type="fixed"/>
          <w:tblCellMar>
            <w:top w:w="15" w:type="dxa"/>
            <w:left w:w="15" w:type="dxa"/>
            <w:bottom w:w="15" w:type="dxa"/>
            <w:right w:w="15" w:type="dxa"/>
          </w:tblCellMar>
        </w:tblPrEx>
        <w:trPr>
          <w:gridBefore w:val="1"/>
          <w:wBefore w:w="14" w:type="dxa"/>
          <w:trHeight w:val="360" w:hRule="atLeast"/>
        </w:trPr>
        <w:tc>
          <w:tcPr>
            <w:tcW w:w="9891" w:type="dxa"/>
            <w:gridSpan w:val="9"/>
            <w:vAlign w:val="center"/>
          </w:tcPr>
          <w:tbl>
            <w:tblPr>
              <w:tblStyle w:val="8"/>
              <w:tblpPr w:leftFromText="180" w:rightFromText="180" w:horzAnchor="margin" w:tblpY="-1455"/>
              <w:tblOverlap w:val="never"/>
              <w:tblW w:w="9720" w:type="dxa"/>
              <w:tblInd w:w="0" w:type="dxa"/>
              <w:tblLayout w:type="fixed"/>
              <w:tblCellMar>
                <w:top w:w="0" w:type="dxa"/>
                <w:left w:w="108" w:type="dxa"/>
                <w:bottom w:w="0" w:type="dxa"/>
                <w:right w:w="108" w:type="dxa"/>
              </w:tblCellMar>
            </w:tblPr>
            <w:tblGrid>
              <w:gridCol w:w="1260"/>
              <w:gridCol w:w="528"/>
              <w:gridCol w:w="12"/>
              <w:gridCol w:w="321"/>
              <w:gridCol w:w="939"/>
              <w:gridCol w:w="2520"/>
              <w:gridCol w:w="540"/>
              <w:gridCol w:w="238"/>
              <w:gridCol w:w="333"/>
              <w:gridCol w:w="689"/>
              <w:gridCol w:w="457"/>
              <w:gridCol w:w="803"/>
              <w:gridCol w:w="1080"/>
            </w:tblGrid>
            <w:tr>
              <w:tblPrEx>
                <w:tblLayout w:type="fixed"/>
                <w:tblCellMar>
                  <w:top w:w="0" w:type="dxa"/>
                  <w:left w:w="108" w:type="dxa"/>
                  <w:bottom w:w="0" w:type="dxa"/>
                  <w:right w:w="108" w:type="dxa"/>
                </w:tblCellMar>
              </w:tblPrEx>
              <w:trPr>
                <w:trHeight w:val="375" w:hRule="atLeast"/>
              </w:trPr>
              <w:tc>
                <w:tcPr>
                  <w:tcW w:w="9720" w:type="dxa"/>
                  <w:gridSpan w:val="13"/>
                  <w:vAlign w:val="center"/>
                </w:tcPr>
                <w:p>
                  <w:pPr>
                    <w:widowControl/>
                    <w:jc w:val="center"/>
                    <w:rPr>
                      <w:rFonts w:ascii="宋体" w:cs="宋体"/>
                      <w:b/>
                      <w:bCs/>
                      <w:kern w:val="0"/>
                      <w:sz w:val="28"/>
                      <w:szCs w:val="28"/>
                    </w:rPr>
                  </w:pPr>
                  <w:r>
                    <w:rPr>
                      <w:rFonts w:hint="eastAsia" w:ascii="宋体" w:hAnsi="宋体" w:cs="宋体"/>
                      <w:b/>
                      <w:bCs/>
                      <w:kern w:val="0"/>
                      <w:sz w:val="28"/>
                      <w:szCs w:val="28"/>
                    </w:rPr>
                    <w:t>财政拨款收入支出决算表</w:t>
                  </w:r>
                </w:p>
              </w:tc>
            </w:tr>
            <w:tr>
              <w:tblPrEx>
                <w:tblLayout w:type="fixed"/>
                <w:tblCellMar>
                  <w:top w:w="0" w:type="dxa"/>
                  <w:left w:w="108" w:type="dxa"/>
                  <w:bottom w:w="0" w:type="dxa"/>
                  <w:right w:w="108" w:type="dxa"/>
                </w:tblCellMar>
              </w:tblPrEx>
              <w:trPr>
                <w:trHeight w:val="285" w:hRule="atLeast"/>
              </w:trPr>
              <w:tc>
                <w:tcPr>
                  <w:tcW w:w="1788" w:type="dxa"/>
                  <w:gridSpan w:val="2"/>
                  <w:vAlign w:val="center"/>
                </w:tcPr>
                <w:p>
                  <w:pPr>
                    <w:widowControl/>
                    <w:jc w:val="left"/>
                    <w:rPr>
                      <w:rFonts w:ascii="宋体" w:cs="宋体"/>
                      <w:kern w:val="0"/>
                      <w:sz w:val="24"/>
                    </w:rPr>
                  </w:pPr>
                </w:p>
              </w:tc>
              <w:tc>
                <w:tcPr>
                  <w:tcW w:w="333" w:type="dxa"/>
                  <w:gridSpan w:val="2"/>
                  <w:vAlign w:val="center"/>
                </w:tcPr>
                <w:p>
                  <w:pPr>
                    <w:widowControl/>
                    <w:jc w:val="left"/>
                    <w:rPr>
                      <w:rFonts w:ascii="宋体" w:cs="宋体"/>
                      <w:kern w:val="0"/>
                      <w:sz w:val="24"/>
                    </w:rPr>
                  </w:pPr>
                </w:p>
              </w:tc>
              <w:tc>
                <w:tcPr>
                  <w:tcW w:w="939" w:type="dxa"/>
                  <w:vAlign w:val="center"/>
                </w:tcPr>
                <w:p>
                  <w:pPr>
                    <w:widowControl/>
                    <w:jc w:val="left"/>
                    <w:rPr>
                      <w:rFonts w:ascii="宋体" w:cs="宋体"/>
                      <w:kern w:val="0"/>
                      <w:sz w:val="24"/>
                    </w:rPr>
                  </w:pPr>
                </w:p>
              </w:tc>
              <w:tc>
                <w:tcPr>
                  <w:tcW w:w="3298" w:type="dxa"/>
                  <w:gridSpan w:val="3"/>
                  <w:vAlign w:val="center"/>
                </w:tcPr>
                <w:p>
                  <w:pPr>
                    <w:widowControl/>
                    <w:jc w:val="left"/>
                    <w:rPr>
                      <w:rFonts w:ascii="宋体" w:cs="宋体"/>
                      <w:kern w:val="0"/>
                      <w:sz w:val="24"/>
                    </w:rPr>
                  </w:pPr>
                </w:p>
              </w:tc>
              <w:tc>
                <w:tcPr>
                  <w:tcW w:w="333" w:type="dxa"/>
                  <w:vAlign w:val="center"/>
                </w:tcPr>
                <w:p>
                  <w:pPr>
                    <w:widowControl/>
                    <w:jc w:val="left"/>
                    <w:rPr>
                      <w:rFonts w:ascii="宋体" w:cs="宋体"/>
                      <w:kern w:val="0"/>
                      <w:sz w:val="24"/>
                    </w:rPr>
                  </w:pPr>
                </w:p>
              </w:tc>
              <w:tc>
                <w:tcPr>
                  <w:tcW w:w="1146" w:type="dxa"/>
                  <w:gridSpan w:val="2"/>
                  <w:vAlign w:val="center"/>
                </w:tcPr>
                <w:p>
                  <w:pPr>
                    <w:widowControl/>
                    <w:jc w:val="left"/>
                    <w:rPr>
                      <w:rFonts w:ascii="宋体" w:cs="宋体"/>
                      <w:kern w:val="0"/>
                      <w:sz w:val="24"/>
                    </w:rPr>
                  </w:pPr>
                </w:p>
              </w:tc>
              <w:tc>
                <w:tcPr>
                  <w:tcW w:w="1883" w:type="dxa"/>
                  <w:gridSpan w:val="2"/>
                  <w:vAlign w:val="center"/>
                </w:tcPr>
                <w:p>
                  <w:pPr>
                    <w:widowControl/>
                    <w:jc w:val="center"/>
                    <w:rPr>
                      <w:rFonts w:ascii="宋体" w:cs="宋体"/>
                      <w:kern w:val="0"/>
                      <w:szCs w:val="21"/>
                    </w:rPr>
                  </w:pPr>
                  <w:r>
                    <w:rPr>
                      <w:rFonts w:hint="eastAsia" w:ascii="宋体" w:hAnsi="宋体" w:cs="宋体"/>
                      <w:kern w:val="0"/>
                      <w:szCs w:val="21"/>
                    </w:rPr>
                    <w:t>　公开</w:t>
                  </w:r>
                  <w:r>
                    <w:rPr>
                      <w:rFonts w:ascii="宋体" w:hAnsi="宋体" w:cs="宋体"/>
                      <w:kern w:val="0"/>
                      <w:szCs w:val="21"/>
                    </w:rPr>
                    <w:t>04</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trHeight w:val="300" w:hRule="atLeast"/>
              </w:trPr>
              <w:tc>
                <w:tcPr>
                  <w:tcW w:w="1788" w:type="dxa"/>
                  <w:gridSpan w:val="2"/>
                  <w:vAlign w:val="center"/>
                </w:tcPr>
                <w:p>
                  <w:pPr>
                    <w:widowControl/>
                    <w:jc w:val="left"/>
                    <w:rPr>
                      <w:rFonts w:ascii="宋体" w:cs="宋体"/>
                      <w:kern w:val="0"/>
                      <w:sz w:val="24"/>
                    </w:rPr>
                  </w:pPr>
                </w:p>
              </w:tc>
              <w:tc>
                <w:tcPr>
                  <w:tcW w:w="333" w:type="dxa"/>
                  <w:gridSpan w:val="2"/>
                  <w:vAlign w:val="center"/>
                </w:tcPr>
                <w:p>
                  <w:pPr>
                    <w:widowControl/>
                    <w:jc w:val="left"/>
                    <w:rPr>
                      <w:rFonts w:ascii="宋体" w:cs="宋体"/>
                      <w:kern w:val="0"/>
                      <w:sz w:val="24"/>
                    </w:rPr>
                  </w:pPr>
                </w:p>
              </w:tc>
              <w:tc>
                <w:tcPr>
                  <w:tcW w:w="939" w:type="dxa"/>
                  <w:vAlign w:val="center"/>
                </w:tcPr>
                <w:p>
                  <w:pPr>
                    <w:widowControl/>
                    <w:jc w:val="left"/>
                    <w:rPr>
                      <w:rFonts w:ascii="宋体" w:cs="宋体"/>
                      <w:kern w:val="0"/>
                      <w:sz w:val="24"/>
                    </w:rPr>
                  </w:pPr>
                </w:p>
              </w:tc>
              <w:tc>
                <w:tcPr>
                  <w:tcW w:w="3298" w:type="dxa"/>
                  <w:gridSpan w:val="3"/>
                  <w:vAlign w:val="center"/>
                </w:tcPr>
                <w:p>
                  <w:pPr>
                    <w:widowControl/>
                    <w:jc w:val="left"/>
                    <w:rPr>
                      <w:rFonts w:ascii="宋体" w:cs="宋体"/>
                      <w:kern w:val="0"/>
                      <w:sz w:val="24"/>
                    </w:rPr>
                  </w:pPr>
                </w:p>
              </w:tc>
              <w:tc>
                <w:tcPr>
                  <w:tcW w:w="333" w:type="dxa"/>
                  <w:vAlign w:val="center"/>
                </w:tcPr>
                <w:p>
                  <w:pPr>
                    <w:widowControl/>
                    <w:jc w:val="left"/>
                    <w:rPr>
                      <w:rFonts w:ascii="宋体" w:cs="宋体"/>
                      <w:kern w:val="0"/>
                      <w:sz w:val="24"/>
                    </w:rPr>
                  </w:pPr>
                </w:p>
              </w:tc>
              <w:tc>
                <w:tcPr>
                  <w:tcW w:w="1146" w:type="dxa"/>
                  <w:gridSpan w:val="2"/>
                  <w:vAlign w:val="center"/>
                </w:tcPr>
                <w:p>
                  <w:pPr>
                    <w:widowControl/>
                    <w:jc w:val="left"/>
                    <w:rPr>
                      <w:rFonts w:ascii="宋体" w:cs="宋体"/>
                      <w:kern w:val="0"/>
                      <w:sz w:val="24"/>
                    </w:rPr>
                  </w:pPr>
                </w:p>
              </w:tc>
              <w:tc>
                <w:tcPr>
                  <w:tcW w:w="1883" w:type="dxa"/>
                  <w:gridSpan w:val="2"/>
                  <w:tcBorders>
                    <w:bottom w:val="single" w:color="auto" w:sz="4" w:space="0"/>
                  </w:tcBorders>
                  <w:vAlign w:val="center"/>
                </w:tcPr>
                <w:p>
                  <w:pPr>
                    <w:widowControl/>
                    <w:jc w:val="center"/>
                    <w:rPr>
                      <w:rFonts w:ascii="宋体" w:cs="宋体"/>
                      <w:kern w:val="0"/>
                      <w:szCs w:val="21"/>
                    </w:rPr>
                  </w:pPr>
                  <w:r>
                    <w:rPr>
                      <w:rFonts w:hint="eastAsia" w:ascii="宋体" w:hAnsi="宋体" w:cs="宋体"/>
                      <w:kern w:val="0"/>
                      <w:szCs w:val="21"/>
                    </w:rPr>
                    <w:t>单位：万元</w:t>
                  </w:r>
                  <w:r>
                    <w:rPr>
                      <w:rFonts w:ascii="宋体" w:hAnsi="宋体" w:cs="宋体"/>
                      <w:kern w:val="0"/>
                      <w:szCs w:val="21"/>
                    </w:rPr>
                    <w:t xml:space="preserve"> </w:t>
                  </w:r>
                </w:p>
              </w:tc>
            </w:tr>
            <w:tr>
              <w:tblPrEx>
                <w:tblLayout w:type="fixed"/>
                <w:tblCellMar>
                  <w:top w:w="0" w:type="dxa"/>
                  <w:left w:w="108" w:type="dxa"/>
                  <w:bottom w:w="0" w:type="dxa"/>
                  <w:right w:w="108" w:type="dxa"/>
                </w:tblCellMar>
              </w:tblPrEx>
              <w:trPr>
                <w:trHeight w:val="285" w:hRule="atLeast"/>
              </w:trPr>
              <w:tc>
                <w:tcPr>
                  <w:tcW w:w="306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6660" w:type="dxa"/>
                  <w:gridSpan w:val="8"/>
                  <w:tcBorders>
                    <w:top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Layout w:type="fixed"/>
                <w:tblCellMar>
                  <w:top w:w="0" w:type="dxa"/>
                  <w:left w:w="108" w:type="dxa"/>
                  <w:bottom w:w="0" w:type="dxa"/>
                  <w:right w:w="108" w:type="dxa"/>
                </w:tblCellMar>
              </w:tblPrEx>
              <w:trPr>
                <w:trHeight w:val="85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项</w:t>
                  </w:r>
                  <w:r>
                    <w:rPr>
                      <w:rFonts w:ascii="宋体" w:hAnsi="宋体" w:cs="宋体"/>
                      <w:kern w:val="0"/>
                      <w:sz w:val="24"/>
                    </w:rPr>
                    <w:t xml:space="preserve">    </w:t>
                  </w:r>
                  <w:r>
                    <w:rPr>
                      <w:rFonts w:hint="eastAsia" w:ascii="宋体" w:hAnsi="宋体" w:cs="宋体"/>
                      <w:kern w:val="0"/>
                      <w:sz w:val="24"/>
                    </w:rPr>
                    <w:t>目</w:t>
                  </w:r>
                </w:p>
              </w:tc>
              <w:tc>
                <w:tcPr>
                  <w:tcW w:w="54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行次</w:t>
                  </w:r>
                </w:p>
              </w:tc>
              <w:tc>
                <w:tcPr>
                  <w:tcW w:w="1260" w:type="dxa"/>
                  <w:gridSpan w:val="2"/>
                  <w:tcBorders>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金额</w:t>
                  </w:r>
                </w:p>
              </w:tc>
              <w:tc>
                <w:tcPr>
                  <w:tcW w:w="252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项目（按功能分类）</w:t>
                  </w:r>
                </w:p>
              </w:tc>
              <w:tc>
                <w:tcPr>
                  <w:tcW w:w="54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行次</w:t>
                  </w:r>
                </w:p>
              </w:tc>
              <w:tc>
                <w:tcPr>
                  <w:tcW w:w="1260" w:type="dxa"/>
                  <w:gridSpan w:val="3"/>
                  <w:tcBorders>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一般公共预算财政拨款</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政府性基金预算财政拨款</w:t>
                  </w:r>
                </w:p>
              </w:tc>
            </w:tr>
            <w:tr>
              <w:tblPrEx>
                <w:tblLayout w:type="fixed"/>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栏</w:t>
                  </w:r>
                  <w:r>
                    <w:rPr>
                      <w:rFonts w:ascii="宋体" w:hAnsi="宋体" w:cs="宋体"/>
                      <w:kern w:val="0"/>
                      <w:sz w:val="24"/>
                    </w:rPr>
                    <w:t xml:space="preserve">    </w:t>
                  </w:r>
                  <w:r>
                    <w:rPr>
                      <w:rFonts w:hint="eastAsia" w:ascii="宋体" w:hAnsi="宋体" w:cs="宋体"/>
                      <w:kern w:val="0"/>
                      <w:sz w:val="24"/>
                    </w:rPr>
                    <w:t>次</w:t>
                  </w:r>
                </w:p>
              </w:tc>
              <w:tc>
                <w:tcPr>
                  <w:tcW w:w="540" w:type="dxa"/>
                  <w:gridSpan w:val="2"/>
                  <w:tcBorders>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w:t>
                  </w:r>
                </w:p>
              </w:tc>
              <w:tc>
                <w:tcPr>
                  <w:tcW w:w="2520" w:type="dxa"/>
                  <w:tcBorders>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栏</w:t>
                  </w:r>
                  <w:r>
                    <w:rPr>
                      <w:rFonts w:ascii="宋体" w:hAnsi="宋体" w:cs="宋体"/>
                      <w:kern w:val="0"/>
                      <w:sz w:val="24"/>
                    </w:rPr>
                    <w:t xml:space="preserve">    </w:t>
                  </w:r>
                  <w:r>
                    <w:rPr>
                      <w:rFonts w:hint="eastAsia" w:ascii="宋体" w:hAnsi="宋体" w:cs="宋体"/>
                      <w:kern w:val="0"/>
                      <w:sz w:val="24"/>
                    </w:rPr>
                    <w:t>次</w:t>
                  </w:r>
                </w:p>
              </w:tc>
              <w:tc>
                <w:tcPr>
                  <w:tcW w:w="540" w:type="dxa"/>
                  <w:tcBorders>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gridSpan w:val="3"/>
                  <w:tcBorders>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1260" w:type="dxa"/>
                  <w:gridSpan w:val="2"/>
                  <w:tcBorders>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c>
                <w:tcPr>
                  <w:tcW w:w="1080" w:type="dxa"/>
                  <w:tcBorders>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4</w:t>
                  </w:r>
                </w:p>
              </w:tc>
            </w:tr>
            <w:tr>
              <w:tblPrEx>
                <w:tblLayout w:type="fixed"/>
                <w:tblCellMar>
                  <w:top w:w="0" w:type="dxa"/>
                  <w:left w:w="108" w:type="dxa"/>
                  <w:bottom w:w="0" w:type="dxa"/>
                  <w:right w:w="108" w:type="dxa"/>
                </w:tblCellMar>
              </w:tblPrEx>
              <w:trPr>
                <w:trHeight w:val="570"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一、一般公共预算财政拨款</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5,786.19</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一、一般公共服务支出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31</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二、政府性基金预算财政拨款</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129.20</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二、外交支出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32</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三、国防支出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33</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四、公共安全支出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34</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五、教育支出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35</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6</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六、科学技术支出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36</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七、文化体育与传媒支出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37</w:t>
                  </w:r>
                </w:p>
              </w:tc>
              <w:tc>
                <w:tcPr>
                  <w:tcW w:w="1260" w:type="dxa"/>
                  <w:gridSpan w:val="3"/>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1,766.38</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1,642.18</w:t>
                  </w:r>
                </w:p>
              </w:tc>
              <w:tc>
                <w:tcPr>
                  <w:tcW w:w="108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八、社会保障和就业支出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38</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九、医疗卫生与计生支出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39</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10</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十、节能环保支出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十一、城乡社区支出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41</w:t>
                  </w:r>
                </w:p>
              </w:tc>
              <w:tc>
                <w:tcPr>
                  <w:tcW w:w="1260" w:type="dxa"/>
                  <w:gridSpan w:val="3"/>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十二、农林水支出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42</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13</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十三、交通运输支出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43</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十四、资源勘探信息支出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44</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15</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十五、商业服务业等支出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45</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十六、金融支出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46</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17</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十七、援助其他地区支出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47</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十八、国土海洋气象支出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48</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19</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十九、住房保障支出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49</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二十、粮油物资储备支出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二十一、其他支出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51</w:t>
                  </w:r>
                </w:p>
              </w:tc>
              <w:tc>
                <w:tcPr>
                  <w:tcW w:w="1260" w:type="dxa"/>
                  <w:gridSpan w:val="3"/>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二十二、债务还本支出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52</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23</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二十三、债务付息支出</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53</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本年收入合计</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24</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本年支出合计</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77</w:t>
                  </w:r>
                </w:p>
              </w:tc>
              <w:tc>
                <w:tcPr>
                  <w:tcW w:w="1260" w:type="dxa"/>
                  <w:gridSpan w:val="3"/>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1,851.38</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1,722.18</w:t>
                  </w:r>
                </w:p>
              </w:tc>
              <w:tc>
                <w:tcPr>
                  <w:tcW w:w="108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129.20</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25</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78</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年初财政拨款结转和结余</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26</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年末财政拨款结转和结余</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79</w:t>
                  </w:r>
                </w:p>
              </w:tc>
              <w:tc>
                <w:tcPr>
                  <w:tcW w:w="1260" w:type="dxa"/>
                  <w:gridSpan w:val="3"/>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4,064.01</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4,064.01</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一、一般公共预算财政拨款</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27</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基本支出结转</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w:t>
                  </w:r>
                </w:p>
              </w:tc>
              <w:tc>
                <w:tcPr>
                  <w:tcW w:w="1260" w:type="dxa"/>
                  <w:gridSpan w:val="3"/>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二、政府性基金预算财政拨款</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28</w:t>
                  </w:r>
                </w:p>
              </w:tc>
              <w:tc>
                <w:tcPr>
                  <w:tcW w:w="1260" w:type="dxa"/>
                  <w:gridSpan w:val="2"/>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520" w:type="dxa"/>
                  <w:tcBorders>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项目支出结转和结余</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81</w:t>
                  </w:r>
                </w:p>
              </w:tc>
              <w:tc>
                <w:tcPr>
                  <w:tcW w:w="1260" w:type="dxa"/>
                  <w:gridSpan w:val="3"/>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4,064.01</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4,064.01</w:t>
                  </w:r>
                </w:p>
              </w:tc>
              <w:tc>
                <w:tcPr>
                  <w:tcW w:w="108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260" w:type="dxa"/>
                  <w:tcBorders>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总计</w:t>
                  </w:r>
                </w:p>
              </w:tc>
              <w:tc>
                <w:tcPr>
                  <w:tcW w:w="54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30</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2520" w:type="dxa"/>
                  <w:tcBorders>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总计</w:t>
                  </w:r>
                </w:p>
              </w:tc>
              <w:tc>
                <w:tcPr>
                  <w:tcW w:w="54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83</w:t>
                  </w:r>
                </w:p>
              </w:tc>
              <w:tc>
                <w:tcPr>
                  <w:tcW w:w="1260" w:type="dxa"/>
                  <w:gridSpan w:val="3"/>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5915.39</w:t>
                  </w:r>
                </w:p>
              </w:tc>
              <w:tc>
                <w:tcPr>
                  <w:tcW w:w="1260" w:type="dxa"/>
                  <w:gridSpan w:val="2"/>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5,786.19</w:t>
                  </w:r>
                </w:p>
              </w:tc>
              <w:tc>
                <w:tcPr>
                  <w:tcW w:w="1080" w:type="dxa"/>
                  <w:tcBorders>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129.20</w:t>
                  </w:r>
                </w:p>
              </w:tc>
            </w:tr>
            <w:tr>
              <w:tblPrEx>
                <w:tblLayout w:type="fixed"/>
              </w:tblPrEx>
              <w:trPr>
                <w:trHeight w:val="285" w:hRule="atLeast"/>
              </w:trPr>
              <w:tc>
                <w:tcPr>
                  <w:tcW w:w="9720" w:type="dxa"/>
                  <w:gridSpan w:val="13"/>
                  <w:vAlign w:val="center"/>
                </w:tcPr>
                <w:p>
                  <w:pPr>
                    <w:widowControl/>
                    <w:jc w:val="left"/>
                    <w:rPr>
                      <w:rFonts w:ascii="宋体" w:cs="宋体"/>
                      <w:kern w:val="0"/>
                      <w:sz w:val="24"/>
                    </w:rPr>
                  </w:pPr>
                  <w:r>
                    <w:rPr>
                      <w:rFonts w:hint="eastAsia" w:ascii="宋体" w:hAnsi="宋体" w:cs="宋体"/>
                      <w:color w:val="000000"/>
                      <w:kern w:val="0"/>
                      <w:sz w:val="24"/>
                      <w:szCs w:val="24"/>
                    </w:rPr>
                    <w:t>注：本表反映部门本年度一般公共预算财政拨款和政府性基金预算财政拨款的总收入和年末结转结余情况。</w:t>
                  </w:r>
                </w:p>
              </w:tc>
            </w:tr>
          </w:tbl>
          <w:p>
            <w:pPr>
              <w:widowControl/>
              <w:jc w:val="left"/>
              <w:textAlignment w:val="center"/>
              <w:rPr>
                <w:rFonts w:ascii="宋体" w:cs="宋体"/>
                <w:color w:val="000000"/>
                <w:sz w:val="16"/>
                <w:szCs w:val="16"/>
              </w:rPr>
            </w:pPr>
          </w:p>
        </w:tc>
      </w:tr>
    </w:tbl>
    <w:p>
      <w:pPr>
        <w:jc w:val="center"/>
        <w:rPr>
          <w:rFonts w:ascii="隶书" w:hAnsi="隶书" w:eastAsia="隶书" w:cs="隶书"/>
          <w:sz w:val="48"/>
          <w:szCs w:val="48"/>
        </w:rPr>
      </w:pPr>
    </w:p>
    <w:p>
      <w:pPr>
        <w:jc w:val="center"/>
        <w:rPr>
          <w:rFonts w:ascii="隶书" w:hAnsi="隶书" w:eastAsia="隶书" w:cs="隶书"/>
          <w:sz w:val="48"/>
          <w:szCs w:val="48"/>
        </w:rPr>
      </w:pPr>
    </w:p>
    <w:p>
      <w:pPr>
        <w:jc w:val="center"/>
        <w:rPr>
          <w:rFonts w:ascii="隶书" w:hAnsi="隶书" w:eastAsia="隶书" w:cs="隶书"/>
          <w:sz w:val="48"/>
          <w:szCs w:val="48"/>
        </w:rPr>
        <w:sectPr>
          <w:pgSz w:w="11906" w:h="16838"/>
          <w:pgMar w:top="1440" w:right="1800" w:bottom="1440" w:left="1800" w:header="851" w:footer="992" w:gutter="0"/>
          <w:pgNumType w:fmt="numberInDash"/>
          <w:cols w:space="425" w:num="1"/>
          <w:docGrid w:type="lines" w:linePitch="312" w:charSpace="0"/>
        </w:sectPr>
      </w:pPr>
    </w:p>
    <w:tbl>
      <w:tblPr>
        <w:tblStyle w:val="8"/>
        <w:tblW w:w="9310" w:type="dxa"/>
        <w:tblInd w:w="93" w:type="dxa"/>
        <w:tblLayout w:type="fixed"/>
        <w:tblCellMar>
          <w:top w:w="0" w:type="dxa"/>
          <w:left w:w="108" w:type="dxa"/>
          <w:bottom w:w="0" w:type="dxa"/>
          <w:right w:w="108" w:type="dxa"/>
        </w:tblCellMar>
      </w:tblPr>
      <w:tblGrid>
        <w:gridCol w:w="1101"/>
        <w:gridCol w:w="3711"/>
        <w:gridCol w:w="1732"/>
        <w:gridCol w:w="1176"/>
        <w:gridCol w:w="1590"/>
      </w:tblGrid>
      <w:tr>
        <w:tblPrEx>
          <w:tblLayout w:type="fixed"/>
          <w:tblCellMar>
            <w:top w:w="0" w:type="dxa"/>
            <w:left w:w="108" w:type="dxa"/>
            <w:bottom w:w="0" w:type="dxa"/>
            <w:right w:w="108" w:type="dxa"/>
          </w:tblCellMar>
        </w:tblPrEx>
        <w:trPr>
          <w:trHeight w:val="375" w:hRule="atLeast"/>
        </w:trPr>
        <w:tc>
          <w:tcPr>
            <w:tcW w:w="9310" w:type="dxa"/>
            <w:gridSpan w:val="5"/>
            <w:tcBorders>
              <w:top w:val="nil"/>
              <w:left w:val="nil"/>
              <w:bottom w:val="nil"/>
              <w:right w:val="nil"/>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一般公共预算财政拨款支出决算表</w:t>
            </w:r>
          </w:p>
        </w:tc>
      </w:tr>
      <w:tr>
        <w:tblPrEx>
          <w:tblLayout w:type="fixed"/>
          <w:tblCellMar>
            <w:top w:w="0" w:type="dxa"/>
            <w:left w:w="108" w:type="dxa"/>
            <w:bottom w:w="0" w:type="dxa"/>
            <w:right w:w="108" w:type="dxa"/>
          </w:tblCellMar>
        </w:tblPrEx>
        <w:trPr>
          <w:trHeight w:val="315" w:hRule="atLeast"/>
        </w:trPr>
        <w:tc>
          <w:tcPr>
            <w:tcW w:w="1101" w:type="dxa"/>
            <w:tcBorders>
              <w:top w:val="nil"/>
              <w:left w:val="nil"/>
              <w:bottom w:val="nil"/>
              <w:right w:val="nil"/>
            </w:tcBorders>
            <w:vAlign w:val="center"/>
          </w:tcPr>
          <w:p>
            <w:pPr>
              <w:widowControl/>
              <w:jc w:val="left"/>
              <w:rPr>
                <w:rFonts w:ascii="宋体" w:cs="宋体"/>
                <w:kern w:val="0"/>
                <w:sz w:val="24"/>
              </w:rPr>
            </w:pPr>
          </w:p>
        </w:tc>
        <w:tc>
          <w:tcPr>
            <w:tcW w:w="3711" w:type="dxa"/>
            <w:tcBorders>
              <w:top w:val="nil"/>
              <w:left w:val="nil"/>
              <w:bottom w:val="nil"/>
              <w:right w:val="nil"/>
            </w:tcBorders>
            <w:vAlign w:val="center"/>
          </w:tcPr>
          <w:p>
            <w:pPr>
              <w:widowControl/>
              <w:jc w:val="left"/>
              <w:rPr>
                <w:rFonts w:ascii="宋体" w:cs="宋体"/>
                <w:kern w:val="0"/>
                <w:sz w:val="24"/>
              </w:rPr>
            </w:pPr>
          </w:p>
        </w:tc>
        <w:tc>
          <w:tcPr>
            <w:tcW w:w="1732" w:type="dxa"/>
            <w:tcBorders>
              <w:top w:val="nil"/>
              <w:left w:val="nil"/>
              <w:bottom w:val="nil"/>
              <w:right w:val="nil"/>
            </w:tcBorders>
            <w:vAlign w:val="center"/>
          </w:tcPr>
          <w:p>
            <w:pPr>
              <w:widowControl/>
              <w:jc w:val="left"/>
              <w:rPr>
                <w:rFonts w:ascii="宋体" w:cs="宋体"/>
                <w:kern w:val="0"/>
                <w:sz w:val="24"/>
              </w:rPr>
            </w:pPr>
          </w:p>
        </w:tc>
        <w:tc>
          <w:tcPr>
            <w:tcW w:w="1176" w:type="dxa"/>
            <w:tcBorders>
              <w:top w:val="nil"/>
              <w:left w:val="nil"/>
              <w:bottom w:val="nil"/>
              <w:right w:val="nil"/>
            </w:tcBorders>
            <w:vAlign w:val="center"/>
          </w:tcPr>
          <w:p>
            <w:pPr>
              <w:widowControl/>
              <w:jc w:val="left"/>
              <w:rPr>
                <w:rFonts w:ascii="宋体" w:cs="宋体"/>
                <w:kern w:val="0"/>
                <w:sz w:val="24"/>
              </w:rPr>
            </w:pPr>
          </w:p>
        </w:tc>
        <w:tc>
          <w:tcPr>
            <w:tcW w:w="1590" w:type="dxa"/>
            <w:tcBorders>
              <w:top w:val="nil"/>
              <w:left w:val="nil"/>
              <w:bottom w:val="nil"/>
              <w:right w:val="nil"/>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公开</w:t>
            </w:r>
            <w:r>
              <w:rPr>
                <w:rFonts w:ascii="宋体" w:hAnsi="宋体" w:cs="宋体"/>
                <w:kern w:val="0"/>
                <w:szCs w:val="21"/>
              </w:rPr>
              <w:t>05</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trHeight w:val="375" w:hRule="atLeast"/>
        </w:trPr>
        <w:tc>
          <w:tcPr>
            <w:tcW w:w="1101" w:type="dxa"/>
            <w:tcBorders>
              <w:top w:val="nil"/>
              <w:left w:val="nil"/>
              <w:bottom w:val="nil"/>
              <w:right w:val="nil"/>
            </w:tcBorders>
            <w:vAlign w:val="center"/>
          </w:tcPr>
          <w:p>
            <w:pPr>
              <w:widowControl/>
              <w:jc w:val="left"/>
              <w:rPr>
                <w:rFonts w:ascii="宋体" w:cs="宋体"/>
                <w:kern w:val="0"/>
                <w:sz w:val="24"/>
              </w:rPr>
            </w:pPr>
          </w:p>
        </w:tc>
        <w:tc>
          <w:tcPr>
            <w:tcW w:w="3711" w:type="dxa"/>
            <w:tcBorders>
              <w:top w:val="nil"/>
              <w:left w:val="nil"/>
              <w:bottom w:val="nil"/>
              <w:right w:val="nil"/>
            </w:tcBorders>
            <w:vAlign w:val="center"/>
          </w:tcPr>
          <w:p>
            <w:pPr>
              <w:widowControl/>
              <w:jc w:val="left"/>
              <w:rPr>
                <w:rFonts w:ascii="宋体" w:cs="宋体"/>
                <w:kern w:val="0"/>
                <w:sz w:val="24"/>
              </w:rPr>
            </w:pPr>
          </w:p>
        </w:tc>
        <w:tc>
          <w:tcPr>
            <w:tcW w:w="1732" w:type="dxa"/>
            <w:tcBorders>
              <w:top w:val="nil"/>
              <w:left w:val="nil"/>
              <w:bottom w:val="nil"/>
              <w:right w:val="nil"/>
            </w:tcBorders>
            <w:vAlign w:val="center"/>
          </w:tcPr>
          <w:p>
            <w:pPr>
              <w:widowControl/>
              <w:jc w:val="left"/>
              <w:rPr>
                <w:rFonts w:ascii="宋体" w:cs="宋体"/>
                <w:kern w:val="0"/>
                <w:sz w:val="24"/>
              </w:rPr>
            </w:pPr>
          </w:p>
        </w:tc>
        <w:tc>
          <w:tcPr>
            <w:tcW w:w="1176" w:type="dxa"/>
            <w:tcBorders>
              <w:top w:val="nil"/>
              <w:left w:val="nil"/>
              <w:bottom w:val="nil"/>
              <w:right w:val="nil"/>
            </w:tcBorders>
            <w:vAlign w:val="center"/>
          </w:tcPr>
          <w:p>
            <w:pPr>
              <w:widowControl/>
              <w:jc w:val="left"/>
              <w:rPr>
                <w:rFonts w:ascii="宋体" w:cs="宋体"/>
                <w:kern w:val="0"/>
                <w:sz w:val="24"/>
              </w:rPr>
            </w:pPr>
          </w:p>
        </w:tc>
        <w:tc>
          <w:tcPr>
            <w:tcW w:w="1590" w:type="dxa"/>
            <w:tcBorders>
              <w:top w:val="nil"/>
              <w:left w:val="nil"/>
              <w:bottom w:val="nil"/>
              <w:right w:val="nil"/>
            </w:tcBorders>
            <w:vAlign w:val="center"/>
          </w:tcPr>
          <w:p>
            <w:pPr>
              <w:widowControl/>
              <w:jc w:val="center"/>
              <w:rPr>
                <w:rFonts w:ascii="宋体" w:cs="宋体"/>
                <w:kern w:val="0"/>
                <w:szCs w:val="21"/>
              </w:rPr>
            </w:pPr>
            <w:r>
              <w:rPr>
                <w:rFonts w:hint="eastAsia" w:ascii="宋体" w:hAnsi="宋体" w:cs="宋体"/>
                <w:kern w:val="0"/>
                <w:szCs w:val="21"/>
              </w:rPr>
              <w:t>单位：万元</w:t>
            </w:r>
          </w:p>
        </w:tc>
      </w:tr>
      <w:tr>
        <w:tblPrEx>
          <w:tblLayout w:type="fixed"/>
          <w:tblCellMar>
            <w:top w:w="0" w:type="dxa"/>
            <w:left w:w="108" w:type="dxa"/>
            <w:bottom w:w="0" w:type="dxa"/>
            <w:right w:w="108" w:type="dxa"/>
          </w:tblCellMar>
        </w:tblPrEx>
        <w:trPr>
          <w:trHeight w:val="285" w:hRule="atLeast"/>
        </w:trPr>
        <w:tc>
          <w:tcPr>
            <w:tcW w:w="4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w:t>
            </w:r>
          </w:p>
        </w:tc>
        <w:tc>
          <w:tcPr>
            <w:tcW w:w="17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本年收入合计</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基本支出</w:t>
            </w:r>
          </w:p>
        </w:tc>
        <w:tc>
          <w:tcPr>
            <w:tcW w:w="15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570" w:hRule="atLeast"/>
        </w:trPr>
        <w:tc>
          <w:tcPr>
            <w:tcW w:w="110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支出功能分类科目编码</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科目名称</w:t>
            </w:r>
          </w:p>
        </w:tc>
        <w:tc>
          <w:tcPr>
            <w:tcW w:w="1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4"/>
              </w:rPr>
            </w:pPr>
          </w:p>
        </w:tc>
      </w:tr>
      <w:tr>
        <w:tblPrEx>
          <w:tblLayout w:type="fixed"/>
        </w:tblPrEx>
        <w:trPr>
          <w:trHeight w:val="285" w:hRule="atLeast"/>
        </w:trPr>
        <w:tc>
          <w:tcPr>
            <w:tcW w:w="4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栏次</w:t>
            </w:r>
          </w:p>
        </w:tc>
        <w:tc>
          <w:tcPr>
            <w:tcW w:w="1732"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1</w:t>
            </w:r>
          </w:p>
        </w:tc>
        <w:tc>
          <w:tcPr>
            <w:tcW w:w="1176"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w:t>
            </w:r>
          </w:p>
        </w:tc>
        <w:tc>
          <w:tcPr>
            <w:tcW w:w="159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3</w:t>
            </w:r>
          </w:p>
        </w:tc>
      </w:tr>
      <w:tr>
        <w:tblPrEx>
          <w:tblLayout w:type="fixed"/>
          <w:tblCellMar>
            <w:top w:w="0" w:type="dxa"/>
            <w:left w:w="108" w:type="dxa"/>
            <w:bottom w:w="0" w:type="dxa"/>
            <w:right w:w="108" w:type="dxa"/>
          </w:tblCellMar>
        </w:tblPrEx>
        <w:trPr>
          <w:trHeight w:val="285" w:hRule="atLeast"/>
        </w:trPr>
        <w:tc>
          <w:tcPr>
            <w:tcW w:w="481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1,722.18</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1,106.99</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615.194</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文化体育与传媒支出</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1,642.18</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1,106.99</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535.194</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文化</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1,147.75</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722.56</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425.194</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2070101</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行政运行</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291.36</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291.36</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2070104</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图书馆</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72.88</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72.88</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2070106</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艺术表演场所</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12.00</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12.00</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2070107</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艺术表演团体</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97.68</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88.24</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9.44</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2070109</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群众文化</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205.12</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111.74</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93.376</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2070112</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文化市场管理</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74.63</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74.63</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2070199</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其他文化支出</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394.09</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71.71</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322.378</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文物</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331.14</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221.14</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110</w:t>
            </w:r>
          </w:p>
        </w:tc>
      </w:tr>
      <w:tr>
        <w:tblPrEx>
          <w:tblLayout w:type="fixed"/>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2070204</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文物保护</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14.45</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14.45</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2070205</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博物馆</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316.70</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206.70</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110</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20704</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新闻出版广播影视</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2070401</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行政运行</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17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163.29</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20799</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其他文化体育与传媒支出</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2079999</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其他文化体育与传媒支出</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城乡社区支出</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21203</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城乡社区公共设施</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2120399</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其他城乡社区公共设施支出</w:t>
            </w:r>
          </w:p>
        </w:tc>
        <w:tc>
          <w:tcPr>
            <w:tcW w:w="173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80.00</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80</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213</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农林水支出</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21305</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扶贫</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2130599</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r>
              <w:rPr>
                <w:rFonts w:hint="eastAsia" w:ascii="宋体" w:hAnsi="宋体" w:cs="宋体"/>
                <w:kern w:val="0"/>
                <w:sz w:val="24"/>
              </w:rPr>
              <w:t>其他扶贫支出</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0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71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73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59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9310" w:type="dxa"/>
            <w:gridSpan w:val="5"/>
            <w:tcBorders>
              <w:top w:val="nil"/>
              <w:left w:val="nil"/>
              <w:bottom w:val="nil"/>
              <w:right w:val="nil"/>
            </w:tcBorders>
            <w:vAlign w:val="center"/>
          </w:tcPr>
          <w:p>
            <w:pPr>
              <w:widowControl/>
              <w:jc w:val="left"/>
              <w:rPr>
                <w:rFonts w:ascii="宋体" w:cs="宋体"/>
                <w:kern w:val="0"/>
                <w:sz w:val="24"/>
              </w:rPr>
            </w:pPr>
            <w:r>
              <w:rPr>
                <w:rFonts w:hint="eastAsia" w:ascii="宋体" w:hAnsi="宋体" w:cs="宋体"/>
                <w:color w:val="000000"/>
                <w:kern w:val="0"/>
                <w:sz w:val="24"/>
                <w:szCs w:val="24"/>
              </w:rPr>
              <w:t>注：本表反映部门本年度一般公共预算财政拨款实际支出情况。</w:t>
            </w:r>
            <w:r>
              <w:rPr>
                <w:rFonts w:ascii="宋体" w:hAnsi="宋体" w:cs="宋体"/>
                <w:color w:val="000000"/>
                <w:kern w:val="0"/>
                <w:sz w:val="16"/>
                <w:szCs w:val="16"/>
              </w:rPr>
              <w:t xml:space="preserve"> </w:t>
            </w:r>
          </w:p>
        </w:tc>
      </w:tr>
    </w:tbl>
    <w:p>
      <w:pPr>
        <w:spacing w:line="360" w:lineRule="auto"/>
        <w:rPr>
          <w:rFonts w:ascii="隶书" w:hAnsi="隶书" w:eastAsia="隶书" w:cs="隶书"/>
          <w:sz w:val="52"/>
          <w:szCs w:val="52"/>
        </w:rPr>
      </w:pPr>
    </w:p>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8"/>
        <w:tblpPr w:leftFromText="180" w:rightFromText="180" w:vertAnchor="page" w:horzAnchor="margin" w:tblpXSpec="center" w:tblpY="1285"/>
        <w:tblW w:w="9631" w:type="dxa"/>
        <w:tblInd w:w="0" w:type="dxa"/>
        <w:tblLayout w:type="fixed"/>
        <w:tblCellMar>
          <w:top w:w="15" w:type="dxa"/>
          <w:left w:w="15" w:type="dxa"/>
          <w:bottom w:w="15" w:type="dxa"/>
          <w:right w:w="15" w:type="dxa"/>
        </w:tblCellMar>
      </w:tblPr>
      <w:tblGrid>
        <w:gridCol w:w="1088"/>
        <w:gridCol w:w="3218"/>
        <w:gridCol w:w="578"/>
        <w:gridCol w:w="502"/>
        <w:gridCol w:w="1094"/>
        <w:gridCol w:w="1966"/>
        <w:gridCol w:w="1081"/>
        <w:gridCol w:w="104"/>
      </w:tblGrid>
      <w:tr>
        <w:tblPrEx>
          <w:tblLayout w:type="fixed"/>
          <w:tblCellMar>
            <w:top w:w="15" w:type="dxa"/>
            <w:left w:w="15" w:type="dxa"/>
            <w:bottom w:w="15" w:type="dxa"/>
            <w:right w:w="15" w:type="dxa"/>
          </w:tblCellMar>
        </w:tblPrEx>
        <w:trPr>
          <w:trHeight w:val="375" w:hRule="atLeast"/>
        </w:trPr>
        <w:tc>
          <w:tcPr>
            <w:tcW w:w="9631" w:type="dxa"/>
            <w:gridSpan w:val="8"/>
            <w:vAlign w:val="bottom"/>
          </w:tcPr>
          <w:p>
            <w:pPr>
              <w:widowControl/>
              <w:jc w:val="center"/>
              <w:rPr>
                <w:rFonts w:ascii="宋体" w:cs="宋体"/>
                <w:b/>
                <w:bCs/>
                <w:kern w:val="0"/>
                <w:sz w:val="28"/>
                <w:szCs w:val="28"/>
              </w:rPr>
            </w:pPr>
            <w:r>
              <w:rPr>
                <w:rFonts w:hint="eastAsia" w:ascii="宋体" w:hAnsi="宋体" w:cs="宋体"/>
                <w:b/>
                <w:bCs/>
                <w:kern w:val="0"/>
                <w:sz w:val="28"/>
                <w:szCs w:val="28"/>
              </w:rPr>
              <w:t>一般公共预算财政拨款支出决算表</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nil"/>
              <w:bottom w:val="nil"/>
              <w:right w:val="nil"/>
            </w:tcBorders>
            <w:vAlign w:val="center"/>
          </w:tcPr>
          <w:p>
            <w:pPr>
              <w:widowControl/>
              <w:jc w:val="left"/>
              <w:rPr>
                <w:rFonts w:ascii="宋体" w:cs="宋体"/>
                <w:kern w:val="0"/>
                <w:sz w:val="24"/>
              </w:rPr>
            </w:pPr>
          </w:p>
        </w:tc>
        <w:tc>
          <w:tcPr>
            <w:tcW w:w="3796" w:type="dxa"/>
            <w:gridSpan w:val="2"/>
            <w:tcBorders>
              <w:top w:val="nil"/>
              <w:left w:val="nil"/>
              <w:bottom w:val="nil"/>
              <w:right w:val="nil"/>
            </w:tcBorders>
            <w:vAlign w:val="center"/>
          </w:tcPr>
          <w:p>
            <w:pPr>
              <w:widowControl/>
              <w:jc w:val="left"/>
              <w:rPr>
                <w:rFonts w:ascii="宋体" w:cs="宋体"/>
                <w:kern w:val="0"/>
                <w:sz w:val="24"/>
              </w:rPr>
            </w:pPr>
          </w:p>
        </w:tc>
        <w:tc>
          <w:tcPr>
            <w:tcW w:w="502" w:type="dxa"/>
            <w:tcBorders>
              <w:top w:val="nil"/>
              <w:left w:val="nil"/>
              <w:bottom w:val="nil"/>
              <w:right w:val="nil"/>
            </w:tcBorders>
            <w:vAlign w:val="center"/>
          </w:tcPr>
          <w:p>
            <w:pPr>
              <w:widowControl/>
              <w:jc w:val="left"/>
              <w:rPr>
                <w:rFonts w:ascii="宋体" w:cs="宋体"/>
                <w:kern w:val="0"/>
                <w:sz w:val="24"/>
              </w:rPr>
            </w:pPr>
          </w:p>
        </w:tc>
        <w:tc>
          <w:tcPr>
            <w:tcW w:w="1094" w:type="dxa"/>
            <w:tcBorders>
              <w:top w:val="nil"/>
              <w:left w:val="nil"/>
              <w:bottom w:val="nil"/>
              <w:right w:val="nil"/>
            </w:tcBorders>
            <w:vAlign w:val="center"/>
          </w:tcPr>
          <w:p>
            <w:pPr>
              <w:widowControl/>
              <w:jc w:val="left"/>
              <w:rPr>
                <w:rFonts w:ascii="宋体" w:cs="宋体"/>
                <w:kern w:val="0"/>
                <w:sz w:val="24"/>
              </w:rPr>
            </w:pPr>
          </w:p>
        </w:tc>
        <w:tc>
          <w:tcPr>
            <w:tcW w:w="3047" w:type="dxa"/>
            <w:gridSpan w:val="2"/>
            <w:tcBorders>
              <w:top w:val="nil"/>
              <w:left w:val="nil"/>
              <w:bottom w:val="nil"/>
              <w:right w:val="nil"/>
            </w:tcBorders>
            <w:vAlign w:val="center"/>
          </w:tcPr>
          <w:p>
            <w:pPr>
              <w:widowControl/>
              <w:jc w:val="center"/>
              <w:rPr>
                <w:rFonts w:ascii="宋体" w:cs="宋体"/>
                <w:kern w:val="0"/>
                <w:szCs w:val="21"/>
              </w:rPr>
            </w:pPr>
            <w:r>
              <w:rPr>
                <w:rFonts w:ascii="宋体" w:hAnsi="宋体" w:cs="宋体"/>
                <w:kern w:val="0"/>
                <w:szCs w:val="21"/>
              </w:rPr>
              <w:t xml:space="preserve">       </w:t>
            </w:r>
            <w:r>
              <w:rPr>
                <w:rFonts w:hint="eastAsia" w:ascii="宋体" w:hAnsi="宋体" w:cs="宋体"/>
                <w:kern w:val="0"/>
                <w:szCs w:val="21"/>
              </w:rPr>
              <w:t>　　</w:t>
            </w:r>
            <w:r>
              <w:rPr>
                <w:rFonts w:ascii="宋体" w:hAnsi="宋体" w:cs="宋体"/>
                <w:kern w:val="0"/>
                <w:szCs w:val="21"/>
              </w:rPr>
              <w:t xml:space="preserve"> </w:t>
            </w:r>
            <w:r>
              <w:rPr>
                <w:rFonts w:hint="eastAsia" w:ascii="宋体" w:hAnsi="宋体" w:cs="宋体"/>
                <w:kern w:val="0"/>
                <w:szCs w:val="21"/>
              </w:rPr>
              <w:t>公开</w:t>
            </w:r>
            <w:r>
              <w:rPr>
                <w:rFonts w:ascii="宋体" w:hAnsi="宋体" w:cs="宋体"/>
                <w:kern w:val="0"/>
                <w:szCs w:val="21"/>
              </w:rPr>
              <w:t>06</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nil"/>
              <w:bottom w:val="nil"/>
              <w:right w:val="nil"/>
            </w:tcBorders>
            <w:vAlign w:val="center"/>
          </w:tcPr>
          <w:p>
            <w:pPr>
              <w:widowControl/>
              <w:jc w:val="left"/>
              <w:rPr>
                <w:rFonts w:ascii="宋体" w:cs="宋体"/>
                <w:kern w:val="0"/>
                <w:sz w:val="24"/>
              </w:rPr>
            </w:pPr>
          </w:p>
        </w:tc>
        <w:tc>
          <w:tcPr>
            <w:tcW w:w="3796" w:type="dxa"/>
            <w:gridSpan w:val="2"/>
            <w:tcBorders>
              <w:top w:val="nil"/>
              <w:left w:val="nil"/>
              <w:bottom w:val="nil"/>
              <w:right w:val="nil"/>
            </w:tcBorders>
            <w:vAlign w:val="center"/>
          </w:tcPr>
          <w:p>
            <w:pPr>
              <w:widowControl/>
              <w:jc w:val="left"/>
              <w:rPr>
                <w:rFonts w:ascii="宋体" w:cs="宋体"/>
                <w:kern w:val="0"/>
                <w:sz w:val="24"/>
              </w:rPr>
            </w:pPr>
          </w:p>
        </w:tc>
        <w:tc>
          <w:tcPr>
            <w:tcW w:w="502" w:type="dxa"/>
            <w:tcBorders>
              <w:top w:val="nil"/>
              <w:left w:val="nil"/>
              <w:bottom w:val="nil"/>
              <w:right w:val="nil"/>
            </w:tcBorders>
            <w:vAlign w:val="center"/>
          </w:tcPr>
          <w:p>
            <w:pPr>
              <w:widowControl/>
              <w:jc w:val="left"/>
              <w:rPr>
                <w:rFonts w:ascii="宋体" w:cs="宋体"/>
                <w:kern w:val="0"/>
                <w:sz w:val="24"/>
              </w:rPr>
            </w:pPr>
          </w:p>
        </w:tc>
        <w:tc>
          <w:tcPr>
            <w:tcW w:w="1094" w:type="dxa"/>
            <w:tcBorders>
              <w:top w:val="nil"/>
              <w:left w:val="nil"/>
              <w:bottom w:val="nil"/>
              <w:right w:val="nil"/>
            </w:tcBorders>
            <w:vAlign w:val="center"/>
          </w:tcPr>
          <w:p>
            <w:pPr>
              <w:widowControl/>
              <w:jc w:val="left"/>
              <w:rPr>
                <w:rFonts w:ascii="宋体" w:cs="宋体"/>
                <w:kern w:val="0"/>
                <w:sz w:val="24"/>
              </w:rPr>
            </w:pPr>
          </w:p>
        </w:tc>
        <w:tc>
          <w:tcPr>
            <w:tcW w:w="3047" w:type="dxa"/>
            <w:gridSpan w:val="2"/>
            <w:tcBorders>
              <w:top w:val="nil"/>
              <w:left w:val="nil"/>
              <w:bottom w:val="single" w:color="auto" w:sz="4" w:space="0"/>
              <w:right w:val="nil"/>
            </w:tcBorders>
            <w:vAlign w:val="center"/>
          </w:tcPr>
          <w:p>
            <w:pPr>
              <w:widowControl/>
              <w:jc w:val="center"/>
              <w:rPr>
                <w:rFonts w:ascii="宋体" w:cs="宋体"/>
                <w:kern w:val="0"/>
                <w:szCs w:val="21"/>
              </w:rPr>
            </w:pPr>
            <w:r>
              <w:rPr>
                <w:rFonts w:ascii="宋体" w:hAnsi="宋体" w:cs="宋体"/>
                <w:kern w:val="0"/>
                <w:szCs w:val="21"/>
              </w:rPr>
              <w:t xml:space="preserve">      </w:t>
            </w:r>
            <w:r>
              <w:rPr>
                <w:rFonts w:hint="eastAsia" w:ascii="宋体" w:hAnsi="宋体" w:cs="宋体"/>
                <w:kern w:val="0"/>
                <w:szCs w:val="21"/>
              </w:rPr>
              <w:t>　　单位：万元</w:t>
            </w:r>
          </w:p>
        </w:tc>
      </w:tr>
      <w:tr>
        <w:tblPrEx>
          <w:tblLayout w:type="fixed"/>
          <w:tblCellMar>
            <w:top w:w="0" w:type="dxa"/>
            <w:left w:w="108" w:type="dxa"/>
            <w:bottom w:w="0" w:type="dxa"/>
            <w:right w:w="108" w:type="dxa"/>
          </w:tblCellMar>
        </w:tblPrEx>
        <w:trPr>
          <w:gridAfter w:val="1"/>
          <w:wAfter w:w="104" w:type="dxa"/>
          <w:trHeight w:val="285" w:hRule="atLeast"/>
        </w:trPr>
        <w:tc>
          <w:tcPr>
            <w:tcW w:w="538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人员经费</w:t>
            </w:r>
          </w:p>
        </w:tc>
        <w:tc>
          <w:tcPr>
            <w:tcW w:w="414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公用经费</w:t>
            </w:r>
          </w:p>
        </w:tc>
      </w:tr>
      <w:tr>
        <w:tblPrEx>
          <w:tblLayout w:type="fixed"/>
          <w:tblCellMar>
            <w:top w:w="0" w:type="dxa"/>
            <w:left w:w="108" w:type="dxa"/>
            <w:bottom w:w="0" w:type="dxa"/>
            <w:right w:w="108" w:type="dxa"/>
          </w:tblCellMar>
        </w:tblPrEx>
        <w:trPr>
          <w:gridAfter w:val="1"/>
          <w:wAfter w:w="104" w:type="dxa"/>
          <w:trHeight w:val="85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支出功能分类科目编码</w:t>
            </w:r>
          </w:p>
        </w:tc>
        <w:tc>
          <w:tcPr>
            <w:tcW w:w="3218"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科目名称</w:t>
            </w:r>
          </w:p>
        </w:tc>
        <w:tc>
          <w:tcPr>
            <w:tcW w:w="108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金额</w:t>
            </w:r>
          </w:p>
        </w:tc>
        <w:tc>
          <w:tcPr>
            <w:tcW w:w="109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支出功能分类科目编码</w:t>
            </w:r>
          </w:p>
        </w:tc>
        <w:tc>
          <w:tcPr>
            <w:tcW w:w="1966"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科目名称</w:t>
            </w:r>
          </w:p>
        </w:tc>
        <w:tc>
          <w:tcPr>
            <w:tcW w:w="1081"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金额</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工资福利支出</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548.16</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商品和服务支出</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262.10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对个人和家庭的补助</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30208</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取暖费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30101</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基本工资</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236.40</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30201</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办公费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15.14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30102</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津贴补贴</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192.62</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30225</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其他交通费用</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30103</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奖金</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30202</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印刷费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5.37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30104</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其他社会保障缴费</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30203</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咨询费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30106</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伙食补助费</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30204</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手续费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30108</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机关事业单位基本养老保险缴费</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79.96</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30205</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水费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5.20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30109</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职业年金缴费</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30206</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电费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44.50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30199</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其他工资福利支出</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40.18</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30207</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邮电费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1.00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对个人和家庭的补助</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242.80</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30209</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物业管理费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12.00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30301</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离休费</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30210</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差旅费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13.17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30302</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退休费</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158.50</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30211</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因公出国（境）费用</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30303</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退职（役）费</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30212</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维修（护）费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35.20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30304</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抚恤金</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30213</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租赁费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30305</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生活补助</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30214</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会议费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2.00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30306</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救济费</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9.00</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30215</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培训费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3.00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30307</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医疗费</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30216</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公务接待费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8.70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30308</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助学金</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30217</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专用材料费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30309</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奖励金</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30218</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被装购置费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30310</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生产补贴</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30219</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专用燃料费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30311</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住房公积金</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9.00</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30226</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劳务费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30312</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提租补贴</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30227</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委托业务费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80.60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30313</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购房补贴</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30228</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工会经费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0.50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30314</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采暖补贴</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30229</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福利费</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30315</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物业服务补贴</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30231</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公务用车运行维护费</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4.22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30399</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其他对个人和家庭的补助支出</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66.30</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30240</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税金及附加费用</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30299</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其他商品和服务支出</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31.50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其他资本性支出</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93.10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31001</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房屋建筑物购建</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 xml:space="preserve">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31002</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办公设备购置</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5.31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31003</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专用设备购置</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30.34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31004</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基础设施建设</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31005</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大型修缮</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31006</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信息网络及软件更新</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31007</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31008</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31009</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1"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gridAfter w:val="1"/>
          <w:wAfter w:w="104" w:type="dxa"/>
          <w:trHeight w:val="285" w:hRule="atLeast"/>
        </w:trPr>
        <w:tc>
          <w:tcPr>
            <w:tcW w:w="1088"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3218"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94" w:type="dxa"/>
            <w:tcBorders>
              <w:top w:val="nil"/>
              <w:left w:val="nil"/>
              <w:bottom w:val="single" w:color="auto" w:sz="4" w:space="0"/>
              <w:right w:val="single" w:color="auto" w:sz="4" w:space="0"/>
            </w:tcBorders>
            <w:vAlign w:val="center"/>
          </w:tcPr>
          <w:p>
            <w:pPr>
              <w:widowControl/>
              <w:jc w:val="right"/>
              <w:rPr>
                <w:rFonts w:ascii="宋体" w:cs="宋体"/>
                <w:kern w:val="0"/>
                <w:szCs w:val="21"/>
              </w:rPr>
            </w:pPr>
            <w:r>
              <w:rPr>
                <w:rFonts w:ascii="宋体" w:hAnsi="宋体" w:cs="宋体"/>
                <w:kern w:val="0"/>
                <w:szCs w:val="21"/>
              </w:rPr>
              <w:t>31099</w:t>
            </w:r>
          </w:p>
        </w:tc>
        <w:tc>
          <w:tcPr>
            <w:tcW w:w="196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其他资本性支出</w:t>
            </w:r>
          </w:p>
        </w:tc>
        <w:tc>
          <w:tcPr>
            <w:tcW w:w="1081"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57.45 </w:t>
            </w:r>
          </w:p>
        </w:tc>
      </w:tr>
      <w:tr>
        <w:tblPrEx>
          <w:tblLayout w:type="fixed"/>
          <w:tblCellMar>
            <w:top w:w="0" w:type="dxa"/>
            <w:left w:w="108" w:type="dxa"/>
            <w:bottom w:w="0" w:type="dxa"/>
            <w:right w:w="108" w:type="dxa"/>
          </w:tblCellMar>
        </w:tblPrEx>
        <w:trPr>
          <w:gridAfter w:val="1"/>
          <w:wAfter w:w="104" w:type="dxa"/>
          <w:trHeight w:val="285" w:hRule="atLeast"/>
        </w:trPr>
        <w:tc>
          <w:tcPr>
            <w:tcW w:w="9527" w:type="dxa"/>
            <w:gridSpan w:val="7"/>
            <w:tcBorders>
              <w:top w:val="nil"/>
              <w:left w:val="nil"/>
              <w:bottom w:val="nil"/>
              <w:right w:val="nil"/>
            </w:tcBorders>
            <w:vAlign w:val="center"/>
          </w:tcPr>
          <w:p>
            <w:pPr>
              <w:widowControl/>
              <w:jc w:val="left"/>
              <w:rPr>
                <w:rFonts w:ascii="宋体" w:cs="宋体"/>
                <w:kern w:val="0"/>
                <w:sz w:val="24"/>
                <w:szCs w:val="24"/>
              </w:rPr>
            </w:pPr>
            <w:r>
              <w:rPr>
                <w:rFonts w:hint="eastAsia" w:ascii="宋体" w:hAnsi="宋体" w:cs="宋体"/>
                <w:color w:val="000000"/>
                <w:kern w:val="0"/>
                <w:sz w:val="24"/>
                <w:szCs w:val="24"/>
              </w:rPr>
              <w:t>注：本表反映部门本年度一般公共预算财政拨款基本支出明细情况。</w:t>
            </w:r>
          </w:p>
        </w:tc>
      </w:tr>
    </w:tbl>
    <w:p>
      <w:pPr>
        <w:spacing w:line="360" w:lineRule="auto"/>
        <w:jc w:val="center"/>
        <w:rPr>
          <w:rFonts w:ascii="隶书" w:hAnsi="隶书" w:eastAsia="隶书" w:cs="隶书"/>
          <w:sz w:val="52"/>
          <w:szCs w:val="52"/>
        </w:rPr>
      </w:pPr>
      <w:r>
        <w:rPr>
          <w:rFonts w:ascii="隶书" w:hAnsi="隶书" w:eastAsia="隶书" w:cs="隶书"/>
          <w:sz w:val="52"/>
          <w:szCs w:val="52"/>
        </w:rPr>
        <w:br w:type="page"/>
      </w:r>
    </w:p>
    <w:tbl>
      <w:tblPr>
        <w:tblStyle w:val="8"/>
        <w:tblpPr w:leftFromText="180" w:rightFromText="180" w:vertAnchor="page" w:horzAnchor="margin" w:tblpXSpec="center" w:tblpY="1441"/>
        <w:tblW w:w="9804" w:type="dxa"/>
        <w:tblInd w:w="0" w:type="dxa"/>
        <w:tblLayout w:type="fixed"/>
        <w:tblCellMar>
          <w:top w:w="0" w:type="dxa"/>
          <w:left w:w="108" w:type="dxa"/>
          <w:bottom w:w="0" w:type="dxa"/>
          <w:right w:w="108" w:type="dxa"/>
        </w:tblCellMar>
      </w:tblPr>
      <w:tblGrid>
        <w:gridCol w:w="856"/>
        <w:gridCol w:w="1044"/>
        <w:gridCol w:w="856"/>
        <w:gridCol w:w="549"/>
        <w:gridCol w:w="804"/>
        <w:gridCol w:w="804"/>
        <w:gridCol w:w="856"/>
        <w:gridCol w:w="1022"/>
        <w:gridCol w:w="856"/>
        <w:gridCol w:w="549"/>
        <w:gridCol w:w="804"/>
        <w:gridCol w:w="804"/>
      </w:tblGrid>
      <w:tr>
        <w:tblPrEx>
          <w:tblLayout w:type="fixed"/>
          <w:tblCellMar>
            <w:top w:w="0" w:type="dxa"/>
            <w:left w:w="108" w:type="dxa"/>
            <w:bottom w:w="0" w:type="dxa"/>
            <w:right w:w="108" w:type="dxa"/>
          </w:tblCellMar>
        </w:tblPrEx>
        <w:trPr>
          <w:trHeight w:val="375" w:hRule="atLeast"/>
        </w:trPr>
        <w:tc>
          <w:tcPr>
            <w:tcW w:w="9804" w:type="dxa"/>
            <w:gridSpan w:val="12"/>
            <w:tcBorders>
              <w:top w:val="nil"/>
              <w:left w:val="nil"/>
              <w:bottom w:val="nil"/>
              <w:right w:val="nil"/>
            </w:tcBorders>
            <w:vAlign w:val="center"/>
          </w:tcPr>
          <w:p>
            <w:pPr>
              <w:widowControl/>
              <w:jc w:val="center"/>
              <w:rPr>
                <w:rFonts w:ascii="宋体" w:cs="宋体"/>
                <w:b/>
                <w:bCs/>
                <w:kern w:val="0"/>
                <w:sz w:val="28"/>
                <w:szCs w:val="28"/>
              </w:rPr>
            </w:pPr>
            <w:r>
              <w:rPr>
                <w:rFonts w:hint="eastAsia" w:ascii="宋体" w:hAnsi="宋体" w:cs="宋体"/>
                <w:b/>
                <w:bCs/>
                <w:kern w:val="0"/>
                <w:sz w:val="28"/>
                <w:szCs w:val="28"/>
              </w:rPr>
              <w:t>一般公共预算财政拨款“三公”经费支出决算表</w:t>
            </w:r>
          </w:p>
        </w:tc>
      </w:tr>
      <w:tr>
        <w:tblPrEx>
          <w:tblLayout w:type="fixed"/>
          <w:tblCellMar>
            <w:top w:w="0" w:type="dxa"/>
            <w:left w:w="108" w:type="dxa"/>
            <w:bottom w:w="0" w:type="dxa"/>
            <w:right w:w="108" w:type="dxa"/>
          </w:tblCellMar>
        </w:tblPrEx>
        <w:trPr>
          <w:trHeight w:val="285" w:hRule="atLeast"/>
        </w:trPr>
        <w:tc>
          <w:tcPr>
            <w:tcW w:w="856" w:type="dxa"/>
            <w:tcBorders>
              <w:top w:val="nil"/>
              <w:left w:val="nil"/>
              <w:bottom w:val="nil"/>
              <w:right w:val="nil"/>
            </w:tcBorders>
            <w:vAlign w:val="center"/>
          </w:tcPr>
          <w:p>
            <w:pPr>
              <w:widowControl/>
              <w:jc w:val="left"/>
              <w:rPr>
                <w:rFonts w:ascii="宋体" w:cs="宋体"/>
                <w:kern w:val="0"/>
                <w:sz w:val="24"/>
              </w:rPr>
            </w:pPr>
          </w:p>
        </w:tc>
        <w:tc>
          <w:tcPr>
            <w:tcW w:w="1044" w:type="dxa"/>
            <w:tcBorders>
              <w:top w:val="nil"/>
              <w:left w:val="nil"/>
              <w:bottom w:val="nil"/>
              <w:right w:val="nil"/>
            </w:tcBorders>
            <w:vAlign w:val="center"/>
          </w:tcPr>
          <w:p>
            <w:pPr>
              <w:widowControl/>
              <w:jc w:val="left"/>
              <w:rPr>
                <w:rFonts w:ascii="宋体" w:cs="宋体"/>
                <w:kern w:val="0"/>
                <w:sz w:val="24"/>
              </w:rPr>
            </w:pPr>
          </w:p>
        </w:tc>
        <w:tc>
          <w:tcPr>
            <w:tcW w:w="856" w:type="dxa"/>
            <w:tcBorders>
              <w:top w:val="nil"/>
              <w:left w:val="nil"/>
              <w:bottom w:val="nil"/>
              <w:right w:val="nil"/>
            </w:tcBorders>
            <w:vAlign w:val="center"/>
          </w:tcPr>
          <w:p>
            <w:pPr>
              <w:widowControl/>
              <w:jc w:val="left"/>
              <w:rPr>
                <w:rFonts w:ascii="宋体" w:cs="宋体"/>
                <w:kern w:val="0"/>
                <w:sz w:val="24"/>
              </w:rPr>
            </w:pPr>
          </w:p>
        </w:tc>
        <w:tc>
          <w:tcPr>
            <w:tcW w:w="549" w:type="dxa"/>
            <w:tcBorders>
              <w:top w:val="nil"/>
              <w:left w:val="nil"/>
              <w:bottom w:val="nil"/>
              <w:right w:val="nil"/>
            </w:tcBorders>
            <w:vAlign w:val="center"/>
          </w:tcPr>
          <w:p>
            <w:pPr>
              <w:widowControl/>
              <w:jc w:val="left"/>
              <w:rPr>
                <w:rFonts w:ascii="宋体" w:cs="宋体"/>
                <w:kern w:val="0"/>
                <w:sz w:val="24"/>
              </w:rPr>
            </w:pPr>
          </w:p>
        </w:tc>
        <w:tc>
          <w:tcPr>
            <w:tcW w:w="804" w:type="dxa"/>
            <w:tcBorders>
              <w:top w:val="nil"/>
              <w:left w:val="nil"/>
              <w:bottom w:val="nil"/>
              <w:right w:val="nil"/>
            </w:tcBorders>
            <w:vAlign w:val="center"/>
          </w:tcPr>
          <w:p>
            <w:pPr>
              <w:widowControl/>
              <w:jc w:val="left"/>
              <w:rPr>
                <w:rFonts w:ascii="宋体" w:cs="宋体"/>
                <w:kern w:val="0"/>
                <w:sz w:val="24"/>
              </w:rPr>
            </w:pPr>
          </w:p>
        </w:tc>
        <w:tc>
          <w:tcPr>
            <w:tcW w:w="804" w:type="dxa"/>
            <w:tcBorders>
              <w:top w:val="nil"/>
              <w:left w:val="nil"/>
              <w:bottom w:val="nil"/>
              <w:right w:val="nil"/>
            </w:tcBorders>
            <w:vAlign w:val="center"/>
          </w:tcPr>
          <w:p>
            <w:pPr>
              <w:widowControl/>
              <w:jc w:val="left"/>
              <w:rPr>
                <w:rFonts w:ascii="宋体" w:cs="宋体"/>
                <w:kern w:val="0"/>
                <w:sz w:val="24"/>
              </w:rPr>
            </w:pPr>
          </w:p>
        </w:tc>
        <w:tc>
          <w:tcPr>
            <w:tcW w:w="856" w:type="dxa"/>
            <w:tcBorders>
              <w:top w:val="nil"/>
              <w:left w:val="nil"/>
              <w:bottom w:val="nil"/>
              <w:right w:val="nil"/>
            </w:tcBorders>
            <w:vAlign w:val="center"/>
          </w:tcPr>
          <w:p>
            <w:pPr>
              <w:widowControl/>
              <w:jc w:val="left"/>
              <w:rPr>
                <w:rFonts w:ascii="宋体" w:cs="宋体"/>
                <w:kern w:val="0"/>
                <w:sz w:val="24"/>
              </w:rPr>
            </w:pPr>
          </w:p>
        </w:tc>
        <w:tc>
          <w:tcPr>
            <w:tcW w:w="1022" w:type="dxa"/>
            <w:tcBorders>
              <w:top w:val="nil"/>
              <w:left w:val="nil"/>
              <w:bottom w:val="nil"/>
              <w:right w:val="nil"/>
            </w:tcBorders>
            <w:vAlign w:val="center"/>
          </w:tcPr>
          <w:p>
            <w:pPr>
              <w:widowControl/>
              <w:jc w:val="left"/>
              <w:rPr>
                <w:rFonts w:ascii="宋体" w:cs="宋体"/>
                <w:kern w:val="0"/>
                <w:sz w:val="24"/>
              </w:rPr>
            </w:pPr>
          </w:p>
        </w:tc>
        <w:tc>
          <w:tcPr>
            <w:tcW w:w="856" w:type="dxa"/>
            <w:tcBorders>
              <w:top w:val="nil"/>
              <w:left w:val="nil"/>
              <w:bottom w:val="nil"/>
              <w:right w:val="nil"/>
            </w:tcBorders>
            <w:vAlign w:val="center"/>
          </w:tcPr>
          <w:p>
            <w:pPr>
              <w:widowControl/>
              <w:jc w:val="left"/>
              <w:rPr>
                <w:rFonts w:ascii="宋体" w:cs="宋体"/>
                <w:kern w:val="0"/>
                <w:sz w:val="24"/>
              </w:rPr>
            </w:pPr>
          </w:p>
        </w:tc>
        <w:tc>
          <w:tcPr>
            <w:tcW w:w="549" w:type="dxa"/>
            <w:tcBorders>
              <w:top w:val="nil"/>
              <w:left w:val="nil"/>
              <w:bottom w:val="nil"/>
              <w:right w:val="nil"/>
            </w:tcBorders>
            <w:vAlign w:val="center"/>
          </w:tcPr>
          <w:p>
            <w:pPr>
              <w:widowControl/>
              <w:jc w:val="left"/>
              <w:rPr>
                <w:rFonts w:ascii="宋体" w:cs="宋体"/>
                <w:kern w:val="0"/>
                <w:sz w:val="24"/>
              </w:rPr>
            </w:pPr>
          </w:p>
        </w:tc>
        <w:tc>
          <w:tcPr>
            <w:tcW w:w="1608" w:type="dxa"/>
            <w:gridSpan w:val="2"/>
            <w:tcBorders>
              <w:top w:val="nil"/>
              <w:left w:val="nil"/>
              <w:bottom w:val="nil"/>
              <w:right w:val="nil"/>
            </w:tcBorders>
            <w:vAlign w:val="center"/>
          </w:tcPr>
          <w:p>
            <w:pPr>
              <w:widowControl/>
              <w:jc w:val="center"/>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公开</w:t>
            </w:r>
            <w:r>
              <w:rPr>
                <w:rFonts w:ascii="宋体" w:hAnsi="宋体" w:cs="宋体"/>
                <w:kern w:val="0"/>
                <w:szCs w:val="21"/>
              </w:rPr>
              <w:t>07</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trHeight w:val="285" w:hRule="atLeast"/>
        </w:trPr>
        <w:tc>
          <w:tcPr>
            <w:tcW w:w="856" w:type="dxa"/>
            <w:tcBorders>
              <w:top w:val="nil"/>
              <w:left w:val="nil"/>
              <w:bottom w:val="nil"/>
              <w:right w:val="nil"/>
            </w:tcBorders>
            <w:vAlign w:val="center"/>
          </w:tcPr>
          <w:p>
            <w:pPr>
              <w:widowControl/>
              <w:jc w:val="left"/>
              <w:rPr>
                <w:rFonts w:ascii="宋体" w:cs="宋体"/>
                <w:kern w:val="0"/>
                <w:sz w:val="24"/>
              </w:rPr>
            </w:pPr>
          </w:p>
        </w:tc>
        <w:tc>
          <w:tcPr>
            <w:tcW w:w="1044" w:type="dxa"/>
            <w:tcBorders>
              <w:top w:val="nil"/>
              <w:left w:val="nil"/>
              <w:bottom w:val="nil"/>
              <w:right w:val="nil"/>
            </w:tcBorders>
            <w:vAlign w:val="center"/>
          </w:tcPr>
          <w:p>
            <w:pPr>
              <w:widowControl/>
              <w:jc w:val="left"/>
              <w:rPr>
                <w:rFonts w:ascii="宋体" w:cs="宋体"/>
                <w:kern w:val="0"/>
                <w:sz w:val="24"/>
              </w:rPr>
            </w:pPr>
          </w:p>
        </w:tc>
        <w:tc>
          <w:tcPr>
            <w:tcW w:w="856" w:type="dxa"/>
            <w:tcBorders>
              <w:top w:val="nil"/>
              <w:left w:val="nil"/>
              <w:bottom w:val="nil"/>
              <w:right w:val="nil"/>
            </w:tcBorders>
            <w:vAlign w:val="center"/>
          </w:tcPr>
          <w:p>
            <w:pPr>
              <w:widowControl/>
              <w:jc w:val="left"/>
              <w:rPr>
                <w:rFonts w:ascii="宋体" w:cs="宋体"/>
                <w:kern w:val="0"/>
                <w:sz w:val="24"/>
              </w:rPr>
            </w:pPr>
          </w:p>
        </w:tc>
        <w:tc>
          <w:tcPr>
            <w:tcW w:w="549" w:type="dxa"/>
            <w:tcBorders>
              <w:top w:val="nil"/>
              <w:left w:val="nil"/>
              <w:bottom w:val="nil"/>
              <w:right w:val="nil"/>
            </w:tcBorders>
            <w:vAlign w:val="center"/>
          </w:tcPr>
          <w:p>
            <w:pPr>
              <w:widowControl/>
              <w:jc w:val="left"/>
              <w:rPr>
                <w:rFonts w:ascii="宋体" w:cs="宋体"/>
                <w:kern w:val="0"/>
                <w:sz w:val="24"/>
              </w:rPr>
            </w:pPr>
          </w:p>
        </w:tc>
        <w:tc>
          <w:tcPr>
            <w:tcW w:w="804" w:type="dxa"/>
            <w:tcBorders>
              <w:top w:val="nil"/>
              <w:left w:val="nil"/>
              <w:bottom w:val="nil"/>
              <w:right w:val="nil"/>
            </w:tcBorders>
            <w:vAlign w:val="center"/>
          </w:tcPr>
          <w:p>
            <w:pPr>
              <w:widowControl/>
              <w:jc w:val="left"/>
              <w:rPr>
                <w:rFonts w:ascii="宋体" w:cs="宋体"/>
                <w:kern w:val="0"/>
                <w:sz w:val="24"/>
              </w:rPr>
            </w:pPr>
          </w:p>
        </w:tc>
        <w:tc>
          <w:tcPr>
            <w:tcW w:w="804" w:type="dxa"/>
            <w:tcBorders>
              <w:top w:val="nil"/>
              <w:left w:val="nil"/>
              <w:bottom w:val="nil"/>
              <w:right w:val="nil"/>
            </w:tcBorders>
            <w:vAlign w:val="center"/>
          </w:tcPr>
          <w:p>
            <w:pPr>
              <w:widowControl/>
              <w:jc w:val="left"/>
              <w:rPr>
                <w:rFonts w:ascii="宋体" w:cs="宋体"/>
                <w:kern w:val="0"/>
                <w:sz w:val="24"/>
              </w:rPr>
            </w:pPr>
          </w:p>
        </w:tc>
        <w:tc>
          <w:tcPr>
            <w:tcW w:w="856" w:type="dxa"/>
            <w:tcBorders>
              <w:top w:val="nil"/>
              <w:left w:val="nil"/>
              <w:bottom w:val="nil"/>
              <w:right w:val="nil"/>
            </w:tcBorders>
            <w:vAlign w:val="center"/>
          </w:tcPr>
          <w:p>
            <w:pPr>
              <w:widowControl/>
              <w:jc w:val="left"/>
              <w:rPr>
                <w:rFonts w:ascii="宋体" w:cs="宋体"/>
                <w:kern w:val="0"/>
                <w:sz w:val="24"/>
              </w:rPr>
            </w:pPr>
          </w:p>
        </w:tc>
        <w:tc>
          <w:tcPr>
            <w:tcW w:w="1022" w:type="dxa"/>
            <w:tcBorders>
              <w:top w:val="nil"/>
              <w:left w:val="nil"/>
              <w:bottom w:val="nil"/>
              <w:right w:val="nil"/>
            </w:tcBorders>
            <w:vAlign w:val="center"/>
          </w:tcPr>
          <w:p>
            <w:pPr>
              <w:widowControl/>
              <w:jc w:val="left"/>
              <w:rPr>
                <w:rFonts w:ascii="宋体" w:cs="宋体"/>
                <w:kern w:val="0"/>
                <w:sz w:val="24"/>
              </w:rPr>
            </w:pPr>
          </w:p>
        </w:tc>
        <w:tc>
          <w:tcPr>
            <w:tcW w:w="856" w:type="dxa"/>
            <w:tcBorders>
              <w:top w:val="nil"/>
              <w:left w:val="nil"/>
              <w:bottom w:val="nil"/>
              <w:right w:val="nil"/>
            </w:tcBorders>
            <w:vAlign w:val="center"/>
          </w:tcPr>
          <w:p>
            <w:pPr>
              <w:widowControl/>
              <w:jc w:val="left"/>
              <w:rPr>
                <w:rFonts w:ascii="宋体" w:cs="宋体"/>
                <w:kern w:val="0"/>
                <w:sz w:val="24"/>
              </w:rPr>
            </w:pPr>
          </w:p>
        </w:tc>
        <w:tc>
          <w:tcPr>
            <w:tcW w:w="549" w:type="dxa"/>
            <w:tcBorders>
              <w:top w:val="nil"/>
              <w:left w:val="nil"/>
              <w:bottom w:val="nil"/>
              <w:right w:val="nil"/>
            </w:tcBorders>
            <w:vAlign w:val="center"/>
          </w:tcPr>
          <w:p>
            <w:pPr>
              <w:widowControl/>
              <w:jc w:val="left"/>
              <w:rPr>
                <w:rFonts w:ascii="宋体" w:cs="宋体"/>
                <w:kern w:val="0"/>
                <w:sz w:val="24"/>
              </w:rPr>
            </w:pPr>
          </w:p>
        </w:tc>
        <w:tc>
          <w:tcPr>
            <w:tcW w:w="1608" w:type="dxa"/>
            <w:gridSpan w:val="2"/>
            <w:tcBorders>
              <w:top w:val="nil"/>
              <w:left w:val="nil"/>
              <w:bottom w:val="single" w:color="auto" w:sz="4" w:space="0"/>
              <w:right w:val="nil"/>
            </w:tcBorders>
            <w:vAlign w:val="center"/>
          </w:tcPr>
          <w:p>
            <w:pPr>
              <w:widowControl/>
              <w:jc w:val="center"/>
              <w:rPr>
                <w:rFonts w:ascii="宋体" w:cs="宋体"/>
                <w:kern w:val="0"/>
                <w:szCs w:val="21"/>
              </w:rPr>
            </w:pPr>
            <w:r>
              <w:rPr>
                <w:rFonts w:hint="eastAsia" w:ascii="宋体" w:hAnsi="宋体" w:cs="宋体"/>
                <w:kern w:val="0"/>
                <w:szCs w:val="21"/>
              </w:rPr>
              <w:t>单位：万元</w:t>
            </w:r>
          </w:p>
        </w:tc>
      </w:tr>
      <w:tr>
        <w:tblPrEx>
          <w:tblLayout w:type="fixed"/>
          <w:tblCellMar>
            <w:top w:w="0" w:type="dxa"/>
            <w:left w:w="108" w:type="dxa"/>
            <w:bottom w:w="0" w:type="dxa"/>
            <w:right w:w="108" w:type="dxa"/>
          </w:tblCellMar>
        </w:tblPrEx>
        <w:trPr>
          <w:trHeight w:val="285" w:hRule="atLeast"/>
        </w:trPr>
        <w:tc>
          <w:tcPr>
            <w:tcW w:w="491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2016</w:t>
            </w:r>
            <w:r>
              <w:rPr>
                <w:rFonts w:hint="eastAsia" w:ascii="宋体" w:hAnsi="宋体" w:cs="宋体"/>
                <w:kern w:val="0"/>
                <w:sz w:val="24"/>
              </w:rPr>
              <w:t>年度预算数</w:t>
            </w:r>
          </w:p>
        </w:tc>
        <w:tc>
          <w:tcPr>
            <w:tcW w:w="4891"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2016</w:t>
            </w:r>
            <w:r>
              <w:rPr>
                <w:rFonts w:hint="eastAsia" w:ascii="宋体" w:hAnsi="宋体" w:cs="宋体"/>
                <w:kern w:val="0"/>
                <w:sz w:val="24"/>
              </w:rPr>
              <w:t>年度决算数</w:t>
            </w:r>
          </w:p>
        </w:tc>
      </w:tr>
      <w:tr>
        <w:tblPrEx>
          <w:tblLayout w:type="fixed"/>
          <w:tblCellMar>
            <w:top w:w="0" w:type="dxa"/>
            <w:left w:w="108" w:type="dxa"/>
            <w:bottom w:w="0" w:type="dxa"/>
            <w:right w:w="108" w:type="dxa"/>
          </w:tblCellMar>
        </w:tblPrEx>
        <w:trPr>
          <w:trHeight w:val="570" w:hRule="atLeast"/>
        </w:trPr>
        <w:tc>
          <w:tcPr>
            <w:tcW w:w="85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合计</w:t>
            </w:r>
          </w:p>
        </w:tc>
        <w:tc>
          <w:tcPr>
            <w:tcW w:w="104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因公出国（境）费</w:t>
            </w:r>
          </w:p>
        </w:tc>
        <w:tc>
          <w:tcPr>
            <w:tcW w:w="3013"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公务用车购置及运行费</w:t>
            </w:r>
          </w:p>
        </w:tc>
        <w:tc>
          <w:tcPr>
            <w:tcW w:w="85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合计</w:t>
            </w:r>
          </w:p>
        </w:tc>
        <w:tc>
          <w:tcPr>
            <w:tcW w:w="102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因公出国（境）费</w:t>
            </w:r>
          </w:p>
        </w:tc>
        <w:tc>
          <w:tcPr>
            <w:tcW w:w="3013"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公务用车购置及运行费</w:t>
            </w:r>
          </w:p>
        </w:tc>
      </w:tr>
      <w:tr>
        <w:tblPrEx>
          <w:tblLayout w:type="fixed"/>
        </w:tblPrEx>
        <w:trPr>
          <w:trHeight w:val="840" w:hRule="atLeast"/>
        </w:trPr>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04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小计</w:t>
            </w:r>
          </w:p>
        </w:tc>
        <w:tc>
          <w:tcPr>
            <w:tcW w:w="549"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公务用车购置费</w:t>
            </w:r>
          </w:p>
        </w:tc>
        <w:tc>
          <w:tcPr>
            <w:tcW w:w="80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公务用车运行费</w:t>
            </w:r>
          </w:p>
        </w:tc>
        <w:tc>
          <w:tcPr>
            <w:tcW w:w="80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公务接待费</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10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p>
        </w:tc>
        <w:tc>
          <w:tcPr>
            <w:tcW w:w="856"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小计</w:t>
            </w:r>
          </w:p>
        </w:tc>
        <w:tc>
          <w:tcPr>
            <w:tcW w:w="549"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公务用车购置费</w:t>
            </w:r>
          </w:p>
        </w:tc>
        <w:tc>
          <w:tcPr>
            <w:tcW w:w="80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公务用车运行费</w:t>
            </w:r>
          </w:p>
        </w:tc>
        <w:tc>
          <w:tcPr>
            <w:tcW w:w="80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公务接待费</w:t>
            </w:r>
          </w:p>
        </w:tc>
      </w:tr>
      <w:tr>
        <w:tblPrEx>
          <w:tblLayout w:type="fixed"/>
          <w:tblCellMar>
            <w:top w:w="0" w:type="dxa"/>
            <w:left w:w="108" w:type="dxa"/>
            <w:bottom w:w="0" w:type="dxa"/>
            <w:right w:w="108" w:type="dxa"/>
          </w:tblCellMar>
        </w:tblPrEx>
        <w:trPr>
          <w:trHeight w:val="480" w:hRule="atLeast"/>
        </w:trPr>
        <w:tc>
          <w:tcPr>
            <w:tcW w:w="856"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w:t>
            </w:r>
          </w:p>
        </w:tc>
        <w:tc>
          <w:tcPr>
            <w:tcW w:w="104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3</w:t>
            </w:r>
          </w:p>
        </w:tc>
        <w:tc>
          <w:tcPr>
            <w:tcW w:w="54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4</w:t>
            </w:r>
          </w:p>
        </w:tc>
        <w:tc>
          <w:tcPr>
            <w:tcW w:w="80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w:t>
            </w:r>
          </w:p>
        </w:tc>
        <w:tc>
          <w:tcPr>
            <w:tcW w:w="80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6</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7</w:t>
            </w:r>
          </w:p>
        </w:tc>
        <w:tc>
          <w:tcPr>
            <w:tcW w:w="1022"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8</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9</w:t>
            </w:r>
          </w:p>
        </w:tc>
        <w:tc>
          <w:tcPr>
            <w:tcW w:w="549"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10</w:t>
            </w:r>
          </w:p>
        </w:tc>
        <w:tc>
          <w:tcPr>
            <w:tcW w:w="80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11</w:t>
            </w:r>
          </w:p>
        </w:tc>
        <w:tc>
          <w:tcPr>
            <w:tcW w:w="80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w:t>
            </w:r>
          </w:p>
        </w:tc>
      </w:tr>
      <w:tr>
        <w:tblPrEx>
          <w:tblLayout w:type="fixed"/>
          <w:tblCellMar>
            <w:top w:w="0" w:type="dxa"/>
            <w:left w:w="108" w:type="dxa"/>
            <w:bottom w:w="0" w:type="dxa"/>
            <w:right w:w="108" w:type="dxa"/>
          </w:tblCellMar>
        </w:tblPrEx>
        <w:trPr>
          <w:trHeight w:val="465" w:hRule="atLeast"/>
        </w:trPr>
        <w:tc>
          <w:tcPr>
            <w:tcW w:w="856"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16.60 </w:t>
            </w:r>
          </w:p>
        </w:tc>
        <w:tc>
          <w:tcPr>
            <w:tcW w:w="104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16.60 </w:t>
            </w:r>
          </w:p>
        </w:tc>
        <w:tc>
          <w:tcPr>
            <w:tcW w:w="54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0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7.80 </w:t>
            </w:r>
          </w:p>
        </w:tc>
        <w:tc>
          <w:tcPr>
            <w:tcW w:w="80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ascii="宋体" w:hAnsi="宋体" w:cs="宋体"/>
                <w:kern w:val="0"/>
                <w:sz w:val="24"/>
              </w:rPr>
              <w:t>8.8.</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12.92 </w:t>
            </w:r>
          </w:p>
        </w:tc>
        <w:tc>
          <w:tcPr>
            <w:tcW w:w="1022"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12.92 </w:t>
            </w:r>
          </w:p>
        </w:tc>
        <w:tc>
          <w:tcPr>
            <w:tcW w:w="549"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80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4.22 </w:t>
            </w:r>
          </w:p>
        </w:tc>
        <w:tc>
          <w:tcPr>
            <w:tcW w:w="804"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 xml:space="preserve">8.70 </w:t>
            </w:r>
          </w:p>
        </w:tc>
      </w:tr>
      <w:tr>
        <w:tblPrEx>
          <w:tblLayout w:type="fixed"/>
          <w:tblCellMar>
            <w:top w:w="0" w:type="dxa"/>
            <w:left w:w="108" w:type="dxa"/>
            <w:bottom w:w="0" w:type="dxa"/>
            <w:right w:w="108" w:type="dxa"/>
          </w:tblCellMar>
        </w:tblPrEx>
        <w:trPr>
          <w:trHeight w:val="540" w:hRule="atLeast"/>
        </w:trPr>
        <w:tc>
          <w:tcPr>
            <w:tcW w:w="9804" w:type="dxa"/>
            <w:gridSpan w:val="12"/>
            <w:tcBorders>
              <w:top w:val="single" w:color="auto" w:sz="4" w:space="0"/>
              <w:left w:val="nil"/>
              <w:bottom w:val="nil"/>
              <w:right w:val="nil"/>
            </w:tcBorders>
            <w:vAlign w:val="center"/>
          </w:tcPr>
          <w:p>
            <w:pPr>
              <w:widowControl/>
              <w:rPr>
                <w:rFonts w:ascii="宋体" w:cs="宋体"/>
                <w:color w:val="000000"/>
                <w:kern w:val="0"/>
                <w:sz w:val="16"/>
                <w:szCs w:val="16"/>
              </w:rPr>
            </w:pPr>
            <w:r>
              <w:rPr>
                <w:rFonts w:hint="eastAsia" w:ascii="宋体" w:hAnsi="宋体" w:cs="宋体"/>
                <w:color w:val="000000"/>
                <w:kern w:val="0"/>
                <w:sz w:val="24"/>
                <w:szCs w:val="24"/>
              </w:rPr>
              <w:t>注：本表反映部门本年度“三公”经费支出预决算情况。其中，</w:t>
            </w:r>
            <w:r>
              <w:rPr>
                <w:rFonts w:ascii="宋体" w:hAnsi="宋体" w:cs="宋体"/>
                <w:color w:val="000000"/>
                <w:kern w:val="0"/>
                <w:sz w:val="24"/>
                <w:szCs w:val="24"/>
              </w:rPr>
              <w:t>2016</w:t>
            </w:r>
            <w:r>
              <w:rPr>
                <w:rFonts w:hint="eastAsia" w:ascii="宋体" w:hAnsi="宋体" w:cs="宋体"/>
                <w:color w:val="000000"/>
                <w:kern w:val="0"/>
                <w:sz w:val="24"/>
                <w:szCs w:val="24"/>
              </w:rPr>
              <w:t>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pPr>
    </w:p>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8"/>
        <w:tblpPr w:leftFromText="180" w:rightFromText="180" w:vertAnchor="page" w:horzAnchor="margin" w:tblpXSpec="center" w:tblpY="817"/>
        <w:tblW w:w="9740" w:type="dxa"/>
        <w:tblInd w:w="0" w:type="dxa"/>
        <w:tblLayout w:type="fixed"/>
        <w:tblCellMar>
          <w:top w:w="15" w:type="dxa"/>
          <w:left w:w="15" w:type="dxa"/>
          <w:bottom w:w="15" w:type="dxa"/>
          <w:right w:w="15" w:type="dxa"/>
        </w:tblCellMar>
      </w:tblPr>
      <w:tblGrid>
        <w:gridCol w:w="14"/>
        <w:gridCol w:w="1127"/>
        <w:gridCol w:w="2654"/>
        <w:gridCol w:w="713"/>
        <w:gridCol w:w="1248"/>
        <w:gridCol w:w="946"/>
        <w:gridCol w:w="1233"/>
        <w:gridCol w:w="15"/>
        <w:gridCol w:w="1065"/>
        <w:gridCol w:w="725"/>
      </w:tblGrid>
      <w:tr>
        <w:tblPrEx>
          <w:tblLayout w:type="fixed"/>
          <w:tblCellMar>
            <w:top w:w="15" w:type="dxa"/>
            <w:left w:w="15" w:type="dxa"/>
            <w:bottom w:w="15" w:type="dxa"/>
            <w:right w:w="15" w:type="dxa"/>
          </w:tblCellMar>
        </w:tblPrEx>
        <w:trPr>
          <w:gridBefore w:val="1"/>
          <w:wBefore w:w="14" w:type="dxa"/>
          <w:trHeight w:val="600" w:hRule="atLeast"/>
        </w:trPr>
        <w:tc>
          <w:tcPr>
            <w:tcW w:w="9726" w:type="dxa"/>
            <w:gridSpan w:val="9"/>
            <w:vAlign w:val="center"/>
          </w:tcPr>
          <w:p>
            <w:pPr>
              <w:widowControl/>
              <w:jc w:val="center"/>
              <w:rPr>
                <w:rFonts w:ascii="宋体" w:cs="宋体"/>
                <w:b/>
                <w:bCs/>
                <w:kern w:val="0"/>
                <w:sz w:val="28"/>
                <w:szCs w:val="28"/>
              </w:rPr>
            </w:pPr>
            <w:r>
              <w:rPr>
                <w:rFonts w:hint="eastAsia" w:ascii="宋体" w:hAnsi="宋体" w:cs="宋体"/>
                <w:b/>
                <w:bCs/>
                <w:kern w:val="0"/>
                <w:sz w:val="28"/>
                <w:szCs w:val="28"/>
              </w:rPr>
              <w:t>政府性基金预算财政拨款收入支出决算表</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nil"/>
              <w:bottom w:val="nil"/>
              <w:right w:val="nil"/>
            </w:tcBorders>
            <w:vAlign w:val="center"/>
          </w:tcPr>
          <w:p>
            <w:pPr>
              <w:widowControl/>
              <w:jc w:val="left"/>
              <w:rPr>
                <w:rFonts w:ascii="宋体" w:cs="宋体"/>
                <w:kern w:val="0"/>
                <w:sz w:val="24"/>
              </w:rPr>
            </w:pPr>
          </w:p>
        </w:tc>
        <w:tc>
          <w:tcPr>
            <w:tcW w:w="2654" w:type="dxa"/>
            <w:tcBorders>
              <w:top w:val="nil"/>
              <w:left w:val="nil"/>
              <w:bottom w:val="nil"/>
              <w:right w:val="nil"/>
            </w:tcBorders>
            <w:vAlign w:val="center"/>
          </w:tcPr>
          <w:p>
            <w:pPr>
              <w:widowControl/>
              <w:jc w:val="left"/>
              <w:rPr>
                <w:rFonts w:ascii="宋体" w:cs="宋体"/>
                <w:kern w:val="0"/>
                <w:sz w:val="24"/>
              </w:rPr>
            </w:pPr>
          </w:p>
        </w:tc>
        <w:tc>
          <w:tcPr>
            <w:tcW w:w="713" w:type="dxa"/>
            <w:tcBorders>
              <w:top w:val="nil"/>
              <w:left w:val="nil"/>
              <w:bottom w:val="nil"/>
              <w:right w:val="nil"/>
            </w:tcBorders>
            <w:vAlign w:val="center"/>
          </w:tcPr>
          <w:p>
            <w:pPr>
              <w:widowControl/>
              <w:jc w:val="left"/>
              <w:rPr>
                <w:rFonts w:ascii="宋体" w:cs="宋体"/>
                <w:kern w:val="0"/>
                <w:sz w:val="24"/>
              </w:rPr>
            </w:pPr>
          </w:p>
        </w:tc>
        <w:tc>
          <w:tcPr>
            <w:tcW w:w="1248" w:type="dxa"/>
            <w:tcBorders>
              <w:top w:val="nil"/>
              <w:left w:val="nil"/>
              <w:bottom w:val="nil"/>
              <w:right w:val="nil"/>
            </w:tcBorders>
            <w:vAlign w:val="center"/>
          </w:tcPr>
          <w:p>
            <w:pPr>
              <w:widowControl/>
              <w:jc w:val="left"/>
              <w:rPr>
                <w:rFonts w:ascii="宋体" w:cs="宋体"/>
                <w:kern w:val="0"/>
                <w:sz w:val="24"/>
              </w:rPr>
            </w:pPr>
          </w:p>
        </w:tc>
        <w:tc>
          <w:tcPr>
            <w:tcW w:w="946" w:type="dxa"/>
            <w:tcBorders>
              <w:top w:val="nil"/>
              <w:left w:val="nil"/>
              <w:bottom w:val="nil"/>
              <w:right w:val="nil"/>
            </w:tcBorders>
            <w:vAlign w:val="center"/>
          </w:tcPr>
          <w:p>
            <w:pPr>
              <w:widowControl/>
              <w:jc w:val="left"/>
              <w:rPr>
                <w:rFonts w:ascii="宋体" w:cs="宋体"/>
                <w:kern w:val="0"/>
                <w:sz w:val="24"/>
              </w:rPr>
            </w:pPr>
            <w:r>
              <w:rPr>
                <w:rFonts w:ascii="宋体" w:hAnsi="宋体" w:cs="宋体"/>
                <w:kern w:val="0"/>
                <w:sz w:val="24"/>
              </w:rPr>
              <w:t xml:space="preserve"> </w:t>
            </w:r>
          </w:p>
        </w:tc>
        <w:tc>
          <w:tcPr>
            <w:tcW w:w="1248" w:type="dxa"/>
            <w:gridSpan w:val="2"/>
            <w:tcBorders>
              <w:top w:val="nil"/>
              <w:left w:val="nil"/>
              <w:bottom w:val="nil"/>
              <w:right w:val="nil"/>
            </w:tcBorders>
            <w:vAlign w:val="center"/>
          </w:tcPr>
          <w:p>
            <w:pPr>
              <w:widowControl/>
              <w:jc w:val="left"/>
              <w:rPr>
                <w:rFonts w:ascii="宋体" w:cs="宋体"/>
                <w:kern w:val="0"/>
                <w:sz w:val="24"/>
              </w:rPr>
            </w:pPr>
          </w:p>
        </w:tc>
        <w:tc>
          <w:tcPr>
            <w:tcW w:w="1790" w:type="dxa"/>
            <w:gridSpan w:val="2"/>
            <w:tcBorders>
              <w:top w:val="nil"/>
              <w:left w:val="nil"/>
              <w:bottom w:val="nil"/>
              <w:right w:val="nil"/>
            </w:tcBorders>
            <w:vAlign w:val="center"/>
          </w:tcPr>
          <w:p>
            <w:pPr>
              <w:widowControl/>
              <w:jc w:val="center"/>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公开</w:t>
            </w:r>
            <w:r>
              <w:rPr>
                <w:rFonts w:ascii="宋体" w:hAnsi="宋体" w:cs="宋体"/>
                <w:kern w:val="0"/>
                <w:szCs w:val="21"/>
              </w:rPr>
              <w:t>08</w:t>
            </w:r>
            <w:r>
              <w:rPr>
                <w:rFonts w:hint="eastAsia" w:ascii="宋体" w:hAnsi="宋体" w:cs="宋体"/>
                <w:kern w:val="0"/>
                <w:szCs w:val="21"/>
              </w:rPr>
              <w:t>表</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nil"/>
              <w:bottom w:val="nil"/>
              <w:right w:val="nil"/>
            </w:tcBorders>
            <w:vAlign w:val="center"/>
          </w:tcPr>
          <w:p>
            <w:pPr>
              <w:widowControl/>
              <w:jc w:val="left"/>
              <w:rPr>
                <w:rFonts w:ascii="宋体" w:cs="宋体"/>
                <w:kern w:val="0"/>
                <w:sz w:val="24"/>
              </w:rPr>
            </w:pPr>
          </w:p>
        </w:tc>
        <w:tc>
          <w:tcPr>
            <w:tcW w:w="2654" w:type="dxa"/>
            <w:tcBorders>
              <w:top w:val="nil"/>
              <w:left w:val="nil"/>
              <w:bottom w:val="nil"/>
              <w:right w:val="nil"/>
            </w:tcBorders>
            <w:vAlign w:val="center"/>
          </w:tcPr>
          <w:p>
            <w:pPr>
              <w:widowControl/>
              <w:jc w:val="left"/>
              <w:rPr>
                <w:rFonts w:ascii="宋体" w:cs="宋体"/>
                <w:kern w:val="0"/>
                <w:sz w:val="24"/>
              </w:rPr>
            </w:pPr>
          </w:p>
        </w:tc>
        <w:tc>
          <w:tcPr>
            <w:tcW w:w="713" w:type="dxa"/>
            <w:tcBorders>
              <w:top w:val="nil"/>
              <w:left w:val="nil"/>
              <w:bottom w:val="nil"/>
              <w:right w:val="nil"/>
            </w:tcBorders>
            <w:vAlign w:val="center"/>
          </w:tcPr>
          <w:p>
            <w:pPr>
              <w:widowControl/>
              <w:jc w:val="left"/>
              <w:rPr>
                <w:rFonts w:ascii="宋体" w:cs="宋体"/>
                <w:kern w:val="0"/>
                <w:sz w:val="24"/>
              </w:rPr>
            </w:pPr>
          </w:p>
        </w:tc>
        <w:tc>
          <w:tcPr>
            <w:tcW w:w="1248" w:type="dxa"/>
            <w:tcBorders>
              <w:top w:val="nil"/>
              <w:left w:val="nil"/>
              <w:bottom w:val="nil"/>
              <w:right w:val="nil"/>
            </w:tcBorders>
            <w:vAlign w:val="center"/>
          </w:tcPr>
          <w:p>
            <w:pPr>
              <w:widowControl/>
              <w:jc w:val="left"/>
              <w:rPr>
                <w:rFonts w:ascii="宋体" w:cs="宋体"/>
                <w:kern w:val="0"/>
                <w:sz w:val="24"/>
              </w:rPr>
            </w:pPr>
          </w:p>
        </w:tc>
        <w:tc>
          <w:tcPr>
            <w:tcW w:w="946" w:type="dxa"/>
            <w:tcBorders>
              <w:top w:val="nil"/>
              <w:left w:val="nil"/>
              <w:bottom w:val="nil"/>
              <w:right w:val="nil"/>
            </w:tcBorders>
            <w:vAlign w:val="center"/>
          </w:tcPr>
          <w:p>
            <w:pPr>
              <w:widowControl/>
              <w:jc w:val="center"/>
              <w:rPr>
                <w:rFonts w:ascii="宋体" w:cs="宋体"/>
                <w:kern w:val="0"/>
                <w:sz w:val="24"/>
              </w:rPr>
            </w:pPr>
            <w:r>
              <w:rPr>
                <w:rFonts w:ascii="宋体" w:hAnsi="宋体" w:cs="宋体"/>
                <w:kern w:val="0"/>
                <w:sz w:val="24"/>
              </w:rPr>
              <w:t xml:space="preserve"> </w:t>
            </w:r>
          </w:p>
        </w:tc>
        <w:tc>
          <w:tcPr>
            <w:tcW w:w="1248" w:type="dxa"/>
            <w:gridSpan w:val="2"/>
            <w:tcBorders>
              <w:top w:val="nil"/>
              <w:left w:val="nil"/>
              <w:bottom w:val="nil"/>
              <w:right w:val="nil"/>
            </w:tcBorders>
            <w:vAlign w:val="center"/>
          </w:tcPr>
          <w:p>
            <w:pPr>
              <w:widowControl/>
              <w:jc w:val="left"/>
              <w:rPr>
                <w:rFonts w:ascii="宋体" w:cs="宋体"/>
                <w:kern w:val="0"/>
                <w:sz w:val="24"/>
              </w:rPr>
            </w:pPr>
          </w:p>
        </w:tc>
        <w:tc>
          <w:tcPr>
            <w:tcW w:w="1790" w:type="dxa"/>
            <w:gridSpan w:val="2"/>
            <w:tcBorders>
              <w:top w:val="nil"/>
              <w:left w:val="nil"/>
              <w:bottom w:val="single" w:color="auto" w:sz="4" w:space="0"/>
              <w:right w:val="nil"/>
            </w:tcBorders>
            <w:vAlign w:val="center"/>
          </w:tcPr>
          <w:p>
            <w:pPr>
              <w:widowControl/>
              <w:jc w:val="center"/>
              <w:rPr>
                <w:rFonts w:ascii="宋体" w:cs="宋体"/>
                <w:kern w:val="0"/>
                <w:szCs w:val="21"/>
              </w:rPr>
            </w:pPr>
            <w:r>
              <w:rPr>
                <w:rFonts w:hint="eastAsia" w:ascii="宋体" w:hAnsi="宋体" w:cs="宋体"/>
                <w:kern w:val="0"/>
                <w:szCs w:val="21"/>
              </w:rPr>
              <w:t>单位：万元</w:t>
            </w:r>
          </w:p>
        </w:tc>
      </w:tr>
      <w:tr>
        <w:tblPrEx>
          <w:tblLayout w:type="fixed"/>
          <w:tblCellMar>
            <w:top w:w="0" w:type="dxa"/>
            <w:left w:w="108" w:type="dxa"/>
            <w:bottom w:w="0" w:type="dxa"/>
            <w:right w:w="108" w:type="dxa"/>
          </w:tblCellMar>
        </w:tblPrEx>
        <w:trPr>
          <w:trHeight w:val="285" w:hRule="atLeast"/>
        </w:trPr>
        <w:tc>
          <w:tcPr>
            <w:tcW w:w="379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项目</w:t>
            </w:r>
          </w:p>
        </w:tc>
        <w:tc>
          <w:tcPr>
            <w:tcW w:w="71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年初结转和结余</w:t>
            </w:r>
          </w:p>
        </w:tc>
        <w:tc>
          <w:tcPr>
            <w:tcW w:w="124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本年收入</w:t>
            </w:r>
          </w:p>
        </w:tc>
        <w:tc>
          <w:tcPr>
            <w:tcW w:w="3259"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本年支出</w:t>
            </w:r>
          </w:p>
        </w:tc>
        <w:tc>
          <w:tcPr>
            <w:tcW w:w="72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年末结转和结余</w:t>
            </w:r>
          </w:p>
        </w:tc>
      </w:tr>
      <w:tr>
        <w:tblPrEx>
          <w:tblLayout w:type="fixed"/>
          <w:tblCellMar>
            <w:top w:w="0" w:type="dxa"/>
            <w:left w:w="108" w:type="dxa"/>
            <w:bottom w:w="0" w:type="dxa"/>
            <w:right w:w="108" w:type="dxa"/>
          </w:tblCellMar>
        </w:tblPrEx>
        <w:trPr>
          <w:trHeight w:val="85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支出功能分类科目编码</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科目名称</w:t>
            </w:r>
          </w:p>
        </w:tc>
        <w:tc>
          <w:tcPr>
            <w:tcW w:w="71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124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kern w:val="0"/>
                <w:szCs w:val="21"/>
              </w:rPr>
            </w:pPr>
          </w:p>
        </w:tc>
        <w:tc>
          <w:tcPr>
            <w:tcW w:w="946"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小计</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基本支出</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项目支出</w:t>
            </w:r>
          </w:p>
        </w:tc>
        <w:tc>
          <w:tcPr>
            <w:tcW w:w="72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285" w:hRule="atLeast"/>
        </w:trPr>
        <w:tc>
          <w:tcPr>
            <w:tcW w:w="379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Cs w:val="21"/>
              </w:rPr>
            </w:pPr>
            <w:r>
              <w:rPr>
                <w:rFonts w:hint="eastAsia" w:ascii="宋体" w:hAnsi="宋体" w:cs="宋体"/>
                <w:kern w:val="0"/>
                <w:szCs w:val="21"/>
              </w:rPr>
              <w:t>栏次</w:t>
            </w:r>
          </w:p>
        </w:tc>
        <w:tc>
          <w:tcPr>
            <w:tcW w:w="713"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1</w:t>
            </w:r>
          </w:p>
        </w:tc>
        <w:tc>
          <w:tcPr>
            <w:tcW w:w="1248"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2</w:t>
            </w:r>
          </w:p>
        </w:tc>
        <w:tc>
          <w:tcPr>
            <w:tcW w:w="946"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3</w:t>
            </w:r>
          </w:p>
        </w:tc>
        <w:tc>
          <w:tcPr>
            <w:tcW w:w="1233" w:type="dxa"/>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4</w:t>
            </w:r>
          </w:p>
        </w:tc>
        <w:tc>
          <w:tcPr>
            <w:tcW w:w="1080" w:type="dxa"/>
            <w:gridSpan w:val="2"/>
            <w:tcBorders>
              <w:top w:val="nil"/>
              <w:left w:val="nil"/>
              <w:bottom w:val="single" w:color="auto" w:sz="4" w:space="0"/>
              <w:right w:val="single" w:color="auto" w:sz="4" w:space="0"/>
            </w:tcBorders>
            <w:vAlign w:val="center"/>
          </w:tcPr>
          <w:p>
            <w:pPr>
              <w:widowControl/>
              <w:jc w:val="center"/>
              <w:rPr>
                <w:rFonts w:ascii="宋体" w:cs="宋体"/>
                <w:kern w:val="0"/>
                <w:szCs w:val="21"/>
              </w:rPr>
            </w:pPr>
            <w:r>
              <w:rPr>
                <w:rFonts w:ascii="宋体" w:hAnsi="宋体" w:cs="宋体"/>
                <w:kern w:val="0"/>
                <w:szCs w:val="21"/>
              </w:rPr>
              <w:t>5</w:t>
            </w:r>
          </w:p>
        </w:tc>
        <w:tc>
          <w:tcPr>
            <w:tcW w:w="725"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ascii="宋体" w:hAnsi="宋体" w:cs="宋体"/>
                <w:kern w:val="0"/>
                <w:sz w:val="24"/>
              </w:rPr>
              <w:t>6</w:t>
            </w:r>
          </w:p>
        </w:tc>
      </w:tr>
      <w:tr>
        <w:tblPrEx>
          <w:tblLayout w:type="fixed"/>
          <w:tblCellMar>
            <w:top w:w="0" w:type="dxa"/>
            <w:left w:w="108" w:type="dxa"/>
            <w:bottom w:w="0" w:type="dxa"/>
            <w:right w:w="108" w:type="dxa"/>
          </w:tblCellMar>
        </w:tblPrEx>
        <w:trPr>
          <w:trHeight w:val="285" w:hRule="atLeast"/>
        </w:trPr>
        <w:tc>
          <w:tcPr>
            <w:tcW w:w="379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合计</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129.20</w:t>
            </w:r>
          </w:p>
        </w:tc>
        <w:tc>
          <w:tcPr>
            <w:tcW w:w="94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129.20</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129.20</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文化体育与传媒支出</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94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91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20707</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国家电影事业发展专项资金及对应专项债务收入安排的支出</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94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2070799</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其他国家电影事业发展专项资金支出</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94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124.20</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其他支出</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94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22960</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hint="eastAsia" w:ascii="宋体" w:hAnsi="宋体" w:cs="宋体"/>
                <w:kern w:val="0"/>
                <w:szCs w:val="21"/>
              </w:rPr>
              <w:t>彩票公益金及对应专项债务收入安排的支出</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94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70"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2296010</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Cs w:val="21"/>
              </w:rPr>
            </w:pPr>
            <w:r>
              <w:rPr>
                <w:rFonts w:ascii="宋体" w:hAnsi="宋体" w:cs="宋体"/>
                <w:kern w:val="0"/>
                <w:szCs w:val="21"/>
              </w:rPr>
              <w:t xml:space="preserve">  </w:t>
            </w:r>
            <w:r>
              <w:rPr>
                <w:rFonts w:hint="eastAsia" w:ascii="宋体" w:hAnsi="宋体" w:cs="宋体"/>
                <w:kern w:val="0"/>
                <w:szCs w:val="21"/>
              </w:rPr>
              <w:t>用于文化事业的彩票公益金支出</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946" w:type="dxa"/>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right"/>
              <w:rPr>
                <w:rFonts w:ascii="宋体" w:cs="宋体"/>
                <w:kern w:val="0"/>
                <w:sz w:val="24"/>
              </w:rPr>
            </w:pPr>
            <w:r>
              <w:rPr>
                <w:rFonts w:ascii="宋体" w:hAnsi="宋体" w:cs="宋体"/>
                <w:kern w:val="0"/>
                <w:sz w:val="24"/>
              </w:rPr>
              <w:t>5.00</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4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4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4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4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4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1141" w:type="dxa"/>
            <w:gridSpan w:val="2"/>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2654"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1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48"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946"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33"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08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725"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85" w:hRule="atLeast"/>
        </w:trPr>
        <w:tc>
          <w:tcPr>
            <w:tcW w:w="9740" w:type="dxa"/>
            <w:gridSpan w:val="10"/>
            <w:tcBorders>
              <w:top w:val="nil"/>
              <w:left w:val="nil"/>
              <w:bottom w:val="nil"/>
              <w:right w:val="nil"/>
            </w:tcBorders>
            <w:vAlign w:val="center"/>
          </w:tcPr>
          <w:p>
            <w:pPr>
              <w:widowControl/>
              <w:jc w:val="left"/>
              <w:rPr>
                <w:rFonts w:ascii="宋体" w:cs="宋体"/>
                <w:kern w:val="0"/>
                <w:sz w:val="24"/>
              </w:rPr>
            </w:pPr>
            <w:r>
              <w:rPr>
                <w:rFonts w:hint="eastAsia" w:ascii="宋体" w:hAnsi="宋体" w:cs="宋体"/>
                <w:color w:val="000000"/>
                <w:kern w:val="0"/>
                <w:sz w:val="24"/>
                <w:szCs w:val="24"/>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gridBefore w:val="1"/>
          <w:wBefore w:w="14" w:type="dxa"/>
          <w:trHeight w:val="600" w:hRule="atLeast"/>
        </w:trPr>
        <w:tc>
          <w:tcPr>
            <w:tcW w:w="9726" w:type="dxa"/>
            <w:gridSpan w:val="9"/>
            <w:vAlign w:val="center"/>
          </w:tcPr>
          <w:p>
            <w:pPr>
              <w:widowControl/>
              <w:jc w:val="left"/>
              <w:textAlignment w:val="center"/>
              <w:rPr>
                <w:rFonts w:ascii="宋体" w:cs="宋体"/>
                <w:color w:val="000000"/>
                <w:sz w:val="16"/>
                <w:szCs w:val="16"/>
              </w:rPr>
            </w:pPr>
          </w:p>
        </w:tc>
      </w:tr>
    </w:tbl>
    <w:p>
      <w:pPr>
        <w:spacing w:line="360" w:lineRule="auto"/>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outlineLvl w:val="0"/>
        <w:rPr>
          <w:rFonts w:ascii="隶书" w:hAnsi="隶书" w:eastAsia="隶书" w:cs="隶书"/>
          <w:sz w:val="48"/>
          <w:szCs w:val="48"/>
        </w:rPr>
      </w:pPr>
    </w:p>
    <w:p>
      <w:pPr>
        <w:ind w:firstLine="2640" w:firstLineChars="550"/>
        <w:outlineLvl w:val="0"/>
        <w:rPr>
          <w:rFonts w:ascii="隶书" w:hAnsi="隶书" w:eastAsia="隶书" w:cs="隶书"/>
          <w:sz w:val="48"/>
          <w:szCs w:val="48"/>
        </w:rPr>
      </w:pPr>
      <w:r>
        <w:rPr>
          <w:rFonts w:hint="eastAsia" w:ascii="隶书" w:hAnsi="隶书" w:eastAsia="隶书" w:cs="隶书"/>
          <w:sz w:val="48"/>
          <w:szCs w:val="48"/>
        </w:rPr>
        <w:t>第三部分</w:t>
      </w:r>
    </w:p>
    <w:p>
      <w:pPr>
        <w:adjustRightInd w:val="0"/>
        <w:snapToGrid w:val="0"/>
        <w:spacing w:line="360" w:lineRule="auto"/>
        <w:jc w:val="center"/>
        <w:outlineLvl w:val="1"/>
        <w:rPr>
          <w:rFonts w:ascii="隶书" w:hAnsi="隶书" w:eastAsia="隶书" w:cs="隶书"/>
          <w:sz w:val="48"/>
          <w:szCs w:val="48"/>
        </w:rPr>
      </w:pPr>
      <w:r>
        <w:rPr>
          <w:rFonts w:hint="eastAsia" w:ascii="隶书" w:hAnsi="隶书" w:eastAsia="隶书" w:cs="隶书"/>
          <w:sz w:val="48"/>
          <w:szCs w:val="48"/>
        </w:rPr>
        <w:t>淮滨县文化广电新闻出版局</w:t>
      </w:r>
      <w:r>
        <w:rPr>
          <w:rFonts w:ascii="隶书" w:hAnsi="隶书" w:eastAsia="隶书" w:cs="隶书"/>
          <w:sz w:val="48"/>
          <w:szCs w:val="48"/>
        </w:rPr>
        <w:t>2016</w:t>
      </w:r>
      <w:r>
        <w:rPr>
          <w:rFonts w:hint="eastAsia" w:ascii="隶书" w:hAnsi="隶书" w:eastAsia="隶书" w:cs="隶书"/>
          <w:sz w:val="48"/>
          <w:szCs w:val="48"/>
        </w:rPr>
        <w:t>年度</w:t>
      </w:r>
    </w:p>
    <w:p>
      <w:pPr>
        <w:adjustRightInd w:val="0"/>
        <w:snapToGrid w:val="0"/>
        <w:spacing w:line="360" w:lineRule="auto"/>
        <w:jc w:val="center"/>
        <w:outlineLvl w:val="1"/>
        <w:rPr>
          <w:rFonts w:ascii="隶书" w:hAnsi="隶书" w:eastAsia="隶书" w:cs="隶书"/>
          <w:sz w:val="48"/>
          <w:szCs w:val="48"/>
        </w:rPr>
      </w:pPr>
      <w:r>
        <w:rPr>
          <w:rFonts w:hint="eastAsia" w:ascii="隶书" w:hAnsi="隶书" w:eastAsia="隶书" w:cs="隶书"/>
          <w:sz w:val="48"/>
          <w:szCs w:val="48"/>
        </w:rPr>
        <w:t>部门决算情况</w:t>
      </w:r>
    </w:p>
    <w:p>
      <w:pPr>
        <w:adjustRightInd w:val="0"/>
        <w:snapToGrid w:val="0"/>
        <w:spacing w:line="360" w:lineRule="auto"/>
        <w:outlineLvl w:val="1"/>
        <w:rPr>
          <w:rFonts w:ascii="隶书" w:hAnsi="隶书" w:eastAsia="隶书" w:cs="隶书"/>
          <w:sz w:val="48"/>
          <w:szCs w:val="48"/>
        </w:rPr>
      </w:pPr>
    </w:p>
    <w:p>
      <w:pPr>
        <w:adjustRightInd w:val="0"/>
        <w:snapToGrid w:val="0"/>
        <w:spacing w:line="360" w:lineRule="auto"/>
        <w:outlineLvl w:val="1"/>
        <w:rPr>
          <w:rFonts w:ascii="隶书" w:hAnsi="隶书" w:eastAsia="隶书" w:cs="隶书"/>
          <w:sz w:val="48"/>
          <w:szCs w:val="48"/>
        </w:rPr>
      </w:pPr>
    </w:p>
    <w:p>
      <w:pPr>
        <w:adjustRightInd w:val="0"/>
        <w:snapToGrid w:val="0"/>
        <w:spacing w:line="360" w:lineRule="auto"/>
        <w:outlineLvl w:val="1"/>
        <w:rPr>
          <w:rFonts w:ascii="隶书" w:hAnsi="隶书" w:eastAsia="隶书" w:cs="隶书"/>
          <w:sz w:val="48"/>
          <w:szCs w:val="48"/>
        </w:rPr>
      </w:pPr>
    </w:p>
    <w:p>
      <w:pPr>
        <w:adjustRightInd w:val="0"/>
        <w:snapToGrid w:val="0"/>
        <w:spacing w:line="360" w:lineRule="auto"/>
        <w:outlineLvl w:val="1"/>
        <w:rPr>
          <w:rFonts w:ascii="隶书" w:hAnsi="隶书" w:eastAsia="隶书" w:cs="隶书"/>
          <w:sz w:val="32"/>
          <w:szCs w:val="32"/>
        </w:rPr>
      </w:pPr>
    </w:p>
    <w:p>
      <w:p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一、关于收入支出决算总体情况说明</w:t>
      </w:r>
    </w:p>
    <w:p>
      <w:pPr>
        <w:adjustRightInd w:val="0"/>
        <w:snapToGrid w:val="0"/>
        <w:spacing w:line="360" w:lineRule="auto"/>
        <w:ind w:firstLine="640" w:firstLineChars="200"/>
        <w:rPr>
          <w:rFonts w:ascii="宋体" w:cs="Courier New"/>
          <w:sz w:val="32"/>
          <w:szCs w:val="32"/>
        </w:rPr>
      </w:pPr>
      <w:r>
        <w:rPr>
          <w:rFonts w:ascii="宋体" w:hAnsi="宋体" w:cs="Courier New"/>
          <w:sz w:val="32"/>
          <w:szCs w:val="32"/>
        </w:rPr>
        <w:t>2016</w:t>
      </w:r>
      <w:r>
        <w:rPr>
          <w:rFonts w:hint="eastAsia" w:ascii="宋体" w:hAnsi="宋体" w:cs="Courier New"/>
          <w:sz w:val="32"/>
          <w:szCs w:val="32"/>
        </w:rPr>
        <w:t>年度，收入</w:t>
      </w:r>
      <w:r>
        <w:rPr>
          <w:rFonts w:hint="eastAsia" w:ascii="宋体" w:hAnsi="宋体"/>
          <w:sz w:val="32"/>
          <w:szCs w:val="32"/>
        </w:rPr>
        <w:t>决算</w:t>
      </w:r>
      <w:r>
        <w:rPr>
          <w:rFonts w:hint="eastAsia" w:ascii="宋体" w:hAnsi="宋体" w:cs="Courier New"/>
          <w:sz w:val="32"/>
          <w:szCs w:val="32"/>
        </w:rPr>
        <w:t>总计</w:t>
      </w:r>
      <w:r>
        <w:rPr>
          <w:rFonts w:ascii="宋体" w:hAnsi="宋体" w:cs="Courier New"/>
          <w:sz w:val="32"/>
          <w:szCs w:val="32"/>
        </w:rPr>
        <w:t>5915.39</w:t>
      </w:r>
      <w:r>
        <w:rPr>
          <w:rFonts w:hint="eastAsia" w:ascii="宋体" w:hAnsi="宋体" w:cs="Courier New"/>
          <w:sz w:val="32"/>
          <w:szCs w:val="32"/>
        </w:rPr>
        <w:t>万元，与</w:t>
      </w:r>
      <w:r>
        <w:rPr>
          <w:rFonts w:ascii="宋体" w:hAnsi="宋体" w:cs="Courier New"/>
          <w:sz w:val="32"/>
          <w:szCs w:val="32"/>
        </w:rPr>
        <w:t>2015</w:t>
      </w:r>
      <w:r>
        <w:rPr>
          <w:rFonts w:hint="eastAsia" w:ascii="宋体" w:hAnsi="宋体" w:cs="Courier New"/>
          <w:sz w:val="32"/>
          <w:szCs w:val="32"/>
        </w:rPr>
        <w:t>年相比收入增加</w:t>
      </w:r>
      <w:r>
        <w:rPr>
          <w:rFonts w:ascii="宋体" w:hAnsi="宋体" w:cs="Courier New"/>
          <w:sz w:val="32"/>
          <w:szCs w:val="32"/>
        </w:rPr>
        <w:t>4400.23</w:t>
      </w:r>
      <w:r>
        <w:rPr>
          <w:rFonts w:hint="eastAsia" w:ascii="宋体" w:hAnsi="宋体" w:cs="Courier New"/>
          <w:sz w:val="32"/>
          <w:szCs w:val="32"/>
        </w:rPr>
        <w:t>万元，主要是因为</w:t>
      </w:r>
      <w:r>
        <w:rPr>
          <w:rFonts w:ascii="宋体" w:hAnsi="宋体" w:cs="Courier New"/>
          <w:sz w:val="32"/>
          <w:szCs w:val="32"/>
        </w:rPr>
        <w:t>2016</w:t>
      </w:r>
      <w:r>
        <w:rPr>
          <w:rFonts w:hint="eastAsia" w:ascii="宋体" w:hAnsi="宋体" w:cs="Courier New"/>
          <w:sz w:val="32"/>
          <w:szCs w:val="32"/>
        </w:rPr>
        <w:t>年度拨付整合使用财政涉农资金及博物馆工程项目资金。支出</w:t>
      </w:r>
      <w:r>
        <w:rPr>
          <w:rFonts w:hint="eastAsia" w:ascii="宋体" w:hAnsi="宋体"/>
          <w:sz w:val="32"/>
          <w:szCs w:val="32"/>
        </w:rPr>
        <w:t>决算</w:t>
      </w:r>
      <w:r>
        <w:rPr>
          <w:rFonts w:hint="eastAsia" w:ascii="宋体" w:hAnsi="宋体" w:cs="Courier New"/>
          <w:sz w:val="32"/>
          <w:szCs w:val="32"/>
        </w:rPr>
        <w:t>总计</w:t>
      </w:r>
      <w:r>
        <w:rPr>
          <w:rFonts w:ascii="宋体" w:hAnsi="宋体" w:cs="Courier New"/>
          <w:sz w:val="32"/>
          <w:szCs w:val="32"/>
        </w:rPr>
        <w:t>1851.38</w:t>
      </w:r>
      <w:r>
        <w:rPr>
          <w:rFonts w:hint="eastAsia" w:ascii="宋体" w:hAnsi="宋体" w:cs="Courier New"/>
          <w:sz w:val="32"/>
          <w:szCs w:val="32"/>
        </w:rPr>
        <w:t>万元，与</w:t>
      </w:r>
      <w:r>
        <w:rPr>
          <w:rFonts w:ascii="宋体" w:hAnsi="宋体" w:cs="Courier New"/>
          <w:sz w:val="32"/>
          <w:szCs w:val="32"/>
        </w:rPr>
        <w:t>2015</w:t>
      </w:r>
      <w:r>
        <w:rPr>
          <w:rFonts w:hint="eastAsia" w:ascii="宋体" w:hAnsi="宋体" w:cs="Courier New"/>
          <w:sz w:val="32"/>
          <w:szCs w:val="32"/>
        </w:rPr>
        <w:t>年相比支出增加</w:t>
      </w:r>
      <w:r>
        <w:rPr>
          <w:rFonts w:ascii="宋体" w:hAnsi="宋体" w:cs="Courier New"/>
          <w:sz w:val="32"/>
          <w:szCs w:val="32"/>
        </w:rPr>
        <w:t>336.22</w:t>
      </w:r>
      <w:r>
        <w:rPr>
          <w:rFonts w:hint="eastAsia" w:ascii="宋体" w:hAnsi="宋体" w:cs="Courier New"/>
          <w:sz w:val="32"/>
          <w:szCs w:val="32"/>
        </w:rPr>
        <w:t>万元，主要是博物馆工程支出及人员增资、社保费用等。</w:t>
      </w:r>
    </w:p>
    <w:p>
      <w:p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二、关于收入决算情况说明</w:t>
      </w:r>
    </w:p>
    <w:p>
      <w:pPr>
        <w:adjustRightInd w:val="0"/>
        <w:snapToGrid w:val="0"/>
        <w:spacing w:line="360" w:lineRule="auto"/>
        <w:ind w:firstLine="640" w:firstLineChars="200"/>
        <w:rPr>
          <w:rFonts w:ascii="宋体"/>
          <w:sz w:val="32"/>
          <w:szCs w:val="32"/>
        </w:rPr>
      </w:pPr>
      <w:r>
        <w:rPr>
          <w:rFonts w:ascii="宋体" w:hAnsi="宋体" w:cs="Courier New"/>
          <w:sz w:val="32"/>
          <w:szCs w:val="32"/>
        </w:rPr>
        <w:t>2016</w:t>
      </w:r>
      <w:r>
        <w:rPr>
          <w:rFonts w:hint="eastAsia" w:ascii="宋体" w:hAnsi="宋体" w:cs="Courier New"/>
          <w:sz w:val="32"/>
          <w:szCs w:val="32"/>
        </w:rPr>
        <w:t>年度</w:t>
      </w:r>
      <w:r>
        <w:rPr>
          <w:rFonts w:hint="eastAsia" w:ascii="宋体" w:hAnsi="宋体"/>
          <w:sz w:val="32"/>
          <w:szCs w:val="32"/>
        </w:rPr>
        <w:t>收入合计</w:t>
      </w:r>
      <w:r>
        <w:rPr>
          <w:rFonts w:ascii="宋体" w:hAnsi="宋体"/>
          <w:sz w:val="32"/>
          <w:szCs w:val="32"/>
        </w:rPr>
        <w:t>5915.39</w:t>
      </w:r>
      <w:r>
        <w:rPr>
          <w:rFonts w:hint="eastAsia" w:ascii="宋体" w:hAnsi="宋体"/>
          <w:sz w:val="32"/>
          <w:szCs w:val="32"/>
        </w:rPr>
        <w:t>万元，全部为财政拨款收入</w:t>
      </w:r>
      <w:r>
        <w:rPr>
          <w:rFonts w:ascii="宋体" w:hAnsi="宋体"/>
          <w:sz w:val="32"/>
          <w:szCs w:val="32"/>
        </w:rPr>
        <w:t xml:space="preserve"> </w:t>
      </w:r>
      <w:r>
        <w:rPr>
          <w:rFonts w:hint="eastAsia" w:ascii="宋体" w:hAnsi="宋体"/>
          <w:sz w:val="32"/>
          <w:szCs w:val="32"/>
        </w:rPr>
        <w:t>，无其他收入。</w:t>
      </w:r>
    </w:p>
    <w:p>
      <w:pPr>
        <w:adjustRightInd w:val="0"/>
        <w:snapToGrid w:val="0"/>
        <w:spacing w:line="360" w:lineRule="auto"/>
        <w:ind w:left="480"/>
        <w:outlineLvl w:val="1"/>
        <w:rPr>
          <w:rFonts w:ascii="黑体" w:hAnsi="黑体" w:eastAsia="黑体"/>
          <w:sz w:val="32"/>
          <w:szCs w:val="32"/>
        </w:rPr>
      </w:pPr>
      <w:r>
        <w:rPr>
          <w:rFonts w:hint="eastAsia" w:ascii="黑体" w:hAnsi="黑体" w:eastAsia="黑体"/>
          <w:sz w:val="32"/>
          <w:szCs w:val="32"/>
        </w:rPr>
        <w:t>三、关于支出决算情况说明</w:t>
      </w:r>
    </w:p>
    <w:p>
      <w:pPr>
        <w:adjustRightInd w:val="0"/>
        <w:snapToGrid w:val="0"/>
        <w:spacing w:line="360" w:lineRule="auto"/>
        <w:ind w:firstLine="640" w:firstLineChars="200"/>
        <w:rPr>
          <w:rFonts w:ascii="仿宋" w:hAnsi="仿宋" w:eastAsia="仿宋" w:cs="Courier New"/>
          <w:sz w:val="32"/>
          <w:szCs w:val="32"/>
        </w:rPr>
      </w:pPr>
      <w:r>
        <w:rPr>
          <w:rFonts w:ascii="仿宋" w:hAnsi="仿宋" w:eastAsia="仿宋" w:cs="Courier New"/>
          <w:sz w:val="32"/>
          <w:szCs w:val="32"/>
        </w:rPr>
        <w:t>2016</w:t>
      </w:r>
      <w:r>
        <w:rPr>
          <w:rFonts w:hint="eastAsia" w:ascii="仿宋" w:hAnsi="仿宋" w:eastAsia="仿宋" w:cs="Courier New"/>
          <w:sz w:val="32"/>
          <w:szCs w:val="32"/>
        </w:rPr>
        <w:t>年度支出合计</w:t>
      </w:r>
      <w:r>
        <w:rPr>
          <w:rFonts w:ascii="仿宋" w:hAnsi="仿宋" w:eastAsia="仿宋" w:cs="Courier New"/>
          <w:sz w:val="32"/>
          <w:szCs w:val="32"/>
        </w:rPr>
        <w:t>1851.38</w:t>
      </w:r>
      <w:r>
        <w:rPr>
          <w:rFonts w:hint="eastAsia" w:ascii="仿宋" w:hAnsi="仿宋" w:eastAsia="仿宋" w:cs="Courier New"/>
          <w:sz w:val="32"/>
          <w:szCs w:val="32"/>
        </w:rPr>
        <w:t>万元，其中：基本支出</w:t>
      </w:r>
      <w:r>
        <w:rPr>
          <w:rFonts w:ascii="仿宋" w:hAnsi="仿宋" w:eastAsia="仿宋" w:cs="Courier New"/>
          <w:sz w:val="32"/>
          <w:szCs w:val="32"/>
        </w:rPr>
        <w:t>1106.99</w:t>
      </w:r>
      <w:r>
        <w:rPr>
          <w:rFonts w:hint="eastAsia" w:ascii="仿宋" w:hAnsi="仿宋" w:eastAsia="仿宋" w:cs="Courier New"/>
          <w:sz w:val="32"/>
          <w:szCs w:val="32"/>
        </w:rPr>
        <w:t>万元，占</w:t>
      </w:r>
      <w:r>
        <w:rPr>
          <w:rFonts w:ascii="仿宋" w:hAnsi="仿宋" w:eastAsia="仿宋" w:cs="Courier New"/>
          <w:sz w:val="32"/>
          <w:szCs w:val="32"/>
        </w:rPr>
        <w:t>59.79%</w:t>
      </w:r>
      <w:r>
        <w:rPr>
          <w:rFonts w:hint="eastAsia" w:ascii="仿宋" w:hAnsi="仿宋" w:eastAsia="仿宋" w:cs="Courier New"/>
          <w:sz w:val="32"/>
          <w:szCs w:val="32"/>
        </w:rPr>
        <w:t>；项目支出</w:t>
      </w:r>
      <w:r>
        <w:rPr>
          <w:rFonts w:ascii="仿宋" w:hAnsi="仿宋" w:eastAsia="仿宋" w:cs="Courier New"/>
          <w:sz w:val="32"/>
          <w:szCs w:val="32"/>
        </w:rPr>
        <w:t>744.39</w:t>
      </w:r>
      <w:r>
        <w:rPr>
          <w:rFonts w:hint="eastAsia" w:ascii="仿宋" w:hAnsi="仿宋" w:eastAsia="仿宋" w:cs="Courier New"/>
          <w:sz w:val="32"/>
          <w:szCs w:val="32"/>
        </w:rPr>
        <w:t>万元，占</w:t>
      </w:r>
      <w:r>
        <w:rPr>
          <w:rFonts w:ascii="仿宋" w:hAnsi="仿宋" w:eastAsia="仿宋" w:cs="Courier New"/>
          <w:sz w:val="32"/>
          <w:szCs w:val="32"/>
        </w:rPr>
        <w:t>40.21%</w:t>
      </w:r>
      <w:r>
        <w:rPr>
          <w:rFonts w:hint="eastAsia" w:ascii="仿宋" w:hAnsi="仿宋" w:eastAsia="仿宋" w:cs="Courier New"/>
          <w:sz w:val="32"/>
          <w:szCs w:val="32"/>
        </w:rPr>
        <w:t>。</w:t>
      </w:r>
    </w:p>
    <w:p>
      <w:pPr>
        <w:adjustRightInd w:val="0"/>
        <w:snapToGrid w:val="0"/>
        <w:spacing w:line="360" w:lineRule="auto"/>
        <w:ind w:left="480"/>
        <w:outlineLvl w:val="1"/>
        <w:rPr>
          <w:rFonts w:ascii="黑体" w:hAnsi="黑体" w:eastAsia="黑体"/>
          <w:sz w:val="32"/>
          <w:szCs w:val="32"/>
        </w:rPr>
      </w:pPr>
      <w:r>
        <w:rPr>
          <w:rFonts w:hint="eastAsia" w:ascii="黑体" w:hAnsi="黑体" w:eastAsia="黑体"/>
          <w:sz w:val="32"/>
          <w:szCs w:val="32"/>
        </w:rPr>
        <w:t>四、关于一般公共预算财政拨款基本支出决算情况说明</w:t>
      </w:r>
    </w:p>
    <w:p>
      <w:pPr>
        <w:adjustRightInd w:val="0"/>
        <w:snapToGrid w:val="0"/>
        <w:spacing w:line="360" w:lineRule="auto"/>
        <w:ind w:firstLine="640" w:firstLineChars="200"/>
        <w:rPr>
          <w:rFonts w:ascii="仿宋" w:hAnsi="仿宋" w:eastAsia="仿宋" w:cs="Courier New"/>
          <w:sz w:val="32"/>
          <w:szCs w:val="32"/>
        </w:rPr>
      </w:pPr>
      <w:r>
        <w:rPr>
          <w:rFonts w:ascii="仿宋" w:hAnsi="仿宋" w:eastAsia="仿宋" w:cs="Courier New"/>
          <w:sz w:val="32"/>
          <w:szCs w:val="32"/>
        </w:rPr>
        <w:t>2016</w:t>
      </w:r>
      <w:r>
        <w:rPr>
          <w:rFonts w:hint="eastAsia" w:ascii="仿宋" w:hAnsi="仿宋" w:eastAsia="仿宋" w:cs="Courier New"/>
          <w:sz w:val="32"/>
          <w:szCs w:val="32"/>
        </w:rPr>
        <w:t>年一般公共预算财政拨款基本支出</w:t>
      </w:r>
      <w:r>
        <w:rPr>
          <w:rFonts w:ascii="仿宋" w:hAnsi="仿宋" w:eastAsia="仿宋" w:cs="Courier New"/>
          <w:sz w:val="32"/>
          <w:szCs w:val="32"/>
        </w:rPr>
        <w:t>1106.99</w:t>
      </w:r>
      <w:r>
        <w:rPr>
          <w:rFonts w:hint="eastAsia" w:ascii="仿宋" w:hAnsi="仿宋" w:eastAsia="仿宋" w:cs="Courier New"/>
          <w:sz w:val="32"/>
          <w:szCs w:val="32"/>
        </w:rPr>
        <w:t>万元，其中：</w:t>
      </w:r>
      <w:r>
        <w:rPr>
          <w:rFonts w:hint="eastAsia" w:ascii="仿宋" w:hAnsi="仿宋" w:eastAsia="仿宋" w:cs="仿宋_GB2312"/>
          <w:bCs/>
          <w:spacing w:val="-1"/>
          <w:kern w:val="0"/>
          <w:sz w:val="32"/>
          <w:szCs w:val="32"/>
        </w:rPr>
        <w:t>人员经费</w:t>
      </w:r>
      <w:r>
        <w:rPr>
          <w:rFonts w:ascii="仿宋" w:hAnsi="仿宋" w:eastAsia="仿宋" w:cs="仿宋_GB2312"/>
          <w:bCs/>
          <w:spacing w:val="-1"/>
          <w:kern w:val="0"/>
          <w:sz w:val="32"/>
          <w:szCs w:val="32"/>
        </w:rPr>
        <w:t>508.98</w:t>
      </w:r>
      <w:r>
        <w:rPr>
          <w:rFonts w:hint="eastAsia" w:ascii="仿宋" w:hAnsi="仿宋" w:eastAsia="仿宋" w:cs="仿宋_GB2312"/>
          <w:bCs/>
          <w:spacing w:val="-1"/>
          <w:kern w:val="0"/>
          <w:sz w:val="32"/>
          <w:szCs w:val="32"/>
        </w:rPr>
        <w:t>万元</w:t>
      </w:r>
      <w:r>
        <w:rPr>
          <w:rFonts w:hint="eastAsia" w:ascii="仿宋" w:hAnsi="仿宋" w:eastAsia="仿宋" w:cs="Courier New"/>
          <w:bCs/>
          <w:sz w:val="32"/>
          <w:szCs w:val="32"/>
        </w:rPr>
        <w:t>，</w:t>
      </w:r>
      <w:r>
        <w:rPr>
          <w:rFonts w:hint="eastAsia" w:ascii="仿宋" w:hAnsi="仿宋" w:eastAsia="仿宋" w:cs="Courier New"/>
          <w:sz w:val="32"/>
          <w:szCs w:val="32"/>
        </w:rPr>
        <w:t>主要包括：基本工资、津贴补贴、伙食补助费、绩效工资、养老保险、职业年金等；</w:t>
      </w:r>
      <w:r>
        <w:rPr>
          <w:rFonts w:hint="eastAsia" w:ascii="仿宋" w:hAnsi="仿宋" w:eastAsia="仿宋" w:cs="仿宋_GB2312"/>
          <w:spacing w:val="-1"/>
          <w:kern w:val="0"/>
          <w:sz w:val="32"/>
          <w:szCs w:val="32"/>
        </w:rPr>
        <w:t>商品服务支出</w:t>
      </w:r>
      <w:r>
        <w:rPr>
          <w:rFonts w:ascii="仿宋" w:hAnsi="仿宋" w:eastAsia="仿宋" w:cs="仿宋_GB2312"/>
          <w:spacing w:val="-2"/>
          <w:kern w:val="0"/>
          <w:sz w:val="32"/>
          <w:szCs w:val="32"/>
        </w:rPr>
        <w:t>262.10</w:t>
      </w:r>
      <w:r>
        <w:rPr>
          <w:rFonts w:hint="eastAsia" w:ascii="仿宋" w:hAnsi="仿宋" w:eastAsia="仿宋" w:cs="仿宋_GB2312"/>
          <w:spacing w:val="-2"/>
          <w:kern w:val="0"/>
          <w:sz w:val="32"/>
          <w:szCs w:val="32"/>
        </w:rPr>
        <w:t>万元</w:t>
      </w:r>
      <w:r>
        <w:rPr>
          <w:rFonts w:hint="eastAsia" w:ascii="仿宋" w:hAnsi="仿宋" w:eastAsia="仿宋" w:cs="Courier New"/>
          <w:sz w:val="32"/>
          <w:szCs w:val="32"/>
        </w:rPr>
        <w:t>，主要包括：办公费、印刷费、水电费、差旅费、交通费、维修（维护）费、公务接待费、公车运行维护费、工会经费等；对个人和家庭的补助支出</w:t>
      </w:r>
      <w:r>
        <w:rPr>
          <w:rFonts w:ascii="仿宋" w:hAnsi="仿宋" w:eastAsia="仿宋" w:cs="Courier New"/>
          <w:sz w:val="32"/>
          <w:szCs w:val="32"/>
        </w:rPr>
        <w:t>242.80</w:t>
      </w:r>
      <w:r>
        <w:rPr>
          <w:rFonts w:hint="eastAsia" w:ascii="仿宋" w:hAnsi="仿宋" w:eastAsia="仿宋" w:cs="Courier New"/>
          <w:sz w:val="32"/>
          <w:szCs w:val="32"/>
        </w:rPr>
        <w:t>万元，主要包括</w:t>
      </w:r>
      <w:r>
        <w:rPr>
          <w:rFonts w:ascii="仿宋" w:hAnsi="仿宋" w:eastAsia="仿宋" w:cs="Courier New"/>
          <w:sz w:val="32"/>
          <w:szCs w:val="32"/>
        </w:rPr>
        <w:t>:</w:t>
      </w:r>
      <w:r>
        <w:rPr>
          <w:rFonts w:hint="eastAsia" w:ascii="仿宋" w:hAnsi="仿宋" w:eastAsia="仿宋" w:cs="Courier New"/>
          <w:sz w:val="32"/>
          <w:szCs w:val="32"/>
        </w:rPr>
        <w:t>退休费、抚恤金、医疗费、解困救济、住房公积金等；其他资本性支出</w:t>
      </w:r>
      <w:r>
        <w:rPr>
          <w:rFonts w:ascii="仿宋" w:hAnsi="仿宋" w:eastAsia="仿宋" w:cs="Courier New"/>
          <w:sz w:val="32"/>
          <w:szCs w:val="32"/>
        </w:rPr>
        <w:t>93.10</w:t>
      </w:r>
      <w:r>
        <w:rPr>
          <w:rFonts w:hint="eastAsia" w:ascii="仿宋" w:hAnsi="仿宋" w:eastAsia="仿宋" w:cs="Courier New"/>
          <w:sz w:val="32"/>
          <w:szCs w:val="32"/>
        </w:rPr>
        <w:t>万元</w:t>
      </w:r>
      <w:r>
        <w:rPr>
          <w:rFonts w:ascii="仿宋" w:hAnsi="仿宋" w:eastAsia="仿宋" w:cs="Courier New"/>
          <w:sz w:val="32"/>
          <w:szCs w:val="32"/>
        </w:rPr>
        <w:t>,</w:t>
      </w:r>
      <w:r>
        <w:rPr>
          <w:rFonts w:hint="eastAsia" w:ascii="仿宋" w:hAnsi="仿宋" w:eastAsia="仿宋" w:cs="Courier New"/>
          <w:sz w:val="32"/>
          <w:szCs w:val="32"/>
        </w:rPr>
        <w:t>主要包括：办公设备、专用设备等。</w:t>
      </w:r>
    </w:p>
    <w:p>
      <w:pPr>
        <w:adjustRightInd w:val="0"/>
        <w:snapToGrid w:val="0"/>
        <w:spacing w:line="360" w:lineRule="auto"/>
        <w:ind w:left="360"/>
        <w:outlineLvl w:val="1"/>
        <w:rPr>
          <w:rFonts w:ascii="黑体" w:hAnsi="黑体" w:eastAsia="黑体"/>
          <w:sz w:val="32"/>
          <w:szCs w:val="32"/>
        </w:rPr>
      </w:pPr>
      <w:r>
        <w:rPr>
          <w:rFonts w:hint="eastAsia" w:ascii="黑体" w:hAnsi="黑体" w:eastAsia="黑体"/>
          <w:sz w:val="32"/>
          <w:szCs w:val="32"/>
        </w:rPr>
        <w:t>五、关于一般公共预算财政拨款“三公”经费支出决算</w:t>
      </w:r>
    </w:p>
    <w:p>
      <w:pPr>
        <w:adjustRightInd w:val="0"/>
        <w:snapToGrid w:val="0"/>
        <w:spacing w:line="360" w:lineRule="auto"/>
        <w:outlineLvl w:val="1"/>
        <w:rPr>
          <w:rFonts w:ascii="黑体" w:hAnsi="黑体" w:eastAsia="黑体"/>
          <w:sz w:val="32"/>
          <w:szCs w:val="32"/>
        </w:rPr>
      </w:pPr>
      <w:r>
        <w:rPr>
          <w:rFonts w:hint="eastAsia" w:ascii="黑体" w:hAnsi="黑体" w:eastAsia="黑体"/>
          <w:sz w:val="32"/>
          <w:szCs w:val="32"/>
        </w:rPr>
        <w:t>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eastAsia" w:ascii="宋体" w:hAnsi="宋体" w:eastAsia="宋体" w:cs="宋体"/>
          <w:b w:val="0"/>
          <w:i w:val="0"/>
          <w:caps w:val="0"/>
          <w:color w:val="000000"/>
          <w:spacing w:val="0"/>
          <w:sz w:val="32"/>
          <w:szCs w:val="32"/>
        </w:rPr>
      </w:pPr>
      <w:r>
        <w:rPr>
          <w:rFonts w:ascii="仿宋" w:hAnsi="仿宋" w:eastAsia="仿宋" w:cs="Courier New"/>
          <w:sz w:val="32"/>
          <w:szCs w:val="32"/>
        </w:rPr>
        <w:t>2016</w:t>
      </w:r>
      <w:r>
        <w:rPr>
          <w:rFonts w:hint="eastAsia" w:ascii="仿宋" w:hAnsi="仿宋" w:eastAsia="仿宋" w:cs="Courier New"/>
          <w:sz w:val="32"/>
          <w:szCs w:val="32"/>
        </w:rPr>
        <w:t>年度“三公”经费财政拨款支出预算为</w:t>
      </w:r>
      <w:r>
        <w:rPr>
          <w:rFonts w:ascii="仿宋" w:hAnsi="仿宋" w:eastAsia="仿宋" w:cs="Courier New"/>
          <w:sz w:val="32"/>
          <w:szCs w:val="32"/>
        </w:rPr>
        <w:t>16.60</w:t>
      </w:r>
      <w:r>
        <w:rPr>
          <w:rFonts w:hint="eastAsia" w:ascii="仿宋" w:hAnsi="仿宋" w:eastAsia="仿宋" w:cs="Courier New"/>
          <w:sz w:val="32"/>
          <w:szCs w:val="32"/>
        </w:rPr>
        <w:t>万元，支出决算为</w:t>
      </w:r>
      <w:r>
        <w:rPr>
          <w:rFonts w:ascii="仿宋" w:hAnsi="仿宋" w:eastAsia="仿宋" w:cs="Courier New"/>
          <w:sz w:val="32"/>
          <w:szCs w:val="32"/>
        </w:rPr>
        <w:t>12.92</w:t>
      </w:r>
      <w:r>
        <w:rPr>
          <w:rFonts w:hint="eastAsia" w:ascii="仿宋" w:hAnsi="仿宋" w:eastAsia="仿宋" w:cs="Courier New"/>
          <w:sz w:val="32"/>
          <w:szCs w:val="32"/>
        </w:rPr>
        <w:t>万元，比</w:t>
      </w:r>
      <w:r>
        <w:rPr>
          <w:rFonts w:ascii="仿宋" w:hAnsi="仿宋" w:eastAsia="仿宋" w:cs="Courier New"/>
          <w:sz w:val="32"/>
          <w:szCs w:val="32"/>
        </w:rPr>
        <w:t>2015</w:t>
      </w:r>
      <w:r>
        <w:rPr>
          <w:rFonts w:hint="eastAsia" w:ascii="仿宋" w:hAnsi="仿宋" w:eastAsia="仿宋" w:cs="Courier New"/>
          <w:sz w:val="32"/>
          <w:szCs w:val="32"/>
        </w:rPr>
        <w:t>年减少</w:t>
      </w:r>
      <w:r>
        <w:rPr>
          <w:rFonts w:ascii="仿宋" w:hAnsi="仿宋" w:eastAsia="仿宋" w:cs="Courier New"/>
          <w:sz w:val="32"/>
          <w:szCs w:val="32"/>
        </w:rPr>
        <w:t>5.28</w:t>
      </w:r>
      <w:r>
        <w:rPr>
          <w:rFonts w:hint="eastAsia" w:ascii="仿宋" w:hAnsi="仿宋" w:eastAsia="仿宋" w:cs="Courier New"/>
          <w:sz w:val="32"/>
          <w:szCs w:val="32"/>
        </w:rPr>
        <w:t>万元，完成当年预算的</w:t>
      </w:r>
      <w:r>
        <w:rPr>
          <w:rFonts w:ascii="仿宋" w:hAnsi="仿宋" w:eastAsia="仿宋" w:cs="Courier New"/>
          <w:sz w:val="32"/>
          <w:szCs w:val="32"/>
        </w:rPr>
        <w:t>77.83%</w:t>
      </w:r>
      <w:r>
        <w:rPr>
          <w:rFonts w:hint="eastAsia" w:ascii="仿宋" w:hAnsi="仿宋" w:eastAsia="仿宋" w:cs="Courier New"/>
          <w:sz w:val="32"/>
          <w:szCs w:val="32"/>
        </w:rPr>
        <w:t>。其中：</w:t>
      </w:r>
      <w:r>
        <w:rPr>
          <w:rFonts w:ascii="仿宋" w:hAnsi="仿宋" w:eastAsia="仿宋" w:cs="Courier New"/>
          <w:sz w:val="32"/>
          <w:szCs w:val="32"/>
        </w:rPr>
        <w:t xml:space="preserve"> </w:t>
      </w:r>
      <w:r>
        <w:rPr>
          <w:rFonts w:hint="eastAsia" w:ascii="仿宋" w:hAnsi="仿宋" w:eastAsia="仿宋" w:cs="Courier New"/>
          <w:sz w:val="32"/>
          <w:szCs w:val="32"/>
        </w:rPr>
        <w:t>公务用车购置及运行费支出决算为</w:t>
      </w:r>
      <w:r>
        <w:rPr>
          <w:rFonts w:ascii="仿宋" w:hAnsi="仿宋" w:eastAsia="仿宋" w:cs="Courier New"/>
          <w:sz w:val="32"/>
          <w:szCs w:val="32"/>
        </w:rPr>
        <w:t>4.22</w:t>
      </w:r>
      <w:r>
        <w:rPr>
          <w:rFonts w:hint="eastAsia" w:ascii="仿宋" w:hAnsi="仿宋" w:eastAsia="仿宋" w:cs="Courier New"/>
          <w:sz w:val="32"/>
          <w:szCs w:val="32"/>
        </w:rPr>
        <w:t>万元，比</w:t>
      </w:r>
      <w:r>
        <w:rPr>
          <w:rFonts w:ascii="仿宋" w:hAnsi="仿宋" w:eastAsia="仿宋" w:cs="Courier New"/>
          <w:sz w:val="32"/>
          <w:szCs w:val="32"/>
        </w:rPr>
        <w:t>2015</w:t>
      </w:r>
      <w:r>
        <w:rPr>
          <w:rFonts w:hint="eastAsia" w:ascii="仿宋" w:hAnsi="仿宋" w:eastAsia="仿宋" w:cs="Courier New"/>
          <w:sz w:val="32"/>
          <w:szCs w:val="32"/>
        </w:rPr>
        <w:t>年减少</w:t>
      </w:r>
      <w:r>
        <w:rPr>
          <w:rFonts w:ascii="仿宋" w:hAnsi="仿宋" w:eastAsia="仿宋" w:cs="Courier New"/>
          <w:sz w:val="32"/>
          <w:szCs w:val="32"/>
        </w:rPr>
        <w:t>5.28</w:t>
      </w:r>
      <w:r>
        <w:rPr>
          <w:rFonts w:hint="eastAsia" w:ascii="仿宋" w:hAnsi="仿宋" w:eastAsia="仿宋" w:cs="Courier New"/>
          <w:sz w:val="32"/>
          <w:szCs w:val="32"/>
        </w:rPr>
        <w:t>万元，主要用于全局行政执法车辆运行支出，完成当年预算的</w:t>
      </w:r>
      <w:r>
        <w:rPr>
          <w:rFonts w:ascii="仿宋" w:hAnsi="仿宋" w:eastAsia="仿宋" w:cs="Courier New"/>
          <w:sz w:val="32"/>
          <w:szCs w:val="32"/>
        </w:rPr>
        <w:t>54.12%</w:t>
      </w:r>
      <w:r>
        <w:rPr>
          <w:rFonts w:hint="eastAsia" w:ascii="仿宋" w:hAnsi="仿宋" w:eastAsia="仿宋" w:cs="Courier New"/>
          <w:sz w:val="32"/>
          <w:szCs w:val="32"/>
        </w:rPr>
        <w:t>；公务接待费支出决算为</w:t>
      </w:r>
      <w:r>
        <w:rPr>
          <w:rFonts w:ascii="仿宋" w:hAnsi="仿宋" w:eastAsia="仿宋" w:cs="Courier New"/>
          <w:sz w:val="32"/>
          <w:szCs w:val="32"/>
        </w:rPr>
        <w:t>8.70</w:t>
      </w:r>
      <w:r>
        <w:rPr>
          <w:rFonts w:hint="eastAsia" w:ascii="仿宋" w:hAnsi="仿宋" w:eastAsia="仿宋" w:cs="Courier New"/>
          <w:sz w:val="32"/>
          <w:szCs w:val="32"/>
        </w:rPr>
        <w:t>万元，主要用于全局公务接待费支出，与上年持平，完成当年预算的</w:t>
      </w:r>
      <w:r>
        <w:rPr>
          <w:rFonts w:ascii="仿宋" w:hAnsi="仿宋" w:eastAsia="仿宋" w:cs="Courier New"/>
          <w:sz w:val="32"/>
          <w:szCs w:val="32"/>
        </w:rPr>
        <w:t>98.86%</w:t>
      </w:r>
      <w:r>
        <w:rPr>
          <w:rFonts w:hint="eastAsia" w:ascii="仿宋" w:hAnsi="仿宋" w:eastAsia="仿宋" w:cs="Courier New"/>
          <w:sz w:val="32"/>
          <w:szCs w:val="32"/>
          <w:lang w:eastAsia="zh-CN"/>
        </w:rPr>
        <w:t>。</w:t>
      </w:r>
      <w:r>
        <w:rPr>
          <w:rFonts w:hint="eastAsia" w:ascii="宋体" w:hAnsi="宋体" w:eastAsia="宋体" w:cs="宋体"/>
          <w:b w:val="0"/>
          <w:i w:val="0"/>
          <w:caps w:val="0"/>
          <w:color w:val="000000"/>
          <w:spacing w:val="0"/>
          <w:sz w:val="32"/>
          <w:szCs w:val="32"/>
          <w:shd w:val="clear" w:fill="FFFFFF"/>
        </w:rPr>
        <w:t>2016年全局公务接待82次326人。</w:t>
      </w:r>
    </w:p>
    <w:p>
      <w:pPr>
        <w:kinsoku w:val="0"/>
        <w:overflowPunct w:val="0"/>
        <w:autoSpaceDE w:val="0"/>
        <w:autoSpaceDN w:val="0"/>
        <w:adjustRightInd w:val="0"/>
        <w:snapToGrid w:val="0"/>
        <w:spacing w:line="360" w:lineRule="auto"/>
        <w:ind w:firstLine="640" w:firstLineChars="200"/>
        <w:rPr>
          <w:rFonts w:ascii="仿宋" w:hAnsi="仿宋" w:eastAsia="仿宋" w:cs="Courier New"/>
          <w:sz w:val="32"/>
          <w:szCs w:val="32"/>
        </w:rPr>
      </w:pPr>
      <w:r>
        <w:rPr>
          <w:rFonts w:ascii="仿宋" w:hAnsi="仿宋" w:eastAsia="仿宋" w:cs="Courier New"/>
          <w:sz w:val="32"/>
          <w:szCs w:val="32"/>
        </w:rPr>
        <w:t>2016</w:t>
      </w:r>
      <w:r>
        <w:rPr>
          <w:rFonts w:hint="eastAsia" w:ascii="仿宋" w:hAnsi="仿宋" w:eastAsia="仿宋" w:cs="Courier New"/>
          <w:sz w:val="32"/>
          <w:szCs w:val="32"/>
        </w:rPr>
        <w:t>年度“三公”经费支出决算数小于预算数的主要原因是单位公务用车取消</w:t>
      </w:r>
      <w:r>
        <w:rPr>
          <w:rFonts w:hint="eastAsia" w:ascii="仿宋" w:hAnsi="仿宋" w:eastAsia="仿宋" w:cs="Courier New"/>
          <w:sz w:val="32"/>
          <w:szCs w:val="32"/>
          <w:lang w:eastAsia="zh-CN"/>
        </w:rPr>
        <w:t>，现仅有一辆执法车，</w:t>
      </w:r>
      <w:r>
        <w:rPr>
          <w:rFonts w:hint="eastAsia" w:ascii="仿宋" w:hAnsi="仿宋" w:eastAsia="仿宋" w:cs="Courier New"/>
          <w:sz w:val="32"/>
          <w:szCs w:val="32"/>
        </w:rPr>
        <w:t>费用减少。</w:t>
      </w:r>
      <w:r>
        <w:rPr>
          <w:rFonts w:ascii="仿宋" w:hAnsi="仿宋" w:eastAsia="仿宋" w:cs="Courier New"/>
          <w:sz w:val="32"/>
          <w:szCs w:val="32"/>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shd w:val="clear" w:fill="FFFFFF"/>
          <w:lang w:eastAsia="zh-CN"/>
        </w:rPr>
        <w:t>六、</w:t>
      </w:r>
      <w:r>
        <w:rPr>
          <w:rFonts w:hint="eastAsia" w:ascii="黑体" w:hAnsi="黑体" w:eastAsia="黑体" w:cs="黑体"/>
          <w:b w:val="0"/>
          <w:i w:val="0"/>
          <w:caps w:val="0"/>
          <w:color w:val="000000"/>
          <w:spacing w:val="0"/>
          <w:sz w:val="32"/>
          <w:szCs w:val="32"/>
          <w:shd w:val="clear" w:fill="FFFFFF"/>
        </w:rPr>
        <w:t>政府采购安排情况说明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shd w:val="clear" w:fill="FFFFFF"/>
        </w:rPr>
        <w:t>　　2016年文广新局共实施政府采购二次，支出资金85.44万元，资金全部为上级部门安排的专项资金，公开招标实施。其中：文化信息资源共享设备55.14万元，图书馆电子阅览设备30.30万元。</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黑体" w:hAnsi="黑体" w:eastAsia="黑体" w:cs="黑体"/>
          <w:b w:val="0"/>
          <w:i w:val="0"/>
          <w:caps w:val="0"/>
          <w:color w:val="000000"/>
          <w:spacing w:val="0"/>
          <w:sz w:val="32"/>
          <w:szCs w:val="32"/>
          <w:shd w:val="clear" w:fill="FFFFFF"/>
        </w:rPr>
      </w:pPr>
      <w:r>
        <w:rPr>
          <w:rFonts w:hint="eastAsia" w:ascii="宋体" w:hAnsi="宋体" w:eastAsia="宋体" w:cs="宋体"/>
          <w:b w:val="0"/>
          <w:i w:val="0"/>
          <w:caps w:val="0"/>
          <w:color w:val="000000"/>
          <w:spacing w:val="0"/>
          <w:sz w:val="32"/>
          <w:szCs w:val="32"/>
          <w:shd w:val="clear" w:fill="FFFFFF"/>
        </w:rPr>
        <w:t>　　</w:t>
      </w:r>
      <w:r>
        <w:rPr>
          <w:rFonts w:hint="eastAsia" w:ascii="黑体" w:hAnsi="黑体" w:eastAsia="黑体" w:cs="黑体"/>
          <w:b w:val="0"/>
          <w:i w:val="0"/>
          <w:caps w:val="0"/>
          <w:color w:val="000000"/>
          <w:spacing w:val="0"/>
          <w:sz w:val="32"/>
          <w:szCs w:val="32"/>
          <w:shd w:val="clear" w:fill="FFFFFF"/>
          <w:lang w:eastAsia="zh-CN"/>
        </w:rPr>
        <w:t>七、</w:t>
      </w:r>
      <w:r>
        <w:rPr>
          <w:rFonts w:hint="eastAsia" w:ascii="黑体" w:hAnsi="黑体" w:eastAsia="黑体" w:cs="黑体"/>
          <w:b w:val="0"/>
          <w:i w:val="0"/>
          <w:caps w:val="0"/>
          <w:color w:val="000000"/>
          <w:spacing w:val="0"/>
          <w:sz w:val="32"/>
          <w:szCs w:val="32"/>
          <w:shd w:val="clear" w:fill="FFFFFF"/>
        </w:rPr>
        <w:t>名词解释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财政拨款收入：是指财政当年拨付的资金。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事业收入：是指事业单位开展专业活动及辅助活动所取得的收入。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其他收入：是指部门取得的除“财政拨款”、“事业收入”等以外的收入。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上年结转和结余：是指以前年度支出预算因客观条件变化未执行完毕、结转到本年度按有关规定继续使用的资金，既包括财政拨款结转和结余，也包括事业收入、其他收入的结转和结余。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基本支出：是指为保障机构正常运转、完成日常工作任务所必需的开支，其内容包括人员经费和日常公用经费两部分。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项目支出：是指在基本支出之外，为完成特定的行政工作任务或事业发展目标所发生的支出。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一般公共服务（类）财政事务（款）：是指市文化广电新闻出版局用于保障机构正常运行、开展文化服务业务等活动的支出。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“三公”经费：是指纳入市直财政预算管理，部门使用财政拨款安排的因公出国（境）费、公务用车购置及运行费和公务接待费。其中，因公出国（境）费反映单位公务出国（境）的住宿费、</w:t>
      </w:r>
      <w:r>
        <w:rPr>
          <w:rFonts w:hint="eastAsia" w:ascii="宋体" w:hAnsi="宋体" w:eastAsia="宋体" w:cs="宋体"/>
          <w:color w:val="000000"/>
          <w:kern w:val="0"/>
          <w:sz w:val="32"/>
          <w:szCs w:val="32"/>
          <w:lang w:eastAsia="zh-CN"/>
        </w:rPr>
        <w:t>差</w:t>
      </w:r>
      <w:r>
        <w:rPr>
          <w:rFonts w:hint="eastAsia" w:ascii="宋体" w:hAnsi="宋体" w:eastAsia="宋体" w:cs="宋体"/>
          <w:color w:val="000000"/>
          <w:kern w:val="0"/>
          <w:sz w:val="32"/>
          <w:szCs w:val="32"/>
        </w:rPr>
        <w:t>旅费、伙食补助费、杂费、培训费等支出；公务用车购置及运行费反映单位公务用车购置费及租用费、燃料费、维修费、过路过桥费、保险费等支出；公务接待费反映单位按规定开支的各类公务接待支出。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机关运行经费：是指为保障行政单位运行用于购买货物和服务的各项资金，包括办公及印刷费、邮电费、差旅费、会议费、福利费、日常维修费及一般设备购置费、办公用房水电费、办公用房物业管理费、公务用车运行维护费以及其他费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720"/>
        <w:textAlignment w:val="auto"/>
        <w:outlineLvl w:val="9"/>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shd w:val="clear" w:fill="FFFFFF"/>
        </w:rPr>
        <w:t>国家电影事业发展专项资金支出</w:t>
      </w:r>
      <w:r>
        <w:rPr>
          <w:rFonts w:hint="eastAsia" w:ascii="宋体" w:hAnsi="宋体" w:eastAsia="宋体" w:cs="宋体"/>
          <w:b w:val="0"/>
          <w:i w:val="0"/>
          <w:caps w:val="0"/>
          <w:color w:val="000000"/>
          <w:spacing w:val="0"/>
          <w:sz w:val="32"/>
          <w:szCs w:val="32"/>
          <w:shd w:val="clear" w:fill="FFFFFF"/>
          <w:lang w:eastAsia="zh-CN"/>
        </w:rPr>
        <w:t>：</w:t>
      </w:r>
      <w:r>
        <w:rPr>
          <w:rFonts w:hint="eastAsia" w:ascii="宋体" w:hAnsi="宋体" w:eastAsia="宋体" w:cs="宋体"/>
          <w:b w:val="0"/>
          <w:i w:val="0"/>
          <w:caps w:val="0"/>
          <w:color w:val="000000"/>
          <w:spacing w:val="0"/>
          <w:sz w:val="32"/>
          <w:szCs w:val="32"/>
          <w:shd w:val="clear" w:fill="FFFFFF"/>
        </w:rPr>
        <w:t>是国家对县级数字影院建设的专项补助资金，具体到淮滨县有两家影院，即帝一国际影城和奥斯卡国际影城。2016年上级对我县两家数字影院分别拨付专项补助资金60万元。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Microsoft YaHei" w:hAnsi="Microsoft YaHei" w:eastAsia="Microsoft YaHei" w:cs="Microsoft YaHei"/>
          <w:b w:val="0"/>
          <w:i w:val="0"/>
          <w:caps w:val="0"/>
          <w:color w:val="000000"/>
          <w:spacing w:val="0"/>
          <w:sz w:val="22"/>
          <w:szCs w:val="22"/>
          <w:lang w:val="en-US"/>
        </w:rPr>
      </w:pPr>
      <w:r>
        <w:rPr>
          <w:rFonts w:hint="default" w:ascii="Microsoft YaHei" w:hAnsi="Microsoft YaHei" w:eastAsia="Microsoft YaHei" w:cs="Microsoft YaHei"/>
          <w:b w:val="0"/>
          <w:i w:val="0"/>
          <w:caps w:val="0"/>
          <w:color w:val="000000"/>
          <w:spacing w:val="0"/>
          <w:sz w:val="22"/>
          <w:szCs w:val="22"/>
          <w:shd w:val="clear" w:fill="FFFFFF"/>
        </w:rPr>
        <w:t>　</w:t>
      </w:r>
      <w:r>
        <w:rPr>
          <w:rFonts w:hint="eastAsia" w:ascii="Microsoft YaHei" w:hAnsi="Microsoft YaHei" w:cs="Microsoft YaHei"/>
          <w:b w:val="0"/>
          <w:i w:val="0"/>
          <w:caps w:val="0"/>
          <w:color w:val="000000"/>
          <w:spacing w:val="0"/>
          <w:sz w:val="22"/>
          <w:szCs w:val="22"/>
          <w:shd w:val="clear" w:fill="FFFFFF"/>
          <w:lang w:val="en-US" w:eastAsia="zh-CN"/>
        </w:rPr>
        <w:t xml:space="preserve"> </w:t>
      </w:r>
    </w:p>
    <w:p>
      <w:pPr>
        <w:rPr>
          <w:rFonts w:ascii="隶书" w:hAnsi="隶书" w:eastAsia="隶书" w:cs="隶书"/>
          <w:sz w:val="48"/>
          <w:szCs w:val="48"/>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方正小标宋简体">
    <w:altName w:val="黑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 w:name="Shruti">
    <w:altName w:val="Palatino Linotype"/>
    <w:panose1 w:val="02000500000000000000"/>
    <w:charset w:val="00"/>
    <w:family w:val="auto"/>
    <w:pitch w:val="default"/>
    <w:sig w:usb0="00000000" w:usb1="00000000" w:usb2="00000000" w:usb3="00000000" w:csb0="00000000" w:csb1="00000000"/>
  </w:font>
  <w:font w:name="Microsoft YaHei">
    <w:altName w:val="Courier New"/>
    <w:panose1 w:val="00000000000000000000"/>
    <w:charset w:val="00"/>
    <w:family w:val="auto"/>
    <w:pitch w:val="default"/>
    <w:sig w:usb0="00000000" w:usb1="00000000" w:usb2="00000000" w:usb3="00000000" w:csb0="00000000" w:csb1="00000000"/>
  </w:font>
  <w:font w:name="Latha">
    <w:altName w:val="Palatino Linotype"/>
    <w:panose1 w:val="02000400000000000000"/>
    <w:charset w:val="00"/>
    <w:family w:val="auto"/>
    <w:pitch w:val="default"/>
    <w:sig w:usb0="00000000" w:usb1="00000000" w:usb2="00000000" w:usb3="00000000" w:csb0="0000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- 17 -</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F59"/>
    <w:multiLevelType w:val="singleLevel"/>
    <w:tmpl w:val="5971BF59"/>
    <w:lvl w:ilvl="0" w:tentative="0">
      <w:start w:val="1"/>
      <w:numFmt w:val="chineseCounting"/>
      <w:suff w:val="nothing"/>
      <w:lvlText w:val="%1、"/>
      <w:lvlJc w:val="left"/>
      <w:pPr>
        <w:ind w:firstLine="420"/>
      </w:pPr>
      <w:rPr>
        <w:rFonts w:hint="eastAsia" w:cs="Times New Roman"/>
        <w:b w:val="0"/>
      </w:rPr>
    </w:lvl>
  </w:abstractNum>
  <w:abstractNum w:abstractNumId="1">
    <w:nsid w:val="5971C193"/>
    <w:multiLevelType w:val="singleLevel"/>
    <w:tmpl w:val="5971C193"/>
    <w:lvl w:ilvl="0" w:tentative="0">
      <w:start w:val="2"/>
      <w:numFmt w:val="chineseCounting"/>
      <w:suff w:val="nothing"/>
      <w:lvlText w:val="%1、"/>
      <w:lvlJc w:val="left"/>
      <w:rPr>
        <w:rFonts w:cs="Times New Roman"/>
      </w:rPr>
    </w:lvl>
  </w:abstractNum>
  <w:abstractNum w:abstractNumId="2">
    <w:nsid w:val="5971C2CF"/>
    <w:multiLevelType w:val="singleLevel"/>
    <w:tmpl w:val="5971C2CF"/>
    <w:lvl w:ilvl="0" w:tentative="0">
      <w:start w:val="1"/>
      <w:numFmt w:val="decimal"/>
      <w:suff w:val="nothing"/>
      <w:lvlText w:val="%1．"/>
      <w:lvlJc w:val="left"/>
      <w:pPr>
        <w:ind w:firstLine="400"/>
      </w:pPr>
      <w:rPr>
        <w:rFonts w:hint="default"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A55"/>
    <w:rsid w:val="00030307"/>
    <w:rsid w:val="00042ED1"/>
    <w:rsid w:val="00057EAB"/>
    <w:rsid w:val="00081C41"/>
    <w:rsid w:val="000A08E5"/>
    <w:rsid w:val="000B1A63"/>
    <w:rsid w:val="00172A27"/>
    <w:rsid w:val="001A2236"/>
    <w:rsid w:val="001D6030"/>
    <w:rsid w:val="00205B5B"/>
    <w:rsid w:val="002A104C"/>
    <w:rsid w:val="00323AF5"/>
    <w:rsid w:val="003337C6"/>
    <w:rsid w:val="00345175"/>
    <w:rsid w:val="003C08F7"/>
    <w:rsid w:val="003C4058"/>
    <w:rsid w:val="003C445C"/>
    <w:rsid w:val="003E0219"/>
    <w:rsid w:val="003E0E8B"/>
    <w:rsid w:val="00426FD3"/>
    <w:rsid w:val="004320A2"/>
    <w:rsid w:val="004F6652"/>
    <w:rsid w:val="00545C60"/>
    <w:rsid w:val="005A6839"/>
    <w:rsid w:val="005B0413"/>
    <w:rsid w:val="005B5B54"/>
    <w:rsid w:val="005D05C7"/>
    <w:rsid w:val="005E2CCE"/>
    <w:rsid w:val="00606A50"/>
    <w:rsid w:val="0061555A"/>
    <w:rsid w:val="00630D31"/>
    <w:rsid w:val="006D361C"/>
    <w:rsid w:val="006E20F0"/>
    <w:rsid w:val="007350E2"/>
    <w:rsid w:val="007404BD"/>
    <w:rsid w:val="0078501F"/>
    <w:rsid w:val="007D6C52"/>
    <w:rsid w:val="008268D0"/>
    <w:rsid w:val="00833F04"/>
    <w:rsid w:val="00837506"/>
    <w:rsid w:val="008B795D"/>
    <w:rsid w:val="008D4305"/>
    <w:rsid w:val="008D7131"/>
    <w:rsid w:val="008E72FB"/>
    <w:rsid w:val="008F1FAD"/>
    <w:rsid w:val="008F3583"/>
    <w:rsid w:val="00913004"/>
    <w:rsid w:val="0092657E"/>
    <w:rsid w:val="009962CF"/>
    <w:rsid w:val="009A37FA"/>
    <w:rsid w:val="009F6185"/>
    <w:rsid w:val="00A53CA5"/>
    <w:rsid w:val="00A82744"/>
    <w:rsid w:val="00A84D6E"/>
    <w:rsid w:val="00A86954"/>
    <w:rsid w:val="00B238C0"/>
    <w:rsid w:val="00B42AFB"/>
    <w:rsid w:val="00B54309"/>
    <w:rsid w:val="00B64943"/>
    <w:rsid w:val="00B77127"/>
    <w:rsid w:val="00B84FB0"/>
    <w:rsid w:val="00C94C8D"/>
    <w:rsid w:val="00CA5522"/>
    <w:rsid w:val="00CC2FBF"/>
    <w:rsid w:val="00CD2115"/>
    <w:rsid w:val="00CE5321"/>
    <w:rsid w:val="00D14B7D"/>
    <w:rsid w:val="00D26632"/>
    <w:rsid w:val="00D424F7"/>
    <w:rsid w:val="00D955C2"/>
    <w:rsid w:val="00DA70AB"/>
    <w:rsid w:val="00DC6CBF"/>
    <w:rsid w:val="00DE194F"/>
    <w:rsid w:val="00DE1B69"/>
    <w:rsid w:val="00E133DF"/>
    <w:rsid w:val="00E30D30"/>
    <w:rsid w:val="00E56CC7"/>
    <w:rsid w:val="00E578EF"/>
    <w:rsid w:val="00EC4F6E"/>
    <w:rsid w:val="00EC76A4"/>
    <w:rsid w:val="00ED414D"/>
    <w:rsid w:val="00F574D5"/>
    <w:rsid w:val="00FC3EB1"/>
    <w:rsid w:val="00FF7A62"/>
    <w:rsid w:val="00FF7EFB"/>
    <w:rsid w:val="016A1690"/>
    <w:rsid w:val="03B7559B"/>
    <w:rsid w:val="04453648"/>
    <w:rsid w:val="09BB2134"/>
    <w:rsid w:val="15492582"/>
    <w:rsid w:val="17851675"/>
    <w:rsid w:val="1E7D3B34"/>
    <w:rsid w:val="239136BD"/>
    <w:rsid w:val="2BA4769A"/>
    <w:rsid w:val="2CD06EF4"/>
    <w:rsid w:val="32EF40CE"/>
    <w:rsid w:val="372974AC"/>
    <w:rsid w:val="42271DDB"/>
    <w:rsid w:val="46975C3E"/>
    <w:rsid w:val="48B52937"/>
    <w:rsid w:val="48EE3EF3"/>
    <w:rsid w:val="4C1E2F28"/>
    <w:rsid w:val="5651051D"/>
    <w:rsid w:val="57E961A8"/>
    <w:rsid w:val="581E77CF"/>
    <w:rsid w:val="58B06254"/>
    <w:rsid w:val="5AF25131"/>
    <w:rsid w:val="600176AC"/>
    <w:rsid w:val="664A46E0"/>
    <w:rsid w:val="75531EF6"/>
    <w:rsid w:val="75D0003D"/>
    <w:rsid w:val="779D6C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locked/>
    <w:uiPriority w:val="99"/>
    <w:pPr>
      <w:spacing w:before="0" w:beforeAutospacing="1" w:after="0" w:afterAutospacing="1"/>
      <w:ind w:left="0" w:right="0"/>
      <w:jc w:val="left"/>
    </w:pPr>
    <w:rPr>
      <w:kern w:val="0"/>
      <w:sz w:val="24"/>
      <w:lang w:val="en-US" w:eastAsia="zh-CN" w:bidi="ar"/>
    </w:rPr>
  </w:style>
  <w:style w:type="character" w:customStyle="1" w:styleId="9">
    <w:name w:val="Footer Char"/>
    <w:basedOn w:val="7"/>
    <w:link w:val="4"/>
    <w:semiHidden/>
    <w:qFormat/>
    <w:locked/>
    <w:uiPriority w:val="99"/>
    <w:rPr>
      <w:rFonts w:ascii="Calibri" w:hAnsi="Calibri" w:cs="Times New Roman"/>
      <w:sz w:val="18"/>
      <w:szCs w:val="18"/>
    </w:rPr>
  </w:style>
  <w:style w:type="character" w:customStyle="1" w:styleId="10">
    <w:name w:val="Header Char"/>
    <w:basedOn w:val="7"/>
    <w:link w:val="5"/>
    <w:semiHidden/>
    <w:qFormat/>
    <w:locked/>
    <w:uiPriority w:val="99"/>
    <w:rPr>
      <w:rFonts w:ascii="Calibri" w:hAnsi="Calibri" w:cs="Times New Roman"/>
      <w:sz w:val="18"/>
      <w:szCs w:val="18"/>
    </w:rPr>
  </w:style>
  <w:style w:type="character" w:customStyle="1" w:styleId="11">
    <w:name w:val="font31"/>
    <w:basedOn w:val="7"/>
    <w:qFormat/>
    <w:uiPriority w:val="99"/>
    <w:rPr>
      <w:rFonts w:ascii="Arial" w:hAnsi="Arial" w:cs="Arial"/>
      <w:color w:val="000000"/>
      <w:sz w:val="16"/>
      <w:szCs w:val="16"/>
      <w:u w:val="none"/>
    </w:rPr>
  </w:style>
  <w:style w:type="character" w:customStyle="1" w:styleId="12">
    <w:name w:val="font01"/>
    <w:basedOn w:val="7"/>
    <w:qFormat/>
    <w:uiPriority w:val="99"/>
    <w:rPr>
      <w:rFonts w:ascii="Arial" w:hAnsi="Arial" w:cs="Arial"/>
      <w:color w:val="000000"/>
      <w:sz w:val="16"/>
      <w:szCs w:val="16"/>
      <w:u w:val="none"/>
    </w:rPr>
  </w:style>
  <w:style w:type="character" w:customStyle="1" w:styleId="13">
    <w:name w:val="font41"/>
    <w:basedOn w:val="7"/>
    <w:uiPriority w:val="99"/>
    <w:rPr>
      <w:rFonts w:ascii="宋体" w:hAnsi="宋体" w:eastAsia="宋体" w:cs="宋体"/>
      <w:color w:val="000000"/>
      <w:sz w:val="16"/>
      <w:szCs w:val="16"/>
      <w:u w:val="none"/>
    </w:rPr>
  </w:style>
  <w:style w:type="character" w:customStyle="1" w:styleId="14">
    <w:name w:val="Balloon Text Char"/>
    <w:basedOn w:val="7"/>
    <w:link w:val="3"/>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19</Pages>
  <Words>1390</Words>
  <Characters>7924</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东方红</cp:lastModifiedBy>
  <cp:lastPrinted>2017-09-21T07:26:00Z</cp:lastPrinted>
  <dcterms:modified xsi:type="dcterms:W3CDTF">2018-01-23T08:38:49Z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