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5746750" cy="8698230"/>
            <wp:effectExtent l="0" t="0" r="635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746750" cy="8698230"/>
                    </a:xfrm>
                    <a:prstGeom prst="rect">
                      <a:avLst/>
                    </a:prstGeom>
                    <a:noFill/>
                    <a:ln>
                      <a:noFill/>
                    </a:ln>
                  </pic:spPr>
                </pic:pic>
              </a:graphicData>
            </a:graphic>
          </wp:inline>
        </w:drawing>
      </w:r>
    </w:p>
    <w:p>
      <w:r>
        <w:drawing>
          <wp:inline distT="0" distB="0" distL="114300" distR="114300">
            <wp:extent cx="5723890" cy="8620125"/>
            <wp:effectExtent l="0" t="0" r="1016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723890" cy="8620125"/>
                    </a:xfrm>
                    <a:prstGeom prst="rect">
                      <a:avLst/>
                    </a:prstGeom>
                    <a:noFill/>
                    <a:ln>
                      <a:noFill/>
                    </a:ln>
                  </pic:spPr>
                </pic:pic>
              </a:graphicData>
            </a:graphic>
          </wp:inline>
        </w:drawing>
      </w:r>
    </w:p>
    <w:p>
      <w:r>
        <w:drawing>
          <wp:inline distT="0" distB="0" distL="114300" distR="114300">
            <wp:extent cx="5695315" cy="876300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695315" cy="8763000"/>
                    </a:xfrm>
                    <a:prstGeom prst="rect">
                      <a:avLst/>
                    </a:prstGeom>
                    <a:noFill/>
                    <a:ln>
                      <a:noFill/>
                    </a:ln>
                  </pic:spPr>
                </pic:pic>
              </a:graphicData>
            </a:graphic>
          </wp:inline>
        </w:drawing>
      </w:r>
    </w:p>
    <w:p>
      <w:r>
        <w:drawing>
          <wp:inline distT="0" distB="0" distL="114300" distR="114300">
            <wp:extent cx="5742940" cy="8743315"/>
            <wp:effectExtent l="0" t="0" r="1016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742940" cy="8743315"/>
                    </a:xfrm>
                    <a:prstGeom prst="rect">
                      <a:avLst/>
                    </a:prstGeom>
                    <a:noFill/>
                    <a:ln>
                      <a:noFill/>
                    </a:ln>
                  </pic:spPr>
                </pic:pic>
              </a:graphicData>
            </a:graphic>
          </wp:inline>
        </w:drawing>
      </w:r>
    </w:p>
    <w:p>
      <w:r>
        <w:drawing>
          <wp:inline distT="0" distB="0" distL="114300" distR="114300">
            <wp:extent cx="5676900" cy="8712200"/>
            <wp:effectExtent l="0" t="0" r="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676900" cy="8712200"/>
                    </a:xfrm>
                    <a:prstGeom prst="rect">
                      <a:avLst/>
                    </a:prstGeom>
                    <a:noFill/>
                    <a:ln>
                      <a:noFill/>
                    </a:ln>
                  </pic:spPr>
                </pic:pic>
              </a:graphicData>
            </a:graphic>
          </wp:inline>
        </w:drawing>
      </w:r>
    </w:p>
    <w:p>
      <w:r>
        <w:drawing>
          <wp:inline distT="0" distB="0" distL="114300" distR="114300">
            <wp:extent cx="5723890" cy="8715375"/>
            <wp:effectExtent l="0" t="0" r="1016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723890" cy="8715375"/>
                    </a:xfrm>
                    <a:prstGeom prst="rect">
                      <a:avLst/>
                    </a:prstGeom>
                    <a:noFill/>
                    <a:ln>
                      <a:noFill/>
                    </a:ln>
                  </pic:spPr>
                </pic:pic>
              </a:graphicData>
            </a:graphic>
          </wp:inline>
        </w:drawing>
      </w:r>
    </w:p>
    <w:p>
      <w:r>
        <w:drawing>
          <wp:inline distT="0" distB="0" distL="114300" distR="114300">
            <wp:extent cx="5714365" cy="87249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714365" cy="8724900"/>
                    </a:xfrm>
                    <a:prstGeom prst="rect">
                      <a:avLst/>
                    </a:prstGeom>
                    <a:noFill/>
                    <a:ln>
                      <a:noFill/>
                    </a:ln>
                  </pic:spPr>
                </pic:pic>
              </a:graphicData>
            </a:graphic>
          </wp:inline>
        </w:drawing>
      </w:r>
    </w:p>
    <w:p>
      <w:r>
        <w:drawing>
          <wp:inline distT="0" distB="0" distL="114300" distR="114300">
            <wp:extent cx="5742940" cy="8705215"/>
            <wp:effectExtent l="0" t="0" r="1016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742940" cy="8705215"/>
                    </a:xfrm>
                    <a:prstGeom prst="rect">
                      <a:avLst/>
                    </a:prstGeom>
                    <a:noFill/>
                    <a:ln>
                      <a:noFill/>
                    </a:ln>
                  </pic:spPr>
                </pic:pic>
              </a:graphicData>
            </a:graphic>
          </wp:inline>
        </w:drawing>
      </w:r>
    </w:p>
    <w:p>
      <w:pPr>
        <w:spacing w:before="145" w:beforeLines="50" w:line="480" w:lineRule="exact"/>
        <w:ind w:firstLine="880" w:firstLineChars="200"/>
        <w:jc w:val="both"/>
        <w:rPr>
          <w:rFonts w:eastAsia="黑体"/>
          <w:sz w:val="44"/>
        </w:rPr>
      </w:pPr>
      <w:r>
        <w:rPr>
          <w:rFonts w:eastAsia="黑体"/>
          <w:sz w:val="44"/>
        </w:rPr>
        <w:t>《建设项目环境影响报告表》编制说明</w:t>
      </w:r>
    </w:p>
    <w:p>
      <w:pPr>
        <w:spacing w:before="145" w:beforeLines="50" w:line="480" w:lineRule="exact"/>
        <w:rPr>
          <w:rFonts w:eastAsia="黑体"/>
          <w:sz w:val="32"/>
        </w:rPr>
      </w:pPr>
      <w:r>
        <w:rPr>
          <w:rFonts w:eastAsia="黑体"/>
          <w:sz w:val="32"/>
        </w:rPr>
        <w:t xml:space="preserve">    </w:t>
      </w:r>
    </w:p>
    <w:p>
      <w:pPr>
        <w:spacing w:before="145" w:beforeLines="50" w:line="480" w:lineRule="exact"/>
        <w:ind w:firstLine="560" w:firstLineChars="200"/>
        <w:rPr>
          <w:rFonts w:eastAsia="黑体"/>
          <w:sz w:val="28"/>
        </w:rPr>
      </w:pPr>
      <w:r>
        <w:rPr>
          <w:rFonts w:eastAsia="黑体"/>
          <w:sz w:val="28"/>
        </w:rPr>
        <w:t>《建设项目环境影响报告表》由具有从事环境影响评价</w:t>
      </w:r>
      <w:r>
        <w:rPr>
          <w:rFonts w:hint="eastAsia" w:eastAsia="黑体"/>
          <w:sz w:val="28"/>
        </w:rPr>
        <w:t>编制能力</w:t>
      </w:r>
      <w:r>
        <w:rPr>
          <w:rFonts w:eastAsia="黑体"/>
          <w:sz w:val="28"/>
        </w:rPr>
        <w:t>的单位编制。</w:t>
      </w:r>
    </w:p>
    <w:p>
      <w:pPr>
        <w:spacing w:before="145" w:beforeLines="50" w:line="480" w:lineRule="exact"/>
        <w:ind w:firstLine="560" w:firstLineChars="200"/>
        <w:rPr>
          <w:rFonts w:eastAsia="黑体"/>
          <w:sz w:val="28"/>
        </w:rPr>
      </w:pPr>
      <w:r>
        <w:rPr>
          <w:rFonts w:eastAsia="黑体"/>
          <w:sz w:val="28"/>
        </w:rPr>
        <w:t>1．项目名称——指项目立项批复时的名称，应不超过30个字（两个英文字段作一个汉字）。</w:t>
      </w:r>
      <w:bookmarkStart w:id="4" w:name="_GoBack"/>
      <w:bookmarkEnd w:id="4"/>
    </w:p>
    <w:p>
      <w:pPr>
        <w:spacing w:before="145" w:beforeLines="50" w:line="480" w:lineRule="exact"/>
        <w:ind w:firstLine="560" w:firstLineChars="200"/>
        <w:rPr>
          <w:rFonts w:eastAsia="黑体"/>
          <w:sz w:val="28"/>
        </w:rPr>
      </w:pPr>
      <w:r>
        <w:rPr>
          <w:rFonts w:eastAsia="黑体"/>
          <w:sz w:val="28"/>
        </w:rPr>
        <w:t>2．建设地点——指项目所在地详细地址，公路、铁路应填写起止地点。</w:t>
      </w:r>
    </w:p>
    <w:p>
      <w:pPr>
        <w:spacing w:before="145" w:beforeLines="50" w:line="480" w:lineRule="exact"/>
        <w:ind w:firstLine="560" w:firstLineChars="200"/>
        <w:rPr>
          <w:rFonts w:eastAsia="黑体"/>
          <w:sz w:val="28"/>
        </w:rPr>
      </w:pPr>
      <w:r>
        <w:rPr>
          <w:rFonts w:eastAsia="黑体"/>
          <w:sz w:val="28"/>
        </w:rPr>
        <w:t>3．行业类别——按国标填写。</w:t>
      </w:r>
    </w:p>
    <w:p>
      <w:pPr>
        <w:spacing w:before="145" w:beforeLines="50" w:line="480" w:lineRule="exact"/>
        <w:ind w:firstLine="560" w:firstLineChars="200"/>
        <w:rPr>
          <w:rFonts w:eastAsia="黑体"/>
          <w:sz w:val="28"/>
        </w:rPr>
      </w:pPr>
      <w:r>
        <w:rPr>
          <w:rFonts w:eastAsia="黑体"/>
          <w:sz w:val="28"/>
        </w:rPr>
        <w:t>4．总投资——指项目投资总额。</w:t>
      </w:r>
    </w:p>
    <w:p>
      <w:pPr>
        <w:spacing w:before="145" w:beforeLines="50" w:line="480" w:lineRule="exact"/>
        <w:ind w:firstLine="560" w:firstLineChars="200"/>
        <w:rPr>
          <w:rFonts w:eastAsia="黑体"/>
          <w:sz w:val="28"/>
        </w:rPr>
      </w:pPr>
      <w:r>
        <w:rPr>
          <w:rFonts w:eastAsia="黑体"/>
          <w:sz w:val="28"/>
        </w:rPr>
        <w:t>5．主要环境保护目标——指项目区周围一定范围内集中居民住宅、学校、医院、保护文物、风景名胜区、水源地和生态敏感点等，应尽可能给出保护目标、性质、规模和距厂界距离等。</w:t>
      </w:r>
    </w:p>
    <w:p>
      <w:pPr>
        <w:spacing w:before="145" w:beforeLines="50" w:line="480" w:lineRule="exact"/>
        <w:ind w:firstLine="560" w:firstLineChars="200"/>
        <w:rPr>
          <w:rFonts w:eastAsia="黑体"/>
          <w:sz w:val="28"/>
        </w:rPr>
      </w:pPr>
      <w:r>
        <w:rPr>
          <w:rFonts w:eastAsia="黑体"/>
          <w:sz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before="145" w:beforeLines="50" w:line="480" w:lineRule="exact"/>
        <w:ind w:firstLine="560" w:firstLineChars="200"/>
        <w:rPr>
          <w:rFonts w:eastAsia="黑体"/>
          <w:sz w:val="28"/>
        </w:rPr>
      </w:pPr>
      <w:r>
        <w:rPr>
          <w:rFonts w:eastAsia="黑体"/>
          <w:sz w:val="28"/>
        </w:rPr>
        <w:t>7．预审意见——由行业主管部门填写答复意见，无主管部门项目，可不填。</w:t>
      </w:r>
    </w:p>
    <w:p>
      <w:pPr>
        <w:spacing w:before="145" w:beforeLines="50" w:line="480" w:lineRule="exact"/>
        <w:ind w:firstLine="560" w:firstLineChars="200"/>
        <w:rPr>
          <w:rFonts w:eastAsia="黑体"/>
          <w:sz w:val="28"/>
        </w:rPr>
      </w:pPr>
      <w:r>
        <w:rPr>
          <w:rFonts w:eastAsia="黑体"/>
          <w:sz w:val="28"/>
        </w:rPr>
        <w:t>8．审批意见——由负责审批该项目的环境保护行政主管部门批复。</w:t>
      </w:r>
    </w:p>
    <w:p>
      <w:pPr>
        <w:rPr>
          <w:rFonts w:hint="eastAsia" w:eastAsia="黑体"/>
          <w:bCs/>
          <w:sz w:val="72"/>
        </w:rPr>
      </w:pPr>
    </w:p>
    <w:p>
      <w:pPr>
        <w:spacing w:before="145" w:beforeLines="50" w:line="480" w:lineRule="exact"/>
        <w:rPr>
          <w:rFonts w:hint="eastAsia"/>
          <w:b/>
          <w:bCs/>
          <w:sz w:val="32"/>
        </w:rPr>
      </w:pPr>
    </w:p>
    <w:p>
      <w:pPr>
        <w:spacing w:before="145" w:beforeLines="50" w:line="480" w:lineRule="exact"/>
        <w:rPr>
          <w:rFonts w:hint="eastAsia"/>
          <w:b/>
          <w:bCs/>
          <w:sz w:val="32"/>
        </w:rPr>
      </w:pPr>
    </w:p>
    <w:p>
      <w:pPr>
        <w:spacing w:before="145" w:beforeLines="50" w:line="480" w:lineRule="exact"/>
        <w:rPr>
          <w:rFonts w:hint="eastAsia"/>
          <w:b/>
          <w:bCs/>
          <w:sz w:val="32"/>
        </w:rPr>
      </w:pPr>
    </w:p>
    <w:p>
      <w:pPr>
        <w:spacing w:before="145" w:beforeLines="50" w:line="480" w:lineRule="exact"/>
        <w:rPr>
          <w:rFonts w:hint="eastAsia"/>
          <w:b/>
          <w:bCs/>
          <w:sz w:val="32"/>
        </w:rPr>
      </w:pPr>
    </w:p>
    <w:p>
      <w:pPr>
        <w:spacing w:before="145" w:beforeLines="50" w:line="480" w:lineRule="exact"/>
        <w:rPr>
          <w:b/>
          <w:bCs/>
          <w:sz w:val="32"/>
        </w:rPr>
        <w:sectPr>
          <w:headerReference r:id="rId3" w:type="default"/>
          <w:footerReference r:id="rId4" w:type="default"/>
          <w:footerReference r:id="rId5" w:type="even"/>
          <w:pgSz w:w="11906" w:h="16838"/>
          <w:pgMar w:top="1440" w:right="1418" w:bottom="1440" w:left="1418" w:header="851" w:footer="992" w:gutter="0"/>
          <w:pgNumType w:start="1"/>
          <w:cols w:space="720" w:num="1"/>
          <w:docGrid w:type="linesAndChars" w:linePitch="290" w:charSpace="0"/>
        </w:sectPr>
      </w:pPr>
    </w:p>
    <w:p>
      <w:pPr>
        <w:spacing w:before="156" w:beforeLines="50" w:line="480" w:lineRule="exact"/>
        <w:rPr>
          <w:rFonts w:eastAsia="黑体"/>
          <w:bCs/>
          <w:sz w:val="28"/>
        </w:rPr>
      </w:pPr>
      <w:r>
        <w:rPr>
          <w:rFonts w:eastAsia="黑体"/>
          <w:bCs/>
          <w:sz w:val="32"/>
        </w:rPr>
        <w:t>建设项目基本情况</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3" w:type="dxa"/>
          <w:bottom w:w="0" w:type="dxa"/>
          <w:right w:w="113" w:type="dxa"/>
        </w:tblCellMar>
      </w:tblPr>
      <w:tblGrid>
        <w:gridCol w:w="1818"/>
        <w:gridCol w:w="1512"/>
        <w:gridCol w:w="374"/>
        <w:gridCol w:w="941"/>
        <w:gridCol w:w="682"/>
        <w:gridCol w:w="271"/>
        <w:gridCol w:w="1251"/>
        <w:gridCol w:w="101"/>
        <w:gridCol w:w="1262"/>
        <w:gridCol w:w="268"/>
        <w:gridCol w:w="8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90" w:hRule="atLeast"/>
        </w:trPr>
        <w:tc>
          <w:tcPr>
            <w:tcW w:w="1818" w:type="dxa"/>
            <w:noWrap w:val="0"/>
            <w:vAlign w:val="center"/>
          </w:tcPr>
          <w:p>
            <w:pPr>
              <w:spacing w:line="480" w:lineRule="exact"/>
              <w:jc w:val="center"/>
              <w:rPr>
                <w:b/>
                <w:sz w:val="24"/>
              </w:rPr>
            </w:pPr>
            <w:r>
              <w:rPr>
                <w:b/>
                <w:sz w:val="24"/>
              </w:rPr>
              <w:t>项目名称</w:t>
            </w:r>
          </w:p>
        </w:tc>
        <w:tc>
          <w:tcPr>
            <w:tcW w:w="7478" w:type="dxa"/>
            <w:gridSpan w:val="10"/>
            <w:noWrap w:val="0"/>
            <w:vAlign w:val="center"/>
          </w:tcPr>
          <w:p>
            <w:pPr>
              <w:spacing w:line="480" w:lineRule="exact"/>
              <w:jc w:val="center"/>
              <w:rPr>
                <w:rFonts w:hint="eastAsia" w:eastAsia="宋体"/>
                <w:sz w:val="24"/>
                <w:lang w:eastAsia="zh-CN"/>
              </w:rPr>
            </w:pPr>
            <w:r>
              <w:rPr>
                <w:rFonts w:hint="eastAsia"/>
                <w:sz w:val="24"/>
                <w:lang w:eastAsia="zh-CN"/>
              </w:rPr>
              <w:t>淮滨县城区燃气管道建设项目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b/>
                <w:sz w:val="24"/>
              </w:rPr>
            </w:pPr>
            <w:r>
              <w:rPr>
                <w:b/>
                <w:sz w:val="24"/>
              </w:rPr>
              <w:t>建设单位</w:t>
            </w:r>
          </w:p>
        </w:tc>
        <w:tc>
          <w:tcPr>
            <w:tcW w:w="7478" w:type="dxa"/>
            <w:gridSpan w:val="10"/>
            <w:noWrap w:val="0"/>
            <w:vAlign w:val="center"/>
          </w:tcPr>
          <w:p>
            <w:pPr>
              <w:jc w:val="center"/>
              <w:rPr>
                <w:rFonts w:hint="eastAsia" w:eastAsia="宋体"/>
                <w:sz w:val="24"/>
                <w:lang w:eastAsia="zh-CN"/>
              </w:rPr>
            </w:pPr>
            <w:r>
              <w:rPr>
                <w:rFonts w:hint="eastAsia"/>
                <w:sz w:val="24"/>
                <w:lang w:eastAsia="zh-CN"/>
              </w:rPr>
              <w:t>淮滨县城市管理局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90" w:hRule="atLeast"/>
        </w:trPr>
        <w:tc>
          <w:tcPr>
            <w:tcW w:w="1818" w:type="dxa"/>
            <w:noWrap w:val="0"/>
            <w:vAlign w:val="center"/>
          </w:tcPr>
          <w:p>
            <w:pPr>
              <w:spacing w:line="480" w:lineRule="exact"/>
              <w:jc w:val="center"/>
              <w:rPr>
                <w:b/>
                <w:sz w:val="24"/>
              </w:rPr>
            </w:pPr>
            <w:r>
              <w:rPr>
                <w:b/>
                <w:sz w:val="24"/>
              </w:rPr>
              <w:t>法人代表</w:t>
            </w:r>
          </w:p>
        </w:tc>
        <w:tc>
          <w:tcPr>
            <w:tcW w:w="3509" w:type="dxa"/>
            <w:gridSpan w:val="4"/>
            <w:noWrap w:val="0"/>
            <w:vAlign w:val="center"/>
          </w:tcPr>
          <w:p>
            <w:pPr>
              <w:spacing w:line="480" w:lineRule="exact"/>
              <w:jc w:val="center"/>
              <w:rPr>
                <w:rFonts w:hint="eastAsia" w:eastAsia="宋体"/>
                <w:sz w:val="24"/>
                <w:lang w:val="en-US" w:eastAsia="zh-CN"/>
              </w:rPr>
            </w:pPr>
            <w:r>
              <w:rPr>
                <w:rFonts w:hint="eastAsia"/>
                <w:sz w:val="24"/>
                <w:lang w:val="en-US" w:eastAsia="zh-CN"/>
              </w:rPr>
              <w:t>邢伟</w:t>
            </w:r>
          </w:p>
        </w:tc>
        <w:tc>
          <w:tcPr>
            <w:tcW w:w="1623" w:type="dxa"/>
            <w:gridSpan w:val="3"/>
            <w:noWrap w:val="0"/>
            <w:vAlign w:val="center"/>
          </w:tcPr>
          <w:p>
            <w:pPr>
              <w:spacing w:line="480" w:lineRule="exact"/>
              <w:jc w:val="center"/>
              <w:rPr>
                <w:rFonts w:eastAsia="黑体"/>
                <w:bCs/>
                <w:sz w:val="24"/>
              </w:rPr>
            </w:pPr>
            <w:r>
              <w:rPr>
                <w:rFonts w:eastAsia="黑体"/>
                <w:bCs/>
                <w:sz w:val="24"/>
              </w:rPr>
              <w:t>联系人</w:t>
            </w:r>
          </w:p>
        </w:tc>
        <w:tc>
          <w:tcPr>
            <w:tcW w:w="2346" w:type="dxa"/>
            <w:gridSpan w:val="3"/>
            <w:noWrap w:val="0"/>
            <w:vAlign w:val="center"/>
          </w:tcPr>
          <w:p>
            <w:pPr>
              <w:tabs>
                <w:tab w:val="left" w:pos="1268"/>
              </w:tabs>
              <w:spacing w:line="480" w:lineRule="exact"/>
              <w:jc w:val="center"/>
              <w:rPr>
                <w:rFonts w:hint="default" w:eastAsia="宋体"/>
                <w:sz w:val="24"/>
                <w:lang w:val="en-US" w:eastAsia="zh-CN"/>
              </w:rPr>
            </w:pPr>
            <w:r>
              <w:rPr>
                <w:rFonts w:hint="eastAsia"/>
                <w:sz w:val="24"/>
                <w:lang w:val="en-US" w:eastAsia="zh-CN"/>
              </w:rPr>
              <w:t>卢中奎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b/>
                <w:sz w:val="24"/>
              </w:rPr>
            </w:pPr>
            <w:r>
              <w:rPr>
                <w:b/>
                <w:sz w:val="24"/>
              </w:rPr>
              <w:t>通讯地址</w:t>
            </w:r>
          </w:p>
        </w:tc>
        <w:tc>
          <w:tcPr>
            <w:tcW w:w="7478" w:type="dxa"/>
            <w:gridSpan w:val="10"/>
            <w:noWrap w:val="0"/>
            <w:vAlign w:val="center"/>
          </w:tcPr>
          <w:p>
            <w:pPr>
              <w:spacing w:line="480" w:lineRule="exact"/>
              <w:jc w:val="center"/>
              <w:rPr>
                <w:rFonts w:hint="default" w:eastAsia="宋体"/>
                <w:sz w:val="24"/>
                <w:lang w:val="en-US" w:eastAsia="zh-CN"/>
              </w:rPr>
            </w:pPr>
            <w:r>
              <w:rPr>
                <w:sz w:val="24"/>
              </w:rPr>
              <w:t>信阳市淮滨县</w:t>
            </w:r>
            <w:r>
              <w:rPr>
                <w:rFonts w:hint="eastAsia"/>
                <w:sz w:val="24"/>
                <w:lang w:val="en-US" w:eastAsia="zh-CN"/>
              </w:rPr>
              <w:t>东湖南路中段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b/>
                <w:sz w:val="24"/>
              </w:rPr>
            </w:pPr>
            <w:r>
              <w:rPr>
                <w:b/>
                <w:sz w:val="24"/>
              </w:rPr>
              <w:t>联系电话</w:t>
            </w:r>
          </w:p>
        </w:tc>
        <w:tc>
          <w:tcPr>
            <w:tcW w:w="1886" w:type="dxa"/>
            <w:gridSpan w:val="2"/>
            <w:noWrap w:val="0"/>
            <w:vAlign w:val="center"/>
          </w:tcPr>
          <w:p>
            <w:pPr>
              <w:spacing w:line="480" w:lineRule="exact"/>
              <w:jc w:val="center"/>
              <w:rPr>
                <w:rFonts w:hint="default" w:eastAsia="Calibri"/>
                <w:sz w:val="24"/>
                <w:lang w:val="en-US" w:eastAsia="zh-CN"/>
              </w:rPr>
            </w:pPr>
            <w:r>
              <w:rPr>
                <w:sz w:val="24"/>
              </w:rPr>
              <w:t>1</w:t>
            </w:r>
            <w:r>
              <w:rPr>
                <w:rFonts w:hint="eastAsia"/>
                <w:sz w:val="24"/>
                <w:lang w:val="en-US" w:eastAsia="zh-CN"/>
              </w:rPr>
              <w:t>8537662819</w:t>
            </w:r>
          </w:p>
        </w:tc>
        <w:tc>
          <w:tcPr>
            <w:tcW w:w="941" w:type="dxa"/>
            <w:noWrap w:val="0"/>
            <w:vAlign w:val="center"/>
          </w:tcPr>
          <w:p>
            <w:pPr>
              <w:spacing w:line="480" w:lineRule="exact"/>
              <w:jc w:val="center"/>
              <w:rPr>
                <w:bCs/>
                <w:sz w:val="24"/>
              </w:rPr>
            </w:pPr>
            <w:r>
              <w:rPr>
                <w:bCs/>
                <w:sz w:val="24"/>
              </w:rPr>
              <w:t>传真</w:t>
            </w:r>
          </w:p>
        </w:tc>
        <w:tc>
          <w:tcPr>
            <w:tcW w:w="2305" w:type="dxa"/>
            <w:gridSpan w:val="4"/>
            <w:noWrap w:val="0"/>
            <w:vAlign w:val="center"/>
          </w:tcPr>
          <w:p>
            <w:pPr>
              <w:spacing w:line="480" w:lineRule="exact"/>
              <w:jc w:val="center"/>
              <w:rPr>
                <w:sz w:val="24"/>
              </w:rPr>
            </w:pPr>
            <w:r>
              <w:rPr>
                <w:sz w:val="24"/>
              </w:rPr>
              <w:t>—</w:t>
            </w:r>
          </w:p>
        </w:tc>
        <w:tc>
          <w:tcPr>
            <w:tcW w:w="1262" w:type="dxa"/>
            <w:noWrap w:val="0"/>
            <w:vAlign w:val="center"/>
          </w:tcPr>
          <w:p>
            <w:pPr>
              <w:spacing w:line="480" w:lineRule="exact"/>
              <w:jc w:val="center"/>
              <w:rPr>
                <w:bCs/>
                <w:sz w:val="24"/>
              </w:rPr>
            </w:pPr>
            <w:r>
              <w:rPr>
                <w:bCs/>
                <w:sz w:val="24"/>
              </w:rPr>
              <w:t>邮政编码</w:t>
            </w:r>
          </w:p>
        </w:tc>
        <w:tc>
          <w:tcPr>
            <w:tcW w:w="1084" w:type="dxa"/>
            <w:gridSpan w:val="2"/>
            <w:noWrap w:val="0"/>
            <w:vAlign w:val="center"/>
          </w:tcPr>
          <w:p>
            <w:pPr>
              <w:spacing w:line="480" w:lineRule="exact"/>
              <w:jc w:val="center"/>
              <w:rPr>
                <w:sz w:val="24"/>
              </w:rPr>
            </w:pPr>
            <w:r>
              <w:rPr>
                <w:sz w:val="24"/>
              </w:rPr>
              <w:t>464400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440" w:hRule="atLeast"/>
        </w:trPr>
        <w:tc>
          <w:tcPr>
            <w:tcW w:w="1818" w:type="dxa"/>
            <w:noWrap w:val="0"/>
            <w:vAlign w:val="center"/>
          </w:tcPr>
          <w:p>
            <w:pPr>
              <w:spacing w:line="480" w:lineRule="exact"/>
              <w:jc w:val="center"/>
              <w:rPr>
                <w:b/>
                <w:sz w:val="24"/>
              </w:rPr>
            </w:pPr>
            <w:r>
              <w:rPr>
                <w:b/>
                <w:sz w:val="24"/>
              </w:rPr>
              <w:t>建设地点</w:t>
            </w:r>
          </w:p>
        </w:tc>
        <w:tc>
          <w:tcPr>
            <w:tcW w:w="7478" w:type="dxa"/>
            <w:gridSpan w:val="10"/>
            <w:noWrap w:val="0"/>
            <w:vAlign w:val="center"/>
          </w:tcPr>
          <w:p>
            <w:pPr>
              <w:spacing w:line="480" w:lineRule="exact"/>
              <w:jc w:val="center"/>
              <w:rPr>
                <w:rFonts w:hint="eastAsia" w:eastAsia="Calibri"/>
                <w:bCs/>
                <w:sz w:val="24"/>
                <w:lang w:val="en-US" w:eastAsia="zh-CN"/>
              </w:rPr>
            </w:pPr>
            <w:r>
              <w:rPr>
                <w:sz w:val="24"/>
              </w:rPr>
              <w:t>信阳市淮滨县</w:t>
            </w:r>
            <w:r>
              <w:rPr>
                <w:rFonts w:hint="eastAsia"/>
                <w:sz w:val="24"/>
                <w:lang w:val="en-US" w:eastAsia="zh-CN"/>
              </w:rPr>
              <w:t>城区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b/>
                <w:sz w:val="24"/>
              </w:rPr>
            </w:pPr>
            <w:r>
              <w:rPr>
                <w:b/>
                <w:sz w:val="24"/>
              </w:rPr>
              <w:t>立项审批部门</w:t>
            </w:r>
          </w:p>
        </w:tc>
        <w:tc>
          <w:tcPr>
            <w:tcW w:w="3780" w:type="dxa"/>
            <w:gridSpan w:val="5"/>
            <w:noWrap w:val="0"/>
            <w:tcMar>
              <w:left w:w="57" w:type="dxa"/>
            </w:tcMar>
            <w:vAlign w:val="center"/>
          </w:tcPr>
          <w:p>
            <w:pPr>
              <w:spacing w:line="480" w:lineRule="exact"/>
              <w:jc w:val="center"/>
              <w:rPr>
                <w:sz w:val="24"/>
              </w:rPr>
            </w:pPr>
            <w:r>
              <w:rPr>
                <w:sz w:val="24"/>
              </w:rPr>
              <w:t>淮滨县发展和改革委员会</w:t>
            </w:r>
          </w:p>
        </w:tc>
        <w:tc>
          <w:tcPr>
            <w:tcW w:w="1251" w:type="dxa"/>
            <w:noWrap w:val="0"/>
            <w:tcMar>
              <w:left w:w="28" w:type="dxa"/>
              <w:right w:w="28" w:type="dxa"/>
            </w:tcMar>
            <w:vAlign w:val="center"/>
          </w:tcPr>
          <w:p>
            <w:pPr>
              <w:spacing w:line="480" w:lineRule="exact"/>
              <w:jc w:val="center"/>
              <w:rPr>
                <w:b/>
                <w:sz w:val="24"/>
              </w:rPr>
            </w:pPr>
            <w:r>
              <w:rPr>
                <w:b/>
                <w:sz w:val="24"/>
              </w:rPr>
              <w:t>批准文号</w:t>
            </w:r>
          </w:p>
        </w:tc>
        <w:tc>
          <w:tcPr>
            <w:tcW w:w="2447" w:type="dxa"/>
            <w:gridSpan w:val="4"/>
            <w:noWrap w:val="0"/>
            <w:tcMar>
              <w:left w:w="0" w:type="dxa"/>
              <w:right w:w="0" w:type="dxa"/>
            </w:tcMar>
            <w:vAlign w:val="center"/>
          </w:tcPr>
          <w:p>
            <w:pPr>
              <w:spacing w:line="300" w:lineRule="exact"/>
              <w:jc w:val="center"/>
              <w:rPr>
                <w:rFonts w:hint="default" w:eastAsia="宋体"/>
                <w:sz w:val="24"/>
                <w:lang w:val="en-US" w:eastAsia="zh-CN"/>
              </w:rPr>
            </w:pPr>
            <w:r>
              <w:rPr>
                <w:rFonts w:hint="eastAsia"/>
                <w:sz w:val="24"/>
              </w:rPr>
              <w:t>淮发改【2020】</w:t>
            </w:r>
            <w:r>
              <w:rPr>
                <w:rFonts w:hint="eastAsia"/>
                <w:sz w:val="24"/>
                <w:lang w:val="en-US" w:eastAsia="zh-CN"/>
              </w:rPr>
              <w:t>25</w:t>
            </w:r>
            <w:r>
              <w:rPr>
                <w:rFonts w:hint="eastAsia"/>
                <w:sz w:val="24"/>
              </w:rPr>
              <w:t>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852" w:hRule="atLeast"/>
        </w:trPr>
        <w:tc>
          <w:tcPr>
            <w:tcW w:w="1818" w:type="dxa"/>
            <w:noWrap w:val="0"/>
            <w:vAlign w:val="center"/>
          </w:tcPr>
          <w:p>
            <w:pPr>
              <w:spacing w:line="480" w:lineRule="exact"/>
              <w:jc w:val="center"/>
              <w:rPr>
                <w:b/>
                <w:sz w:val="24"/>
              </w:rPr>
            </w:pPr>
            <w:r>
              <w:rPr>
                <w:b/>
                <w:sz w:val="24"/>
              </w:rPr>
              <w:t>建设性质</w:t>
            </w:r>
          </w:p>
        </w:tc>
        <w:tc>
          <w:tcPr>
            <w:tcW w:w="3780" w:type="dxa"/>
            <w:gridSpan w:val="5"/>
            <w:noWrap w:val="0"/>
            <w:vAlign w:val="center"/>
          </w:tcPr>
          <w:p>
            <w:pPr>
              <w:spacing w:line="480" w:lineRule="exact"/>
              <w:jc w:val="center"/>
              <w:rPr>
                <w:sz w:val="24"/>
              </w:rPr>
            </w:pPr>
            <w:r>
              <w:rPr>
                <w:sz w:val="24"/>
              </w:rPr>
              <w:t xml:space="preserve">新建√ </w:t>
            </w:r>
            <w:r>
              <w:rPr>
                <w:bCs/>
                <w:sz w:val="24"/>
              </w:rPr>
              <w:t xml:space="preserve">  </w:t>
            </w:r>
            <w:r>
              <w:rPr>
                <w:sz w:val="24"/>
              </w:rPr>
              <w:t xml:space="preserve"> 改扩建   技改</w:t>
            </w:r>
          </w:p>
        </w:tc>
        <w:tc>
          <w:tcPr>
            <w:tcW w:w="1251" w:type="dxa"/>
            <w:noWrap w:val="0"/>
            <w:tcMar>
              <w:left w:w="0" w:type="dxa"/>
              <w:right w:w="0" w:type="dxa"/>
            </w:tcMar>
            <w:vAlign w:val="center"/>
          </w:tcPr>
          <w:p>
            <w:pPr>
              <w:spacing w:line="480" w:lineRule="exact"/>
              <w:jc w:val="center"/>
              <w:rPr>
                <w:b/>
                <w:sz w:val="24"/>
              </w:rPr>
            </w:pPr>
            <w:r>
              <w:rPr>
                <w:b/>
                <w:sz w:val="24"/>
              </w:rPr>
              <w:t>行业类别</w:t>
            </w:r>
          </w:p>
          <w:p>
            <w:pPr>
              <w:spacing w:line="480" w:lineRule="exact"/>
              <w:jc w:val="center"/>
              <w:rPr>
                <w:b/>
                <w:sz w:val="24"/>
              </w:rPr>
            </w:pPr>
            <w:r>
              <w:rPr>
                <w:b/>
                <w:sz w:val="24"/>
              </w:rPr>
              <w:t>及代码</w:t>
            </w:r>
          </w:p>
        </w:tc>
        <w:tc>
          <w:tcPr>
            <w:tcW w:w="2447" w:type="dxa"/>
            <w:gridSpan w:val="4"/>
            <w:noWrap w:val="0"/>
            <w:vAlign w:val="center"/>
          </w:tcPr>
          <w:p>
            <w:pPr>
              <w:spacing w:line="300" w:lineRule="exact"/>
              <w:jc w:val="center"/>
              <w:rPr>
                <w:rFonts w:hint="eastAsia" w:eastAsia="Calibri"/>
                <w:bCs/>
                <w:kern w:val="0"/>
                <w:sz w:val="24"/>
                <w:lang w:val="en-US" w:eastAsia="zh-CN"/>
              </w:rPr>
            </w:pPr>
            <w:r>
              <w:rPr>
                <w:rFonts w:hint="eastAsia"/>
                <w:bCs/>
                <w:kern w:val="0"/>
                <w:sz w:val="24"/>
              </w:rPr>
              <w:t>D4</w:t>
            </w:r>
            <w:r>
              <w:rPr>
                <w:rFonts w:hint="eastAsia"/>
                <w:bCs/>
                <w:kern w:val="0"/>
                <w:sz w:val="24"/>
                <w:lang w:val="en-US" w:eastAsia="zh-CN"/>
              </w:rPr>
              <w:t>511天然气</w:t>
            </w:r>
            <w:r>
              <w:rPr>
                <w:rFonts w:hint="eastAsia"/>
                <w:bCs/>
                <w:kern w:val="0"/>
                <w:sz w:val="24"/>
              </w:rPr>
              <w:t>生产和供应</w:t>
            </w:r>
            <w:r>
              <w:rPr>
                <w:rFonts w:hint="eastAsia"/>
                <w:bCs/>
                <w:kern w:val="0"/>
                <w:sz w:val="24"/>
                <w:lang w:val="en-US" w:eastAsia="zh-CN"/>
              </w:rPr>
              <w:t>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rFonts w:hint="eastAsia" w:eastAsia="Calibri"/>
                <w:b/>
                <w:sz w:val="24"/>
                <w:lang w:eastAsia="zh-CN"/>
              </w:rPr>
            </w:pPr>
            <w:r>
              <w:rPr>
                <w:rFonts w:hint="eastAsia"/>
                <w:b/>
                <w:sz w:val="24"/>
                <w:lang w:val="en-US" w:eastAsia="zh-CN"/>
              </w:rPr>
              <w:t>长度</w:t>
            </w:r>
          </w:p>
          <w:p>
            <w:pPr>
              <w:spacing w:line="480" w:lineRule="exact"/>
              <w:jc w:val="center"/>
              <w:rPr>
                <w:b/>
                <w:sz w:val="24"/>
              </w:rPr>
            </w:pPr>
            <w:r>
              <w:rPr>
                <w:b/>
                <w:sz w:val="24"/>
              </w:rPr>
              <w:t>（</w:t>
            </w:r>
            <w:r>
              <w:rPr>
                <w:rFonts w:hint="eastAsia"/>
                <w:b/>
                <w:sz w:val="24"/>
                <w:lang w:val="en-US" w:eastAsia="zh-CN"/>
              </w:rPr>
              <w:t>千</w:t>
            </w:r>
            <w:r>
              <w:rPr>
                <w:b/>
                <w:sz w:val="24"/>
              </w:rPr>
              <w:t>米）</w:t>
            </w:r>
          </w:p>
        </w:tc>
        <w:tc>
          <w:tcPr>
            <w:tcW w:w="3780" w:type="dxa"/>
            <w:gridSpan w:val="5"/>
            <w:noWrap w:val="0"/>
            <w:vAlign w:val="center"/>
          </w:tcPr>
          <w:p>
            <w:pPr>
              <w:spacing w:line="480" w:lineRule="exact"/>
              <w:jc w:val="center"/>
              <w:rPr>
                <w:rFonts w:hint="default"/>
                <w:sz w:val="24"/>
                <w:lang w:val="en-US"/>
              </w:rPr>
            </w:pPr>
            <w:r>
              <w:rPr>
                <w:rFonts w:hint="eastAsia"/>
                <w:sz w:val="24"/>
                <w:lang w:val="en-US" w:eastAsia="zh-CN"/>
              </w:rPr>
              <w:t>63.8</w:t>
            </w:r>
          </w:p>
        </w:tc>
        <w:tc>
          <w:tcPr>
            <w:tcW w:w="1251" w:type="dxa"/>
            <w:noWrap w:val="0"/>
            <w:tcMar>
              <w:left w:w="0" w:type="dxa"/>
              <w:right w:w="0" w:type="dxa"/>
            </w:tcMar>
            <w:vAlign w:val="center"/>
          </w:tcPr>
          <w:p>
            <w:pPr>
              <w:spacing w:line="480" w:lineRule="exact"/>
              <w:jc w:val="center"/>
              <w:rPr>
                <w:b/>
                <w:sz w:val="24"/>
              </w:rPr>
            </w:pPr>
            <w:r>
              <w:rPr>
                <w:b/>
                <w:sz w:val="24"/>
              </w:rPr>
              <w:t>绿化面积</w:t>
            </w:r>
          </w:p>
          <w:p>
            <w:pPr>
              <w:spacing w:line="480" w:lineRule="exact"/>
              <w:jc w:val="center"/>
              <w:rPr>
                <w:b/>
                <w:sz w:val="24"/>
              </w:rPr>
            </w:pPr>
            <w:r>
              <w:rPr>
                <w:b/>
                <w:sz w:val="24"/>
              </w:rPr>
              <w:t>（平方米）</w:t>
            </w:r>
          </w:p>
        </w:tc>
        <w:tc>
          <w:tcPr>
            <w:tcW w:w="2447" w:type="dxa"/>
            <w:gridSpan w:val="4"/>
            <w:noWrap w:val="0"/>
            <w:vAlign w:val="center"/>
          </w:tcPr>
          <w:p>
            <w:pPr>
              <w:spacing w:line="480" w:lineRule="exact"/>
              <w:jc w:val="center"/>
              <w:rPr>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225" w:hRule="atLeast"/>
        </w:trPr>
        <w:tc>
          <w:tcPr>
            <w:tcW w:w="1818" w:type="dxa"/>
            <w:noWrap w:val="0"/>
            <w:vAlign w:val="center"/>
          </w:tcPr>
          <w:p>
            <w:pPr>
              <w:spacing w:line="480" w:lineRule="exact"/>
              <w:jc w:val="center"/>
              <w:rPr>
                <w:b/>
                <w:sz w:val="24"/>
              </w:rPr>
            </w:pPr>
            <w:r>
              <w:rPr>
                <w:b/>
                <w:sz w:val="24"/>
              </w:rPr>
              <w:t>总投资</w:t>
            </w:r>
          </w:p>
          <w:p>
            <w:pPr>
              <w:spacing w:line="480" w:lineRule="exact"/>
              <w:jc w:val="center"/>
              <w:rPr>
                <w:b/>
                <w:sz w:val="24"/>
              </w:rPr>
            </w:pPr>
            <w:r>
              <w:rPr>
                <w:b/>
                <w:sz w:val="24"/>
              </w:rPr>
              <w:t>（万元）</w:t>
            </w:r>
          </w:p>
        </w:tc>
        <w:tc>
          <w:tcPr>
            <w:tcW w:w="1512" w:type="dxa"/>
            <w:noWrap w:val="0"/>
            <w:vAlign w:val="center"/>
          </w:tcPr>
          <w:p>
            <w:pPr>
              <w:spacing w:line="480" w:lineRule="exact"/>
              <w:jc w:val="center"/>
              <w:rPr>
                <w:sz w:val="24"/>
              </w:rPr>
            </w:pPr>
            <w:r>
              <w:rPr>
                <w:rFonts w:hint="eastAsia"/>
                <w:sz w:val="24"/>
                <w:lang w:val="en-US" w:eastAsia="zh-CN"/>
              </w:rPr>
              <w:t>280</w:t>
            </w:r>
            <w:r>
              <w:rPr>
                <w:sz w:val="24"/>
              </w:rPr>
              <w:t>00</w:t>
            </w:r>
          </w:p>
        </w:tc>
        <w:tc>
          <w:tcPr>
            <w:tcW w:w="2268" w:type="dxa"/>
            <w:gridSpan w:val="4"/>
            <w:noWrap w:val="0"/>
            <w:vAlign w:val="center"/>
          </w:tcPr>
          <w:p>
            <w:pPr>
              <w:spacing w:line="480" w:lineRule="exact"/>
              <w:jc w:val="center"/>
              <w:rPr>
                <w:b/>
                <w:sz w:val="24"/>
              </w:rPr>
            </w:pPr>
            <w:r>
              <w:rPr>
                <w:b/>
                <w:sz w:val="24"/>
              </w:rPr>
              <w:t>其中：环保投资</w:t>
            </w:r>
          </w:p>
          <w:p>
            <w:pPr>
              <w:spacing w:line="480" w:lineRule="exact"/>
              <w:jc w:val="center"/>
              <w:rPr>
                <w:b/>
                <w:sz w:val="24"/>
              </w:rPr>
            </w:pPr>
            <w:r>
              <w:rPr>
                <w:b/>
                <w:sz w:val="24"/>
              </w:rPr>
              <w:t>（万元）</w:t>
            </w:r>
          </w:p>
        </w:tc>
        <w:tc>
          <w:tcPr>
            <w:tcW w:w="1251" w:type="dxa"/>
            <w:noWrap w:val="0"/>
            <w:vAlign w:val="center"/>
          </w:tcPr>
          <w:p>
            <w:pPr>
              <w:spacing w:line="480" w:lineRule="exact"/>
              <w:jc w:val="center"/>
              <w:rPr>
                <w:rFonts w:hint="default" w:eastAsia="宋体"/>
                <w:sz w:val="24"/>
                <w:highlight w:val="none"/>
                <w:lang w:val="en-US" w:eastAsia="zh-CN"/>
              </w:rPr>
            </w:pPr>
            <w:r>
              <w:rPr>
                <w:rFonts w:hint="eastAsia"/>
                <w:sz w:val="24"/>
                <w:highlight w:val="none"/>
                <w:lang w:val="en-US" w:eastAsia="zh-CN"/>
              </w:rPr>
              <w:t>864.5</w:t>
            </w:r>
          </w:p>
        </w:tc>
        <w:tc>
          <w:tcPr>
            <w:tcW w:w="1631" w:type="dxa"/>
            <w:gridSpan w:val="3"/>
            <w:noWrap w:val="0"/>
            <w:tcMar>
              <w:left w:w="0" w:type="dxa"/>
              <w:right w:w="0" w:type="dxa"/>
            </w:tcMar>
            <w:vAlign w:val="top"/>
          </w:tcPr>
          <w:p>
            <w:pPr>
              <w:spacing w:line="480" w:lineRule="exact"/>
              <w:jc w:val="center"/>
              <w:rPr>
                <w:rFonts w:eastAsia="黑体"/>
                <w:bCs/>
                <w:sz w:val="24"/>
                <w:highlight w:val="none"/>
              </w:rPr>
            </w:pPr>
            <w:r>
              <w:rPr>
                <w:b/>
                <w:sz w:val="24"/>
                <w:highlight w:val="none"/>
              </w:rPr>
              <w:t>环保投资占总投资比例</w:t>
            </w:r>
          </w:p>
        </w:tc>
        <w:tc>
          <w:tcPr>
            <w:tcW w:w="816" w:type="dxa"/>
            <w:noWrap w:val="0"/>
            <w:tcMar>
              <w:left w:w="0" w:type="dxa"/>
              <w:right w:w="0" w:type="dxa"/>
            </w:tcMar>
            <w:vAlign w:val="center"/>
          </w:tcPr>
          <w:p>
            <w:pPr>
              <w:spacing w:line="480" w:lineRule="exact"/>
              <w:jc w:val="center"/>
              <w:rPr>
                <w:sz w:val="24"/>
                <w:highlight w:val="none"/>
              </w:rPr>
            </w:pPr>
            <w:r>
              <w:rPr>
                <w:rFonts w:hint="eastAsia"/>
                <w:sz w:val="24"/>
                <w:highlight w:val="none"/>
                <w:lang w:val="en-US" w:eastAsia="zh-CN"/>
              </w:rPr>
              <w:t>3.08</w:t>
            </w:r>
            <w:r>
              <w:rPr>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934" w:hRule="atLeast"/>
        </w:trPr>
        <w:tc>
          <w:tcPr>
            <w:tcW w:w="1818" w:type="dxa"/>
            <w:noWrap w:val="0"/>
            <w:vAlign w:val="center"/>
          </w:tcPr>
          <w:p>
            <w:pPr>
              <w:spacing w:line="480" w:lineRule="exact"/>
              <w:jc w:val="center"/>
              <w:rPr>
                <w:b/>
                <w:sz w:val="24"/>
              </w:rPr>
            </w:pPr>
            <w:r>
              <w:rPr>
                <w:b/>
                <w:sz w:val="24"/>
              </w:rPr>
              <w:t>评价经费</w:t>
            </w:r>
          </w:p>
          <w:p>
            <w:pPr>
              <w:spacing w:line="480" w:lineRule="exact"/>
              <w:jc w:val="center"/>
              <w:rPr>
                <w:b/>
                <w:sz w:val="24"/>
              </w:rPr>
            </w:pPr>
            <w:r>
              <w:rPr>
                <w:b/>
                <w:sz w:val="24"/>
              </w:rPr>
              <w:t>（万元）</w:t>
            </w:r>
          </w:p>
        </w:tc>
        <w:tc>
          <w:tcPr>
            <w:tcW w:w="1512" w:type="dxa"/>
            <w:noWrap w:val="0"/>
            <w:vAlign w:val="center"/>
          </w:tcPr>
          <w:p>
            <w:pPr>
              <w:spacing w:line="480" w:lineRule="exact"/>
              <w:jc w:val="center"/>
              <w:rPr>
                <w:sz w:val="24"/>
              </w:rPr>
            </w:pPr>
            <w:r>
              <w:rPr>
                <w:sz w:val="24"/>
              </w:rPr>
              <w:t>/</w:t>
            </w:r>
          </w:p>
        </w:tc>
        <w:tc>
          <w:tcPr>
            <w:tcW w:w="2268" w:type="dxa"/>
            <w:gridSpan w:val="4"/>
            <w:noWrap w:val="0"/>
            <w:vAlign w:val="center"/>
          </w:tcPr>
          <w:p>
            <w:pPr>
              <w:spacing w:line="480" w:lineRule="exact"/>
              <w:jc w:val="center"/>
              <w:rPr>
                <w:b/>
                <w:sz w:val="24"/>
              </w:rPr>
            </w:pPr>
            <w:r>
              <w:rPr>
                <w:b/>
                <w:sz w:val="24"/>
              </w:rPr>
              <w:t>预期投产日期</w:t>
            </w:r>
          </w:p>
        </w:tc>
        <w:tc>
          <w:tcPr>
            <w:tcW w:w="3698" w:type="dxa"/>
            <w:gridSpan w:val="5"/>
            <w:noWrap w:val="0"/>
            <w:vAlign w:val="center"/>
          </w:tcPr>
          <w:p>
            <w:pPr>
              <w:spacing w:line="480" w:lineRule="exact"/>
              <w:jc w:val="center"/>
              <w:rPr>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1237" w:hRule="atLeast"/>
        </w:trPr>
        <w:tc>
          <w:tcPr>
            <w:tcW w:w="9296" w:type="dxa"/>
            <w:gridSpan w:val="11"/>
            <w:noWrap w:val="0"/>
            <w:vAlign w:val="center"/>
          </w:tcPr>
          <w:p>
            <w:pPr>
              <w:spacing w:line="360" w:lineRule="auto"/>
              <w:rPr>
                <w:b/>
                <w:bCs/>
                <w:sz w:val="24"/>
              </w:rPr>
            </w:pPr>
            <w:r>
              <w:rPr>
                <w:b/>
                <w:bCs/>
                <w:sz w:val="24"/>
              </w:rPr>
              <w:t>工程内容及规模：</w:t>
            </w:r>
          </w:p>
          <w:p>
            <w:pPr>
              <w:spacing w:line="520" w:lineRule="exact"/>
              <w:rPr>
                <w:sz w:val="24"/>
              </w:rPr>
            </w:pPr>
            <w:r>
              <w:rPr>
                <w:sz w:val="24"/>
              </w:rPr>
              <w:t>1、项目由来</w:t>
            </w:r>
          </w:p>
          <w:p>
            <w:pPr>
              <w:spacing w:line="480" w:lineRule="exact"/>
              <w:ind w:firstLine="480" w:firstLineChars="200"/>
              <w:rPr>
                <w:rFonts w:hint="default" w:eastAsia="宋体"/>
                <w:sz w:val="24"/>
                <w:lang w:val="en-US" w:eastAsia="zh-CN"/>
              </w:rPr>
            </w:pPr>
            <w:r>
              <w:rPr>
                <w:rFonts w:hint="eastAsia"/>
                <w:sz w:val="24"/>
                <w:lang w:eastAsia="zh-CN"/>
              </w:rPr>
              <w:t>近年来经济发展较快，天然气这一高洁能源的引入，不仅其本身 将会形成新的产业，也将带动一批新的利用天然气作为原（燃）料的 企业或产业的建立和发展，这将使河南省淮滨县的产业结构得到优化 调整，起到减少投资，保护环境的效果，对经济的发展产生相当的积 极作用。城市燃气管道化是城市基础设施之一，也是现代化城市的重要标 志，城市燃气管道化的规模及水平也是城市地位及实力的体现。淮滨 县城区燃气管网建设后，将大幅度提高城市的气化率，对于提升县城 整体形象，提高城市品位，改善人民物质生活条件，构建和谐社会有 着重要意义。本项目的实施，既符合淮滨县总体规划要求，也是城市基础设施现代化所必需的。</w:t>
            </w:r>
            <w:r>
              <w:rPr>
                <w:rFonts w:hint="eastAsia"/>
                <w:sz w:val="24"/>
                <w:lang w:val="en-US" w:eastAsia="zh-CN"/>
              </w:rPr>
              <w:t>为此，</w:t>
            </w:r>
            <w:r>
              <w:rPr>
                <w:rFonts w:hint="eastAsia"/>
                <w:sz w:val="24"/>
                <w:lang w:eastAsia="zh-CN"/>
              </w:rPr>
              <w:t>淮滨县城市管理局</w:t>
            </w:r>
            <w:r>
              <w:rPr>
                <w:sz w:val="24"/>
              </w:rPr>
              <w:t>拟投资</w:t>
            </w:r>
            <w:r>
              <w:rPr>
                <w:rFonts w:hint="eastAsia"/>
                <w:sz w:val="24"/>
                <w:lang w:val="en-US" w:eastAsia="zh-CN"/>
              </w:rPr>
              <w:t>280</w:t>
            </w:r>
            <w:r>
              <w:rPr>
                <w:sz w:val="24"/>
              </w:rPr>
              <w:t>00万元，在</w:t>
            </w:r>
            <w:r>
              <w:rPr>
                <w:rFonts w:hint="eastAsia"/>
                <w:sz w:val="24"/>
              </w:rPr>
              <w:t>信阳市淮滨县</w:t>
            </w:r>
            <w:r>
              <w:rPr>
                <w:sz w:val="24"/>
              </w:rPr>
              <w:t>建设</w:t>
            </w:r>
            <w:r>
              <w:rPr>
                <w:rFonts w:hint="eastAsia"/>
                <w:sz w:val="24"/>
                <w:lang w:eastAsia="zh-CN"/>
              </w:rPr>
              <w:t>淮滨县城区燃气管道建设项目</w:t>
            </w:r>
            <w:r>
              <w:rPr>
                <w:sz w:val="24"/>
              </w:rPr>
              <w:t>。</w:t>
            </w:r>
            <w:r>
              <w:rPr>
                <w:rFonts w:hint="eastAsia" w:eastAsia="宋体"/>
                <w:sz w:val="24"/>
                <w:lang w:val="en-US" w:eastAsia="zh-CN"/>
              </w:rPr>
              <w:t>工程施工范围主要限制在管道沿线。</w:t>
            </w:r>
          </w:p>
          <w:p>
            <w:pPr>
              <w:spacing w:line="480" w:lineRule="exact"/>
              <w:ind w:firstLine="480" w:firstLineChars="200"/>
              <w:rPr>
                <w:sz w:val="24"/>
              </w:rPr>
            </w:pPr>
            <w:r>
              <w:rPr>
                <w:sz w:val="24"/>
              </w:rPr>
              <w:t>对照《建设项目环境保护分类管理名录（环保部第44号令）》（2018年修订），本项目属于“</w:t>
            </w:r>
            <w:r>
              <w:rPr>
                <w:rFonts w:hint="eastAsia"/>
                <w:sz w:val="24"/>
                <w:lang w:val="en-US" w:eastAsia="zh-CN"/>
              </w:rPr>
              <w:t>四十九</w:t>
            </w:r>
            <w:r>
              <w:rPr>
                <w:sz w:val="24"/>
              </w:rPr>
              <w:t>、</w:t>
            </w:r>
            <w:r>
              <w:rPr>
                <w:rFonts w:hint="eastAsia"/>
                <w:sz w:val="24"/>
                <w:lang w:val="en-US" w:eastAsia="zh-CN"/>
              </w:rPr>
              <w:t>交通运输业</w:t>
            </w:r>
            <w:r>
              <w:rPr>
                <w:sz w:val="24"/>
              </w:rPr>
              <w:t>、</w:t>
            </w:r>
            <w:r>
              <w:rPr>
                <w:rFonts w:hint="eastAsia"/>
                <w:sz w:val="24"/>
                <w:lang w:val="en-US" w:eastAsia="zh-CN"/>
              </w:rPr>
              <w:t>管道运输业和仓储业</w:t>
            </w:r>
            <w:r>
              <w:rPr>
                <w:sz w:val="24"/>
              </w:rPr>
              <w:t>‘</w:t>
            </w:r>
            <w:r>
              <w:rPr>
                <w:rFonts w:hint="eastAsia"/>
                <w:sz w:val="24"/>
                <w:lang w:val="en-US" w:eastAsia="zh-CN"/>
              </w:rPr>
              <w:t>175</w:t>
            </w:r>
            <w:r>
              <w:rPr>
                <w:sz w:val="24"/>
              </w:rPr>
              <w:t>、</w:t>
            </w:r>
            <w:r>
              <w:rPr>
                <w:rFonts w:hint="eastAsia"/>
                <w:sz w:val="24"/>
                <w:lang w:val="en-US" w:eastAsia="zh-CN"/>
              </w:rPr>
              <w:t>城市管网及管廊建设</w:t>
            </w:r>
            <w:r>
              <w:rPr>
                <w:sz w:val="24"/>
              </w:rPr>
              <w:t>’”之列，应编制环境影响报告表。为此，</w:t>
            </w:r>
            <w:r>
              <w:rPr>
                <w:rFonts w:hint="eastAsia"/>
                <w:sz w:val="24"/>
                <w:lang w:eastAsia="zh-CN"/>
              </w:rPr>
              <w:t>淮滨县城市管理局</w:t>
            </w:r>
            <w:r>
              <w:rPr>
                <w:sz w:val="24"/>
              </w:rPr>
              <w:t>委托我公司承担该项目的环境影响评价工作（委托书见附件1）。我公司接受委托后，立即组织人员对该项目进行了现场踏勘和资料收集，按照环评技术规范的相关要求，编制完成《</w:t>
            </w:r>
            <w:r>
              <w:rPr>
                <w:rFonts w:hint="eastAsia"/>
                <w:sz w:val="24"/>
                <w:lang w:eastAsia="zh-CN"/>
              </w:rPr>
              <w:t>淮滨县城区燃气管道建设项目</w:t>
            </w:r>
            <w:r>
              <w:rPr>
                <w:sz w:val="24"/>
              </w:rPr>
              <w:t>环境影响报告表》，提交管理部门审查。</w:t>
            </w:r>
          </w:p>
          <w:p>
            <w:pPr>
              <w:spacing w:line="480" w:lineRule="exact"/>
              <w:rPr>
                <w:sz w:val="24"/>
              </w:rPr>
            </w:pPr>
            <w:r>
              <w:rPr>
                <w:sz w:val="24"/>
              </w:rPr>
              <w:t>2、产业政策及规划相符性</w:t>
            </w:r>
          </w:p>
          <w:p>
            <w:pPr>
              <w:spacing w:line="480" w:lineRule="exact"/>
              <w:ind w:firstLine="480" w:firstLineChars="200"/>
              <w:rPr>
                <w:sz w:val="24"/>
              </w:rPr>
            </w:pPr>
            <w:r>
              <w:rPr>
                <w:sz w:val="24"/>
              </w:rPr>
              <w:t>（1）本项目为</w:t>
            </w:r>
            <w:r>
              <w:rPr>
                <w:rFonts w:hint="eastAsia"/>
                <w:sz w:val="24"/>
                <w:lang w:val="en-US" w:eastAsia="zh-CN"/>
              </w:rPr>
              <w:t>天然气生产和供应</w:t>
            </w:r>
            <w:r>
              <w:rPr>
                <w:sz w:val="24"/>
              </w:rPr>
              <w:t>项目，项目不在国家发展和改革委员会令2013年第21号《产业结构调整指导目录（2011年本）》（2013年修正）“淘汰类、限制类”之列，属于允许类项目。因此，本项目的建设符合国家产业政策。该项目</w:t>
            </w:r>
            <w:r>
              <w:rPr>
                <w:rFonts w:hint="eastAsia"/>
                <w:sz w:val="24"/>
                <w:lang w:val="en-US" w:eastAsia="zh-CN"/>
              </w:rPr>
              <w:t>可行性研究报告</w:t>
            </w:r>
            <w:r>
              <w:rPr>
                <w:sz w:val="24"/>
              </w:rPr>
              <w:t>已</w:t>
            </w:r>
            <w:r>
              <w:rPr>
                <w:rFonts w:hint="eastAsia"/>
                <w:sz w:val="24"/>
                <w:lang w:val="en-US" w:eastAsia="zh-CN"/>
              </w:rPr>
              <w:t>通过</w:t>
            </w:r>
            <w:r>
              <w:rPr>
                <w:sz w:val="24"/>
              </w:rPr>
              <w:t>淮滨县发展和改革委员会</w:t>
            </w:r>
            <w:r>
              <w:rPr>
                <w:rFonts w:hint="eastAsia"/>
                <w:sz w:val="24"/>
                <w:lang w:val="en-US" w:eastAsia="zh-CN"/>
              </w:rPr>
              <w:t>审批</w:t>
            </w:r>
            <w:r>
              <w:rPr>
                <w:sz w:val="24"/>
              </w:rPr>
              <w:t>，</w:t>
            </w:r>
            <w:r>
              <w:rPr>
                <w:rFonts w:hint="eastAsia"/>
                <w:sz w:val="24"/>
                <w:lang w:val="en-US" w:eastAsia="zh-CN"/>
              </w:rPr>
              <w:t>批复文号为</w:t>
            </w:r>
            <w:r>
              <w:rPr>
                <w:sz w:val="24"/>
              </w:rPr>
              <w:t>：</w:t>
            </w:r>
            <w:r>
              <w:rPr>
                <w:rFonts w:hint="eastAsia"/>
                <w:sz w:val="24"/>
              </w:rPr>
              <w:t>淮发改【2020】</w:t>
            </w:r>
            <w:r>
              <w:rPr>
                <w:rFonts w:hint="eastAsia"/>
                <w:sz w:val="24"/>
                <w:lang w:val="en-US" w:eastAsia="zh-CN"/>
              </w:rPr>
              <w:t>25</w:t>
            </w:r>
            <w:r>
              <w:rPr>
                <w:rFonts w:hint="eastAsia"/>
                <w:sz w:val="24"/>
              </w:rPr>
              <w:t>号</w:t>
            </w:r>
            <w:r>
              <w:rPr>
                <w:sz w:val="24"/>
              </w:rPr>
              <w:t>（</w:t>
            </w:r>
            <w:r>
              <w:rPr>
                <w:rFonts w:hint="eastAsia"/>
                <w:sz w:val="24"/>
                <w:lang w:val="en-US" w:eastAsia="zh-CN"/>
              </w:rPr>
              <w:t>批复文件</w:t>
            </w:r>
            <w:r>
              <w:rPr>
                <w:sz w:val="24"/>
              </w:rPr>
              <w:t>见附件2）。</w:t>
            </w:r>
          </w:p>
          <w:p>
            <w:pPr>
              <w:spacing w:line="480" w:lineRule="exact"/>
              <w:ind w:firstLine="480" w:firstLineChars="200"/>
              <w:rPr>
                <w:sz w:val="24"/>
              </w:rPr>
            </w:pPr>
            <w:r>
              <w:rPr>
                <w:sz w:val="24"/>
              </w:rPr>
              <w:t>（2）规划相符性：本项目位于信阳市淮滨县，根据</w:t>
            </w:r>
            <w:r>
              <w:rPr>
                <w:rFonts w:hint="eastAsia"/>
                <w:sz w:val="24"/>
                <w:lang w:eastAsia="zh-CN"/>
              </w:rPr>
              <w:t>《</w:t>
            </w:r>
            <w:r>
              <w:rPr>
                <w:rFonts w:hint="eastAsia"/>
                <w:sz w:val="24"/>
                <w:lang w:val="en-US" w:eastAsia="zh-CN"/>
              </w:rPr>
              <w:t>淮滨县城乡总体规划（2017--2035年）</w:t>
            </w:r>
            <w:r>
              <w:rPr>
                <w:rFonts w:hint="eastAsia"/>
                <w:sz w:val="24"/>
                <w:lang w:eastAsia="zh-CN"/>
              </w:rPr>
              <w:t>》</w:t>
            </w:r>
            <w:r>
              <w:rPr>
                <w:sz w:val="24"/>
              </w:rPr>
              <w:t>，项目建设符合当地土地利用规划。</w:t>
            </w:r>
          </w:p>
          <w:p>
            <w:pPr>
              <w:spacing w:line="480" w:lineRule="exact"/>
              <w:rPr>
                <w:sz w:val="24"/>
              </w:rPr>
            </w:pPr>
            <w:r>
              <w:rPr>
                <w:sz w:val="24"/>
              </w:rPr>
              <w:t>3、项目工程内容</w:t>
            </w:r>
          </w:p>
          <w:p>
            <w:pPr>
              <w:spacing w:line="480" w:lineRule="exact"/>
              <w:rPr>
                <w:sz w:val="24"/>
              </w:rPr>
            </w:pPr>
            <w:r>
              <w:rPr>
                <w:sz w:val="24"/>
              </w:rPr>
              <w:t>3.1项目地理位置及周围概况</w:t>
            </w:r>
          </w:p>
          <w:p>
            <w:pPr>
              <w:spacing w:line="480" w:lineRule="exact"/>
              <w:ind w:firstLine="480" w:firstLineChars="200"/>
              <w:rPr>
                <w:sz w:val="24"/>
                <w:highlight w:val="none"/>
                <w:u w:val="none"/>
              </w:rPr>
            </w:pPr>
            <w:r>
              <w:rPr>
                <w:sz w:val="24"/>
                <w:highlight w:val="none"/>
                <w:u w:val="none"/>
              </w:rPr>
              <w:t>本项目位于信阳市</w:t>
            </w:r>
            <w:r>
              <w:rPr>
                <w:sz w:val="24"/>
                <w:highlight w:val="none"/>
              </w:rPr>
              <w:t>淮滨县</w:t>
            </w:r>
            <w:r>
              <w:rPr>
                <w:sz w:val="24"/>
                <w:highlight w:val="none"/>
                <w:u w:val="none"/>
              </w:rPr>
              <w:t>。</w:t>
            </w:r>
          </w:p>
          <w:p>
            <w:pPr>
              <w:spacing w:line="480" w:lineRule="exact"/>
              <w:ind w:firstLine="480" w:firstLineChars="200"/>
              <w:rPr>
                <w:sz w:val="24"/>
                <w:u w:val="none"/>
              </w:rPr>
            </w:pPr>
            <w:r>
              <w:rPr>
                <w:sz w:val="24"/>
                <w:u w:val="none"/>
              </w:rPr>
              <w:t>项目周边环境示意图见附图3。</w:t>
            </w:r>
          </w:p>
          <w:p>
            <w:pPr>
              <w:spacing w:line="480" w:lineRule="exact"/>
              <w:rPr>
                <w:rFonts w:hint="eastAsia" w:eastAsia="宋体"/>
                <w:sz w:val="24"/>
                <w:lang w:val="en-US" w:eastAsia="zh-CN"/>
              </w:rPr>
            </w:pPr>
            <w:r>
              <w:rPr>
                <w:rFonts w:hint="eastAsia" w:eastAsia="宋体"/>
                <w:sz w:val="24"/>
                <w:lang w:val="en-US" w:eastAsia="zh-CN"/>
              </w:rPr>
              <w:t>3.2项目概况</w:t>
            </w:r>
          </w:p>
          <w:p>
            <w:pPr>
              <w:spacing w:line="480" w:lineRule="exact"/>
              <w:ind w:firstLine="480" w:firstLineChars="200"/>
              <w:rPr>
                <w:rFonts w:hint="eastAsia"/>
                <w:sz w:val="24"/>
                <w:highlight w:val="none"/>
                <w:u w:val="none"/>
                <w:lang w:val="en-US" w:eastAsia="zh-CN"/>
              </w:rPr>
            </w:pPr>
            <w:r>
              <w:rPr>
                <w:rFonts w:hint="eastAsia"/>
                <w:sz w:val="24"/>
                <w:highlight w:val="none"/>
                <w:u w:val="none"/>
                <w:lang w:val="en-US" w:eastAsia="zh-CN"/>
              </w:rPr>
              <w:t>项目名称：</w:t>
            </w:r>
            <w:r>
              <w:rPr>
                <w:rFonts w:hint="eastAsia"/>
                <w:sz w:val="24"/>
                <w:lang w:eastAsia="zh-CN"/>
              </w:rPr>
              <w:t>淮滨县城区燃气管道建设项</w:t>
            </w:r>
            <w:r>
              <w:rPr>
                <w:rFonts w:hint="eastAsia"/>
                <w:sz w:val="24"/>
                <w:highlight w:val="none"/>
                <w:u w:val="none"/>
                <w:lang w:val="en-US" w:eastAsia="zh-CN"/>
              </w:rPr>
              <w:t>目</w:t>
            </w:r>
          </w:p>
          <w:p>
            <w:pPr>
              <w:pStyle w:val="7"/>
              <w:spacing w:before="161" w:line="364" w:lineRule="auto"/>
              <w:ind w:right="4487" w:firstLine="480" w:firstLineChars="200"/>
              <w:jc w:val="left"/>
              <w:rPr>
                <w:kern w:val="2"/>
                <w:sz w:val="24"/>
                <w:szCs w:val="24"/>
                <w:highlight w:val="none"/>
                <w:u w:val="none"/>
                <w:lang w:val="en-US" w:eastAsia="zh-CN" w:bidi="ar-SA"/>
              </w:rPr>
            </w:pPr>
            <w:r>
              <w:rPr>
                <w:kern w:val="2"/>
                <w:sz w:val="24"/>
                <w:szCs w:val="24"/>
                <w:highlight w:val="none"/>
                <w:u w:val="none"/>
                <w:lang w:val="en-US" w:eastAsia="zh-CN" w:bidi="ar-SA"/>
              </w:rPr>
              <w:t>建设单位：</w:t>
            </w:r>
            <w:r>
              <w:rPr>
                <w:rFonts w:hint="eastAsia"/>
                <w:kern w:val="2"/>
                <w:sz w:val="24"/>
                <w:szCs w:val="24"/>
                <w:highlight w:val="none"/>
                <w:u w:val="none"/>
                <w:lang w:val="en-US" w:eastAsia="zh-CN" w:bidi="ar-SA"/>
              </w:rPr>
              <w:t>淮滨县城市管理局</w:t>
            </w:r>
            <w:r>
              <w:rPr>
                <w:kern w:val="2"/>
                <w:sz w:val="24"/>
                <w:szCs w:val="24"/>
                <w:highlight w:val="none"/>
                <w:u w:val="none"/>
                <w:lang w:val="en-US" w:eastAsia="zh-CN" w:bidi="ar-SA"/>
              </w:rPr>
              <w:t xml:space="preserve"> </w:t>
            </w:r>
          </w:p>
          <w:p>
            <w:pPr>
              <w:spacing w:line="480" w:lineRule="exact"/>
              <w:ind w:firstLine="480" w:firstLineChars="200"/>
              <w:rPr>
                <w:sz w:val="24"/>
                <w:highlight w:val="none"/>
                <w:u w:val="none"/>
                <w:lang w:val="en-US" w:eastAsia="zh-CN"/>
              </w:rPr>
            </w:pPr>
            <w:r>
              <w:rPr>
                <w:sz w:val="24"/>
                <w:highlight w:val="none"/>
                <w:u w:val="none"/>
                <w:lang w:val="en-US" w:eastAsia="zh-CN"/>
              </w:rPr>
              <w:t>建设地点：</w:t>
            </w:r>
            <w:r>
              <w:rPr>
                <w:rFonts w:hint="eastAsia"/>
                <w:sz w:val="24"/>
                <w:highlight w:val="none"/>
                <w:u w:val="none"/>
                <w:lang w:val="en-US" w:eastAsia="zh-CN"/>
              </w:rPr>
              <w:t>信阳市淮滨县</w:t>
            </w:r>
          </w:p>
          <w:p>
            <w:pPr>
              <w:pStyle w:val="7"/>
              <w:spacing w:line="307" w:lineRule="exact"/>
              <w:ind w:firstLine="480" w:firstLineChars="200"/>
              <w:jc w:val="left"/>
              <w:rPr>
                <w:kern w:val="2"/>
                <w:sz w:val="24"/>
                <w:szCs w:val="24"/>
                <w:highlight w:val="none"/>
                <w:u w:val="none"/>
                <w:lang w:val="en-US" w:eastAsia="zh-CN" w:bidi="ar-SA"/>
              </w:rPr>
            </w:pPr>
            <w:r>
              <w:rPr>
                <w:kern w:val="2"/>
                <w:sz w:val="24"/>
                <w:szCs w:val="24"/>
                <w:highlight w:val="none"/>
                <w:u w:val="none"/>
                <w:lang w:val="en-US" w:eastAsia="zh-CN" w:bidi="ar-SA"/>
              </w:rPr>
              <w:t>建设性质：新建</w:t>
            </w:r>
          </w:p>
          <w:p>
            <w:pPr>
              <w:pStyle w:val="7"/>
              <w:spacing w:before="158"/>
              <w:ind w:firstLine="480" w:firstLineChars="200"/>
              <w:jc w:val="left"/>
              <w:rPr>
                <w:kern w:val="2"/>
                <w:sz w:val="24"/>
                <w:szCs w:val="24"/>
                <w:highlight w:val="none"/>
                <w:u w:val="none"/>
                <w:lang w:val="en-US" w:eastAsia="zh-CN" w:bidi="ar-SA"/>
              </w:rPr>
            </w:pPr>
            <w:r>
              <w:rPr>
                <w:kern w:val="2"/>
                <w:sz w:val="24"/>
                <w:szCs w:val="24"/>
                <w:highlight w:val="none"/>
                <w:u w:val="none"/>
                <w:lang w:val="en-US" w:eastAsia="zh-CN" w:bidi="ar-SA"/>
              </w:rPr>
              <w:t>建设工期：20</w:t>
            </w:r>
            <w:r>
              <w:rPr>
                <w:rFonts w:hint="eastAsia"/>
                <w:kern w:val="2"/>
                <w:sz w:val="24"/>
                <w:szCs w:val="24"/>
                <w:highlight w:val="none"/>
                <w:u w:val="none"/>
                <w:lang w:val="en-US" w:eastAsia="zh-CN" w:bidi="ar-SA"/>
              </w:rPr>
              <w:t>20</w:t>
            </w:r>
            <w:r>
              <w:rPr>
                <w:kern w:val="2"/>
                <w:sz w:val="24"/>
                <w:szCs w:val="24"/>
                <w:highlight w:val="none"/>
                <w:u w:val="none"/>
                <w:lang w:val="en-US" w:eastAsia="zh-CN" w:bidi="ar-SA"/>
              </w:rPr>
              <w:t>年</w:t>
            </w:r>
            <w:r>
              <w:rPr>
                <w:rFonts w:hint="eastAsia"/>
                <w:kern w:val="2"/>
                <w:sz w:val="24"/>
                <w:szCs w:val="24"/>
                <w:highlight w:val="none"/>
                <w:u w:val="none"/>
                <w:lang w:val="en-US" w:eastAsia="zh-CN" w:bidi="ar-SA"/>
              </w:rPr>
              <w:t>9</w:t>
            </w:r>
            <w:r>
              <w:rPr>
                <w:kern w:val="2"/>
                <w:sz w:val="24"/>
                <w:szCs w:val="24"/>
                <w:highlight w:val="none"/>
                <w:u w:val="none"/>
                <w:lang w:val="en-US" w:eastAsia="zh-CN" w:bidi="ar-SA"/>
              </w:rPr>
              <w:t>月—20</w:t>
            </w:r>
            <w:r>
              <w:rPr>
                <w:rFonts w:hint="eastAsia"/>
                <w:kern w:val="2"/>
                <w:sz w:val="24"/>
                <w:szCs w:val="24"/>
                <w:highlight w:val="none"/>
                <w:u w:val="none"/>
                <w:lang w:val="en-US" w:eastAsia="zh-CN" w:bidi="ar-SA"/>
              </w:rPr>
              <w:t>21</w:t>
            </w:r>
            <w:r>
              <w:rPr>
                <w:kern w:val="2"/>
                <w:sz w:val="24"/>
                <w:szCs w:val="24"/>
                <w:highlight w:val="none"/>
                <w:u w:val="none"/>
                <w:lang w:val="en-US" w:eastAsia="zh-CN" w:bidi="ar-SA"/>
              </w:rPr>
              <w:t>年</w:t>
            </w:r>
            <w:r>
              <w:rPr>
                <w:rFonts w:hint="eastAsia"/>
                <w:kern w:val="2"/>
                <w:sz w:val="24"/>
                <w:szCs w:val="24"/>
                <w:highlight w:val="none"/>
                <w:u w:val="none"/>
                <w:lang w:val="en-US" w:eastAsia="zh-CN" w:bidi="ar-SA"/>
              </w:rPr>
              <w:t>11</w:t>
            </w:r>
            <w:r>
              <w:rPr>
                <w:kern w:val="2"/>
                <w:sz w:val="24"/>
                <w:szCs w:val="24"/>
                <w:highlight w:val="none"/>
                <w:u w:val="none"/>
                <w:lang w:val="en-US" w:eastAsia="zh-CN" w:bidi="ar-SA"/>
              </w:rPr>
              <w:t>月，共计</w:t>
            </w:r>
            <w:r>
              <w:rPr>
                <w:rFonts w:hint="eastAsia"/>
                <w:kern w:val="2"/>
                <w:sz w:val="24"/>
                <w:szCs w:val="24"/>
                <w:highlight w:val="none"/>
                <w:u w:val="none"/>
                <w:lang w:val="en-US" w:eastAsia="zh-CN" w:bidi="ar-SA"/>
              </w:rPr>
              <w:t>1</w:t>
            </w:r>
            <w:r>
              <w:rPr>
                <w:kern w:val="2"/>
                <w:sz w:val="24"/>
                <w:szCs w:val="24"/>
                <w:highlight w:val="none"/>
                <w:u w:val="none"/>
                <w:lang w:val="en-US" w:eastAsia="zh-CN" w:bidi="ar-SA"/>
              </w:rPr>
              <w:t>4个月。</w:t>
            </w:r>
          </w:p>
          <w:p>
            <w:pPr>
              <w:pStyle w:val="7"/>
              <w:spacing w:before="158"/>
              <w:ind w:firstLine="480" w:firstLineChars="200"/>
              <w:jc w:val="left"/>
              <w:rPr>
                <w:kern w:val="2"/>
                <w:sz w:val="24"/>
                <w:szCs w:val="24"/>
                <w:highlight w:val="none"/>
                <w:u w:val="none"/>
                <w:lang w:val="en-US" w:eastAsia="zh-CN" w:bidi="ar-SA"/>
              </w:rPr>
            </w:pPr>
            <w:r>
              <w:rPr>
                <w:kern w:val="2"/>
                <w:sz w:val="24"/>
                <w:szCs w:val="24"/>
                <w:highlight w:val="none"/>
                <w:u w:val="none"/>
                <w:lang w:val="en-US" w:eastAsia="zh-CN" w:bidi="ar-SA"/>
              </w:rPr>
              <w:t>投资规模：本项目估算总投资</w:t>
            </w:r>
            <w:r>
              <w:rPr>
                <w:rFonts w:hint="eastAsia"/>
                <w:kern w:val="2"/>
                <w:sz w:val="24"/>
                <w:szCs w:val="24"/>
                <w:highlight w:val="none"/>
                <w:u w:val="none"/>
                <w:lang w:val="en-US" w:eastAsia="zh-CN" w:bidi="ar-SA"/>
              </w:rPr>
              <w:t>28000</w:t>
            </w:r>
            <w:r>
              <w:rPr>
                <w:kern w:val="2"/>
                <w:sz w:val="24"/>
                <w:szCs w:val="24"/>
                <w:highlight w:val="none"/>
                <w:u w:val="none"/>
                <w:lang w:val="en-US" w:eastAsia="zh-CN" w:bidi="ar-SA"/>
              </w:rPr>
              <w:t>万元。</w:t>
            </w:r>
          </w:p>
          <w:p>
            <w:pPr>
              <w:pStyle w:val="7"/>
              <w:spacing w:before="158"/>
              <w:ind w:firstLine="480" w:firstLineChars="200"/>
              <w:jc w:val="left"/>
              <w:rPr>
                <w:rFonts w:hint="default"/>
                <w:kern w:val="2"/>
                <w:sz w:val="24"/>
                <w:szCs w:val="24"/>
                <w:highlight w:val="none"/>
                <w:u w:val="none"/>
                <w:lang w:val="en-US" w:eastAsia="zh-CN" w:bidi="ar-SA"/>
              </w:rPr>
            </w:pPr>
            <w:r>
              <w:rPr>
                <w:rFonts w:hint="eastAsia"/>
                <w:kern w:val="2"/>
                <w:sz w:val="24"/>
                <w:szCs w:val="24"/>
                <w:highlight w:val="none"/>
                <w:u w:val="none"/>
                <w:lang w:val="en-US" w:eastAsia="zh-CN" w:bidi="ar-SA"/>
              </w:rPr>
              <w:t>服务范围：本工程服务范围《淮滨县城总体规划》、《淮滨县产业集聚区空间发展规划（2010-2020）》确定的城区范围及产业集聚区规划范围的天然气。</w:t>
            </w:r>
          </w:p>
          <w:p>
            <w:pPr>
              <w:spacing w:line="480" w:lineRule="exact"/>
              <w:rPr>
                <w:sz w:val="24"/>
              </w:rPr>
            </w:pPr>
            <w:r>
              <w:rPr>
                <w:sz w:val="24"/>
              </w:rPr>
              <w:t>3.</w:t>
            </w:r>
            <w:r>
              <w:rPr>
                <w:rFonts w:hint="eastAsia" w:eastAsia="宋体"/>
                <w:sz w:val="24"/>
                <w:lang w:val="en-US" w:eastAsia="zh-CN"/>
              </w:rPr>
              <w:t>3</w:t>
            </w:r>
            <w:r>
              <w:rPr>
                <w:sz w:val="24"/>
              </w:rPr>
              <w:t>项目建设内容</w:t>
            </w:r>
          </w:p>
          <w:p>
            <w:pPr>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新建城区管网 63.8 公里，分别为胡族到淮滨PE300聚乙烯管36500米，青年街白露河路往西至闾河路在往北拐至新汽车站 PE160聚乙烯管2000米，健康路北大埂沿北大埂至3号码头 PE160聚乙烯管1500米，青年街金梭东路至浙商纺织园PE160聚乙烯管500米， 立城大道平安大道往东PE200 聚乙烯管3000米，立城大道淮河大道往北至平安大道PE200聚乙烯管1000米，洪河路正义街往西至江淮名都PE160聚乙烯管 2000米，龙泉路金谷春大道往北至龙泉路栏杆街 PE160聚乙烯管4000米，正义街闾河路往北至平安大道PE160管3800米，金谷春大道乌龙酒厂往东至郑营村PE160聚乙烯管2500米， 乌龙大道青年街往北至平安大道PE160聚乙烯管1400米，正义街乌龙大道往东至龙泉路PE160聚乙烯管800米，民政路民仁街至龙泉路民仁街</w:t>
            </w:r>
            <w:r>
              <w:rPr>
                <w:rFonts w:hint="eastAsia" w:ascii="Times New Roman" w:hAnsi="Times New Roman" w:eastAsia="宋体" w:cs="Times New Roman"/>
                <w:sz w:val="24"/>
                <w:lang w:val="en-US" w:eastAsia="zh-CN"/>
              </w:rPr>
              <w:t>PE</w:t>
            </w:r>
            <w:r>
              <w:rPr>
                <w:rFonts w:hint="default" w:ascii="Times New Roman" w:hAnsi="Times New Roman" w:eastAsia="宋体" w:cs="Times New Roman"/>
                <w:sz w:val="24"/>
              </w:rPr>
              <w:t>110聚乙烯管300米，民政路曙光街至龙泉路曙光街PE110 聚乙烯管300米，民政路民义街至龙泉路民义街PE110聚乙烯管300米，民政路民礼街至龙泉路民礼街PE110聚乙烯管300 米，民政路卫 生街至龙泉路卫生街PE110聚乙烯管 300 米，民政路民智街至龙泉路民智街 PE110聚乙烯管300米，民政路民信街至龙泉路民信街PE110聚乙烯管300米，民政路博爱街至龙泉路博爱街PE110 聚乙烯管300米，乌龙大道文化路往西至淮商路 PE200聚乙烯管2400 米。</w:t>
            </w:r>
          </w:p>
          <w:p>
            <w:pPr>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本项目主要建设内容见表1。</w:t>
            </w:r>
          </w:p>
          <w:p>
            <w:pPr>
              <w:bidi w:val="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表1   主要经济技术指标表</w:t>
            </w:r>
          </w:p>
          <w:tbl>
            <w:tblPr>
              <w:tblStyle w:val="15"/>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3"/>
              <w:gridCol w:w="2590"/>
              <w:gridCol w:w="1194"/>
              <w:gridCol w:w="1678"/>
              <w:gridCol w:w="1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93"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序号</w:t>
                  </w:r>
                </w:p>
              </w:tc>
              <w:tc>
                <w:tcPr>
                  <w:tcW w:w="2590" w:type="dxa"/>
                  <w:noWrap w:val="0"/>
                  <w:vAlign w:val="center"/>
                </w:tcPr>
                <w:p>
                  <w:pPr>
                    <w:pStyle w:val="18"/>
                    <w:spacing w:before="106"/>
                    <w:ind w:left="12" w:right="7"/>
                    <w:jc w:val="center"/>
                    <w:rPr>
                      <w:rFonts w:hint="default" w:ascii="Times New Roman" w:hAnsi="Times New Roman" w:eastAsia="宋体" w:cs="Times New Roman"/>
                      <w:sz w:val="21"/>
                    </w:rPr>
                  </w:pPr>
                  <w:r>
                    <w:rPr>
                      <w:rFonts w:hint="default" w:ascii="Times New Roman" w:hAnsi="Times New Roman" w:eastAsia="宋体" w:cs="Times New Roman"/>
                      <w:sz w:val="21"/>
                    </w:rPr>
                    <w:t>指标名称</w:t>
                  </w:r>
                </w:p>
              </w:tc>
              <w:tc>
                <w:tcPr>
                  <w:tcW w:w="1194" w:type="dxa"/>
                  <w:noWrap w:val="0"/>
                  <w:vAlign w:val="center"/>
                </w:tcPr>
                <w:p>
                  <w:pPr>
                    <w:pStyle w:val="18"/>
                    <w:spacing w:before="106"/>
                    <w:ind w:left="365" w:right="359"/>
                    <w:jc w:val="center"/>
                    <w:rPr>
                      <w:rFonts w:hint="default" w:ascii="Times New Roman" w:hAnsi="Times New Roman" w:eastAsia="宋体" w:cs="Times New Roman"/>
                      <w:sz w:val="21"/>
                    </w:rPr>
                  </w:pPr>
                  <w:r>
                    <w:rPr>
                      <w:rFonts w:hint="default" w:ascii="Times New Roman" w:hAnsi="Times New Roman" w:eastAsia="宋体" w:cs="Times New Roman"/>
                      <w:sz w:val="21"/>
                    </w:rPr>
                    <w:t>单位</w:t>
                  </w:r>
                </w:p>
              </w:tc>
              <w:tc>
                <w:tcPr>
                  <w:tcW w:w="1678" w:type="dxa"/>
                  <w:noWrap w:val="0"/>
                  <w:vAlign w:val="center"/>
                </w:tcPr>
                <w:p>
                  <w:pPr>
                    <w:pStyle w:val="18"/>
                    <w:spacing w:before="106"/>
                    <w:ind w:left="152" w:right="143"/>
                    <w:jc w:val="center"/>
                    <w:rPr>
                      <w:rFonts w:hint="default" w:ascii="Times New Roman" w:hAnsi="Times New Roman" w:eastAsia="宋体" w:cs="Times New Roman"/>
                      <w:sz w:val="21"/>
                    </w:rPr>
                  </w:pPr>
                  <w:r>
                    <w:rPr>
                      <w:rFonts w:hint="default" w:ascii="Times New Roman" w:hAnsi="Times New Roman" w:eastAsia="宋体" w:cs="Times New Roman"/>
                      <w:sz w:val="21"/>
                    </w:rPr>
                    <w:t>数量</w:t>
                  </w:r>
                </w:p>
              </w:tc>
              <w:tc>
                <w:tcPr>
                  <w:tcW w:w="1678" w:type="dxa"/>
                  <w:noWrap w:val="0"/>
                  <w:vAlign w:val="center"/>
                </w:tcPr>
                <w:p>
                  <w:pPr>
                    <w:pStyle w:val="18"/>
                    <w:spacing w:before="106"/>
                    <w:ind w:left="151" w:right="143"/>
                    <w:jc w:val="center"/>
                    <w:rPr>
                      <w:rFonts w:hint="default" w:ascii="Times New Roman" w:hAnsi="Times New Roman" w:eastAsia="宋体" w:cs="Times New Roman"/>
                      <w:sz w:val="21"/>
                    </w:rPr>
                  </w:pPr>
                  <w:r>
                    <w:rPr>
                      <w:rFonts w:hint="default" w:ascii="Times New Roman" w:hAnsi="Times New Roman" w:eastAsia="宋体" w:cs="Times New Roman"/>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193" w:type="dxa"/>
                  <w:noWrap w:val="0"/>
                  <w:vAlign w:val="center"/>
                </w:tcPr>
                <w:p>
                  <w:pPr>
                    <w:pStyle w:val="18"/>
                    <w:spacing w:before="107"/>
                    <w:ind w:left="5"/>
                    <w:jc w:val="center"/>
                    <w:rPr>
                      <w:rFonts w:hint="default" w:ascii="Times New Roman" w:hAnsi="Times New Roman" w:eastAsia="宋体" w:cs="Times New Roman"/>
                      <w:sz w:val="21"/>
                    </w:rPr>
                  </w:pPr>
                  <w:r>
                    <w:rPr>
                      <w:rFonts w:hint="default" w:ascii="Times New Roman" w:hAnsi="Times New Roman" w:eastAsia="宋体" w:cs="Times New Roman"/>
                      <w:w w:val="99"/>
                      <w:sz w:val="21"/>
                    </w:rPr>
                    <w:t>一</w:t>
                  </w:r>
                </w:p>
              </w:tc>
              <w:tc>
                <w:tcPr>
                  <w:tcW w:w="2590" w:type="dxa"/>
                  <w:noWrap w:val="0"/>
                  <w:vAlign w:val="center"/>
                </w:tcPr>
                <w:p>
                  <w:pPr>
                    <w:pStyle w:val="18"/>
                    <w:spacing w:before="107"/>
                    <w:ind w:left="12" w:right="5"/>
                    <w:jc w:val="center"/>
                    <w:rPr>
                      <w:rFonts w:hint="default" w:ascii="Times New Roman" w:hAnsi="Times New Roman" w:eastAsia="宋体" w:cs="Times New Roman"/>
                      <w:sz w:val="21"/>
                    </w:rPr>
                  </w:pPr>
                  <w:r>
                    <w:rPr>
                      <w:rFonts w:hint="default" w:ascii="Times New Roman" w:hAnsi="Times New Roman" w:eastAsia="宋体" w:cs="Times New Roman"/>
                      <w:sz w:val="21"/>
                    </w:rPr>
                    <w:t>建设内容及规模</w:t>
                  </w:r>
                </w:p>
              </w:tc>
              <w:tc>
                <w:tcPr>
                  <w:tcW w:w="1194" w:type="dxa"/>
                  <w:noWrap w:val="0"/>
                  <w:vAlign w:val="center"/>
                </w:tcPr>
                <w:p>
                  <w:pPr>
                    <w:pStyle w:val="18"/>
                    <w:jc w:val="center"/>
                    <w:rPr>
                      <w:rFonts w:hint="default" w:ascii="Times New Roman" w:hAnsi="Times New Roman" w:eastAsia="宋体" w:cs="Times New Roman"/>
                      <w:sz w:val="24"/>
                    </w:rPr>
                  </w:pPr>
                </w:p>
              </w:tc>
              <w:tc>
                <w:tcPr>
                  <w:tcW w:w="1678" w:type="dxa"/>
                  <w:noWrap w:val="0"/>
                  <w:vAlign w:val="center"/>
                </w:tcPr>
                <w:p>
                  <w:pPr>
                    <w:pStyle w:val="18"/>
                    <w:jc w:val="center"/>
                    <w:rPr>
                      <w:rFonts w:hint="default" w:ascii="Times New Roman" w:hAnsi="Times New Roman" w:eastAsia="宋体" w:cs="Times New Roman"/>
                      <w:sz w:val="24"/>
                    </w:rPr>
                  </w:pPr>
                </w:p>
              </w:tc>
              <w:tc>
                <w:tcPr>
                  <w:tcW w:w="1678" w:type="dxa"/>
                  <w:noWrap w:val="0"/>
                  <w:vAlign w:val="center"/>
                </w:tcPr>
                <w:p>
                  <w:pPr>
                    <w:pStyle w:val="18"/>
                    <w:jc w:val="center"/>
                    <w:rPr>
                      <w:rFonts w:hint="default" w:ascii="Times New Roman" w:hAnsi="Times New Roman" w:eastAsia="宋体"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93" w:type="dxa"/>
                  <w:noWrap w:val="0"/>
                  <w:vAlign w:val="center"/>
                </w:tcPr>
                <w:p>
                  <w:pPr>
                    <w:pStyle w:val="18"/>
                    <w:spacing w:before="122"/>
                    <w:ind w:left="7"/>
                    <w:jc w:val="center"/>
                    <w:rPr>
                      <w:rFonts w:hint="default" w:ascii="Times New Roman" w:hAnsi="Times New Roman" w:eastAsia="宋体" w:cs="Times New Roman"/>
                      <w:sz w:val="21"/>
                    </w:rPr>
                  </w:pPr>
                  <w:r>
                    <w:rPr>
                      <w:rFonts w:hint="default" w:ascii="Times New Roman" w:hAnsi="Times New Roman" w:eastAsia="宋体" w:cs="Times New Roman"/>
                      <w:w w:val="99"/>
                      <w:sz w:val="21"/>
                    </w:rPr>
                    <w:t>1</w:t>
                  </w:r>
                </w:p>
              </w:tc>
              <w:tc>
                <w:tcPr>
                  <w:tcW w:w="2590" w:type="dxa"/>
                  <w:noWrap w:val="0"/>
                  <w:vAlign w:val="center"/>
                </w:tcPr>
                <w:p>
                  <w:pPr>
                    <w:pStyle w:val="18"/>
                    <w:spacing w:before="106"/>
                    <w:ind w:left="12" w:right="5"/>
                    <w:jc w:val="center"/>
                    <w:rPr>
                      <w:rFonts w:hint="default" w:ascii="Times New Roman" w:hAnsi="Times New Roman" w:eastAsia="宋体" w:cs="Times New Roman"/>
                      <w:sz w:val="21"/>
                    </w:rPr>
                  </w:pPr>
                  <w:r>
                    <w:rPr>
                      <w:rFonts w:hint="default" w:ascii="Times New Roman" w:hAnsi="Times New Roman" w:eastAsia="宋体" w:cs="Times New Roman"/>
                      <w:sz w:val="21"/>
                    </w:rPr>
                    <w:t>PE300 聚乙烯管</w:t>
                  </w:r>
                </w:p>
              </w:tc>
              <w:tc>
                <w:tcPr>
                  <w:tcW w:w="1194" w:type="dxa"/>
                  <w:noWrap w:val="0"/>
                  <w:vAlign w:val="center"/>
                </w:tcPr>
                <w:p>
                  <w:pPr>
                    <w:pStyle w:val="18"/>
                    <w:spacing w:before="122"/>
                    <w:ind w:left="10"/>
                    <w:jc w:val="center"/>
                    <w:rPr>
                      <w:rFonts w:hint="default" w:ascii="Times New Roman" w:hAnsi="Times New Roman" w:eastAsia="宋体" w:cs="Times New Roman"/>
                      <w:sz w:val="21"/>
                    </w:rPr>
                  </w:pPr>
                  <w:r>
                    <w:rPr>
                      <w:rFonts w:hint="default" w:ascii="Times New Roman" w:hAnsi="Times New Roman" w:eastAsia="宋体" w:cs="Times New Roman"/>
                      <w:w w:val="99"/>
                      <w:sz w:val="21"/>
                    </w:rPr>
                    <w:t>m</w:t>
                  </w:r>
                </w:p>
              </w:tc>
              <w:tc>
                <w:tcPr>
                  <w:tcW w:w="1678" w:type="dxa"/>
                  <w:noWrap w:val="0"/>
                  <w:vAlign w:val="center"/>
                </w:tcPr>
                <w:p>
                  <w:pPr>
                    <w:pStyle w:val="18"/>
                    <w:spacing w:before="122"/>
                    <w:ind w:left="148" w:right="143"/>
                    <w:jc w:val="center"/>
                    <w:rPr>
                      <w:rFonts w:hint="default" w:ascii="Times New Roman" w:hAnsi="Times New Roman" w:eastAsia="宋体" w:cs="Times New Roman"/>
                      <w:sz w:val="21"/>
                    </w:rPr>
                  </w:pPr>
                  <w:r>
                    <w:rPr>
                      <w:rFonts w:hint="default" w:ascii="Times New Roman" w:hAnsi="Times New Roman" w:eastAsia="宋体" w:cs="Times New Roman"/>
                      <w:sz w:val="21"/>
                    </w:rPr>
                    <w:t>36500</w:t>
                  </w:r>
                </w:p>
              </w:tc>
              <w:tc>
                <w:tcPr>
                  <w:tcW w:w="1678" w:type="dxa"/>
                  <w:noWrap w:val="0"/>
                  <w:vAlign w:val="center"/>
                </w:tcPr>
                <w:p>
                  <w:pPr>
                    <w:pStyle w:val="18"/>
                    <w:jc w:val="center"/>
                    <w:rPr>
                      <w:rFonts w:hint="default" w:ascii="Times New Roman" w:hAnsi="Times New Roman" w:eastAsia="宋体"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193" w:type="dxa"/>
                  <w:noWrap w:val="0"/>
                  <w:vAlign w:val="center"/>
                </w:tcPr>
                <w:p>
                  <w:pPr>
                    <w:pStyle w:val="18"/>
                    <w:spacing w:before="120"/>
                    <w:ind w:left="7"/>
                    <w:jc w:val="center"/>
                    <w:rPr>
                      <w:rFonts w:hint="default" w:ascii="Times New Roman" w:hAnsi="Times New Roman" w:eastAsia="宋体" w:cs="Times New Roman"/>
                      <w:sz w:val="21"/>
                    </w:rPr>
                  </w:pPr>
                  <w:r>
                    <w:rPr>
                      <w:rFonts w:hint="default" w:ascii="Times New Roman" w:hAnsi="Times New Roman" w:eastAsia="宋体" w:cs="Times New Roman"/>
                      <w:w w:val="99"/>
                      <w:sz w:val="21"/>
                    </w:rPr>
                    <w:t>2</w:t>
                  </w:r>
                </w:p>
              </w:tc>
              <w:tc>
                <w:tcPr>
                  <w:tcW w:w="2590" w:type="dxa"/>
                  <w:noWrap w:val="0"/>
                  <w:vAlign w:val="center"/>
                </w:tcPr>
                <w:p>
                  <w:pPr>
                    <w:pStyle w:val="18"/>
                    <w:spacing w:before="107"/>
                    <w:ind w:left="12" w:right="5"/>
                    <w:jc w:val="center"/>
                    <w:rPr>
                      <w:rFonts w:hint="default" w:ascii="Times New Roman" w:hAnsi="Times New Roman" w:eastAsia="宋体" w:cs="Times New Roman"/>
                      <w:sz w:val="21"/>
                    </w:rPr>
                  </w:pPr>
                  <w:r>
                    <w:rPr>
                      <w:rFonts w:hint="default" w:ascii="Times New Roman" w:hAnsi="Times New Roman" w:eastAsia="宋体" w:cs="Times New Roman"/>
                      <w:sz w:val="21"/>
                    </w:rPr>
                    <w:t>PE200 聚乙烯管</w:t>
                  </w:r>
                </w:p>
              </w:tc>
              <w:tc>
                <w:tcPr>
                  <w:tcW w:w="1194" w:type="dxa"/>
                  <w:noWrap w:val="0"/>
                  <w:vAlign w:val="center"/>
                </w:tcPr>
                <w:p>
                  <w:pPr>
                    <w:pStyle w:val="18"/>
                    <w:spacing w:before="120"/>
                    <w:ind w:left="10"/>
                    <w:jc w:val="center"/>
                    <w:rPr>
                      <w:rFonts w:hint="default" w:ascii="Times New Roman" w:hAnsi="Times New Roman" w:eastAsia="宋体" w:cs="Times New Roman"/>
                      <w:sz w:val="21"/>
                    </w:rPr>
                  </w:pPr>
                  <w:r>
                    <w:rPr>
                      <w:rFonts w:hint="default" w:ascii="Times New Roman" w:hAnsi="Times New Roman" w:eastAsia="宋体" w:cs="Times New Roman"/>
                      <w:w w:val="99"/>
                      <w:sz w:val="21"/>
                    </w:rPr>
                    <w:t>m</w:t>
                  </w:r>
                </w:p>
              </w:tc>
              <w:tc>
                <w:tcPr>
                  <w:tcW w:w="1678" w:type="dxa"/>
                  <w:noWrap w:val="0"/>
                  <w:vAlign w:val="center"/>
                </w:tcPr>
                <w:p>
                  <w:pPr>
                    <w:pStyle w:val="18"/>
                    <w:spacing w:before="120"/>
                    <w:ind w:left="153" w:right="143"/>
                    <w:jc w:val="center"/>
                    <w:rPr>
                      <w:rFonts w:hint="default" w:ascii="Times New Roman" w:hAnsi="Times New Roman" w:eastAsia="宋体" w:cs="Times New Roman"/>
                      <w:sz w:val="21"/>
                    </w:rPr>
                  </w:pPr>
                  <w:r>
                    <w:rPr>
                      <w:rFonts w:hint="default" w:ascii="Times New Roman" w:hAnsi="Times New Roman" w:eastAsia="宋体" w:cs="Times New Roman"/>
                      <w:sz w:val="21"/>
                    </w:rPr>
                    <w:t>6400</w:t>
                  </w:r>
                </w:p>
              </w:tc>
              <w:tc>
                <w:tcPr>
                  <w:tcW w:w="1678" w:type="dxa"/>
                  <w:noWrap w:val="0"/>
                  <w:vAlign w:val="center"/>
                </w:tcPr>
                <w:p>
                  <w:pPr>
                    <w:pStyle w:val="18"/>
                    <w:jc w:val="center"/>
                    <w:rPr>
                      <w:rFonts w:hint="default" w:ascii="Times New Roman" w:hAnsi="Times New Roman" w:eastAsia="宋体"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193" w:type="dxa"/>
                  <w:noWrap w:val="0"/>
                  <w:vAlign w:val="center"/>
                </w:tcPr>
                <w:p>
                  <w:pPr>
                    <w:pStyle w:val="18"/>
                    <w:spacing w:before="121"/>
                    <w:ind w:left="7"/>
                    <w:jc w:val="center"/>
                    <w:rPr>
                      <w:rFonts w:hint="default" w:ascii="Times New Roman" w:hAnsi="Times New Roman" w:eastAsia="宋体" w:cs="Times New Roman"/>
                      <w:sz w:val="21"/>
                    </w:rPr>
                  </w:pPr>
                  <w:r>
                    <w:rPr>
                      <w:rFonts w:hint="default" w:ascii="Times New Roman" w:hAnsi="Times New Roman" w:eastAsia="宋体" w:cs="Times New Roman"/>
                      <w:w w:val="99"/>
                      <w:sz w:val="21"/>
                    </w:rPr>
                    <w:t>3</w:t>
                  </w:r>
                </w:p>
              </w:tc>
              <w:tc>
                <w:tcPr>
                  <w:tcW w:w="2590" w:type="dxa"/>
                  <w:noWrap w:val="0"/>
                  <w:vAlign w:val="center"/>
                </w:tcPr>
                <w:p>
                  <w:pPr>
                    <w:pStyle w:val="18"/>
                    <w:spacing w:before="105"/>
                    <w:ind w:left="12" w:right="5"/>
                    <w:jc w:val="center"/>
                    <w:rPr>
                      <w:rFonts w:hint="default" w:ascii="Times New Roman" w:hAnsi="Times New Roman" w:eastAsia="宋体" w:cs="Times New Roman"/>
                      <w:sz w:val="21"/>
                    </w:rPr>
                  </w:pPr>
                  <w:r>
                    <w:rPr>
                      <w:rFonts w:hint="default" w:ascii="Times New Roman" w:hAnsi="Times New Roman" w:eastAsia="宋体" w:cs="Times New Roman"/>
                      <w:sz w:val="21"/>
                    </w:rPr>
                    <w:t>PE160 聚乙烯管</w:t>
                  </w:r>
                </w:p>
              </w:tc>
              <w:tc>
                <w:tcPr>
                  <w:tcW w:w="1194" w:type="dxa"/>
                  <w:noWrap w:val="0"/>
                  <w:vAlign w:val="center"/>
                </w:tcPr>
                <w:p>
                  <w:pPr>
                    <w:pStyle w:val="18"/>
                    <w:spacing w:before="121"/>
                    <w:ind w:left="10"/>
                    <w:jc w:val="center"/>
                    <w:rPr>
                      <w:rFonts w:hint="default" w:ascii="Times New Roman" w:hAnsi="Times New Roman" w:eastAsia="宋体" w:cs="Times New Roman"/>
                      <w:sz w:val="21"/>
                    </w:rPr>
                  </w:pPr>
                  <w:r>
                    <w:rPr>
                      <w:rFonts w:hint="default" w:ascii="Times New Roman" w:hAnsi="Times New Roman" w:eastAsia="宋体" w:cs="Times New Roman"/>
                      <w:w w:val="99"/>
                      <w:sz w:val="21"/>
                    </w:rPr>
                    <w:t>m</w:t>
                  </w:r>
                </w:p>
              </w:tc>
              <w:tc>
                <w:tcPr>
                  <w:tcW w:w="1678" w:type="dxa"/>
                  <w:noWrap w:val="0"/>
                  <w:vAlign w:val="center"/>
                </w:tcPr>
                <w:p>
                  <w:pPr>
                    <w:pStyle w:val="18"/>
                    <w:spacing w:before="121"/>
                    <w:ind w:left="148" w:right="143"/>
                    <w:jc w:val="center"/>
                    <w:rPr>
                      <w:rFonts w:hint="default" w:ascii="Times New Roman" w:hAnsi="Times New Roman" w:eastAsia="宋体" w:cs="Times New Roman"/>
                      <w:sz w:val="21"/>
                    </w:rPr>
                  </w:pPr>
                  <w:r>
                    <w:rPr>
                      <w:rFonts w:hint="default" w:ascii="Times New Roman" w:hAnsi="Times New Roman" w:eastAsia="宋体" w:cs="Times New Roman"/>
                      <w:sz w:val="21"/>
                    </w:rPr>
                    <w:t>18500</w:t>
                  </w:r>
                </w:p>
              </w:tc>
              <w:tc>
                <w:tcPr>
                  <w:tcW w:w="1678" w:type="dxa"/>
                  <w:noWrap w:val="0"/>
                  <w:vAlign w:val="center"/>
                </w:tcPr>
                <w:p>
                  <w:pPr>
                    <w:pStyle w:val="18"/>
                    <w:jc w:val="center"/>
                    <w:rPr>
                      <w:rFonts w:hint="default" w:ascii="Times New Roman" w:hAnsi="Times New Roman" w:eastAsia="宋体"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193" w:type="dxa"/>
                  <w:noWrap w:val="0"/>
                  <w:vAlign w:val="center"/>
                </w:tcPr>
                <w:p>
                  <w:pPr>
                    <w:pStyle w:val="18"/>
                    <w:spacing w:before="120"/>
                    <w:ind w:left="7"/>
                    <w:jc w:val="center"/>
                    <w:rPr>
                      <w:rFonts w:hint="default" w:ascii="Times New Roman" w:hAnsi="Times New Roman" w:eastAsia="宋体" w:cs="Times New Roman"/>
                      <w:sz w:val="21"/>
                    </w:rPr>
                  </w:pPr>
                  <w:r>
                    <w:rPr>
                      <w:rFonts w:hint="default" w:ascii="Times New Roman" w:hAnsi="Times New Roman" w:eastAsia="宋体" w:cs="Times New Roman"/>
                      <w:w w:val="99"/>
                      <w:sz w:val="21"/>
                    </w:rPr>
                    <w:t>4</w:t>
                  </w:r>
                </w:p>
              </w:tc>
              <w:tc>
                <w:tcPr>
                  <w:tcW w:w="2590" w:type="dxa"/>
                  <w:noWrap w:val="0"/>
                  <w:vAlign w:val="center"/>
                </w:tcPr>
                <w:p>
                  <w:pPr>
                    <w:pStyle w:val="18"/>
                    <w:spacing w:before="106"/>
                    <w:ind w:left="12" w:right="5"/>
                    <w:jc w:val="center"/>
                    <w:rPr>
                      <w:rFonts w:hint="default" w:ascii="Times New Roman" w:hAnsi="Times New Roman" w:eastAsia="宋体" w:cs="Times New Roman"/>
                      <w:sz w:val="21"/>
                    </w:rPr>
                  </w:pPr>
                  <w:r>
                    <w:rPr>
                      <w:rFonts w:hint="default" w:ascii="Times New Roman" w:hAnsi="Times New Roman" w:eastAsia="宋体" w:cs="Times New Roman"/>
                      <w:sz w:val="21"/>
                    </w:rPr>
                    <w:t>PE110 聚乙烯管</w:t>
                  </w:r>
                </w:p>
              </w:tc>
              <w:tc>
                <w:tcPr>
                  <w:tcW w:w="1194" w:type="dxa"/>
                  <w:noWrap w:val="0"/>
                  <w:vAlign w:val="center"/>
                </w:tcPr>
                <w:p>
                  <w:pPr>
                    <w:pStyle w:val="18"/>
                    <w:spacing w:before="120"/>
                    <w:ind w:left="10"/>
                    <w:jc w:val="center"/>
                    <w:rPr>
                      <w:rFonts w:hint="default" w:ascii="Times New Roman" w:hAnsi="Times New Roman" w:eastAsia="宋体" w:cs="Times New Roman"/>
                      <w:sz w:val="21"/>
                    </w:rPr>
                  </w:pPr>
                  <w:r>
                    <w:rPr>
                      <w:rFonts w:hint="default" w:ascii="Times New Roman" w:hAnsi="Times New Roman" w:eastAsia="宋体" w:cs="Times New Roman"/>
                      <w:w w:val="99"/>
                      <w:sz w:val="21"/>
                    </w:rPr>
                    <w:t>m</w:t>
                  </w:r>
                </w:p>
              </w:tc>
              <w:tc>
                <w:tcPr>
                  <w:tcW w:w="1678" w:type="dxa"/>
                  <w:noWrap w:val="0"/>
                  <w:vAlign w:val="center"/>
                </w:tcPr>
                <w:p>
                  <w:pPr>
                    <w:pStyle w:val="18"/>
                    <w:spacing w:before="120"/>
                    <w:ind w:left="153" w:right="143"/>
                    <w:jc w:val="center"/>
                    <w:rPr>
                      <w:rFonts w:hint="default" w:ascii="Times New Roman" w:hAnsi="Times New Roman" w:eastAsia="宋体" w:cs="Times New Roman"/>
                      <w:sz w:val="21"/>
                    </w:rPr>
                  </w:pPr>
                  <w:r>
                    <w:rPr>
                      <w:rFonts w:hint="default" w:ascii="Times New Roman" w:hAnsi="Times New Roman" w:eastAsia="宋体" w:cs="Times New Roman"/>
                      <w:sz w:val="21"/>
                    </w:rPr>
                    <w:t>2400</w:t>
                  </w:r>
                </w:p>
              </w:tc>
              <w:tc>
                <w:tcPr>
                  <w:tcW w:w="1678" w:type="dxa"/>
                  <w:noWrap w:val="0"/>
                  <w:vAlign w:val="center"/>
                </w:tcPr>
                <w:p>
                  <w:pPr>
                    <w:pStyle w:val="18"/>
                    <w:jc w:val="center"/>
                    <w:rPr>
                      <w:rFonts w:hint="default" w:ascii="Times New Roman" w:hAnsi="Times New Roman" w:eastAsia="宋体"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93" w:type="dxa"/>
                  <w:noWrap w:val="0"/>
                  <w:vAlign w:val="center"/>
                </w:tcPr>
                <w:p>
                  <w:pPr>
                    <w:pStyle w:val="18"/>
                    <w:spacing w:before="121"/>
                    <w:ind w:left="7"/>
                    <w:jc w:val="center"/>
                    <w:rPr>
                      <w:rFonts w:hint="default" w:ascii="Times New Roman" w:hAnsi="Times New Roman" w:eastAsia="宋体" w:cs="Times New Roman"/>
                      <w:sz w:val="21"/>
                    </w:rPr>
                  </w:pPr>
                  <w:r>
                    <w:rPr>
                      <w:rFonts w:hint="default" w:ascii="Times New Roman" w:hAnsi="Times New Roman" w:eastAsia="宋体" w:cs="Times New Roman"/>
                      <w:w w:val="99"/>
                      <w:sz w:val="21"/>
                    </w:rPr>
                    <w:t>5</w:t>
                  </w:r>
                </w:p>
              </w:tc>
              <w:tc>
                <w:tcPr>
                  <w:tcW w:w="2590" w:type="dxa"/>
                  <w:noWrap w:val="0"/>
                  <w:vAlign w:val="center"/>
                </w:tcPr>
                <w:p>
                  <w:pPr>
                    <w:pStyle w:val="18"/>
                    <w:spacing w:before="105"/>
                    <w:ind w:left="12" w:right="5"/>
                    <w:jc w:val="center"/>
                    <w:rPr>
                      <w:rFonts w:hint="default" w:ascii="Times New Roman" w:hAnsi="Times New Roman" w:eastAsia="宋体" w:cs="Times New Roman"/>
                      <w:sz w:val="21"/>
                    </w:rPr>
                  </w:pPr>
                  <w:r>
                    <w:rPr>
                      <w:rFonts w:hint="default" w:ascii="Times New Roman" w:hAnsi="Times New Roman" w:eastAsia="宋体" w:cs="Times New Roman"/>
                      <w:sz w:val="21"/>
                    </w:rPr>
                    <w:t>小计</w:t>
                  </w:r>
                </w:p>
              </w:tc>
              <w:tc>
                <w:tcPr>
                  <w:tcW w:w="1194" w:type="dxa"/>
                  <w:noWrap w:val="0"/>
                  <w:vAlign w:val="center"/>
                </w:tcPr>
                <w:p>
                  <w:pPr>
                    <w:pStyle w:val="18"/>
                    <w:spacing w:before="121"/>
                    <w:ind w:left="10"/>
                    <w:jc w:val="center"/>
                    <w:rPr>
                      <w:rFonts w:hint="default" w:ascii="Times New Roman" w:hAnsi="Times New Roman" w:eastAsia="宋体" w:cs="Times New Roman"/>
                      <w:sz w:val="21"/>
                    </w:rPr>
                  </w:pPr>
                  <w:r>
                    <w:rPr>
                      <w:rFonts w:hint="default" w:ascii="Times New Roman" w:hAnsi="Times New Roman" w:eastAsia="宋体" w:cs="Times New Roman"/>
                      <w:w w:val="99"/>
                      <w:sz w:val="21"/>
                    </w:rPr>
                    <w:t>m</w:t>
                  </w:r>
                </w:p>
              </w:tc>
              <w:tc>
                <w:tcPr>
                  <w:tcW w:w="1678" w:type="dxa"/>
                  <w:noWrap w:val="0"/>
                  <w:vAlign w:val="center"/>
                </w:tcPr>
                <w:p>
                  <w:pPr>
                    <w:pStyle w:val="18"/>
                    <w:spacing w:before="121"/>
                    <w:ind w:left="148" w:right="143"/>
                    <w:jc w:val="center"/>
                    <w:rPr>
                      <w:rFonts w:hint="default" w:ascii="Times New Roman" w:hAnsi="Times New Roman" w:eastAsia="宋体" w:cs="Times New Roman"/>
                      <w:sz w:val="21"/>
                    </w:rPr>
                  </w:pPr>
                  <w:r>
                    <w:rPr>
                      <w:rFonts w:hint="default" w:ascii="Times New Roman" w:hAnsi="Times New Roman" w:eastAsia="宋体" w:cs="Times New Roman"/>
                      <w:sz w:val="21"/>
                    </w:rPr>
                    <w:t>63800</w:t>
                  </w:r>
                </w:p>
              </w:tc>
              <w:tc>
                <w:tcPr>
                  <w:tcW w:w="1678" w:type="dxa"/>
                  <w:noWrap w:val="0"/>
                  <w:vAlign w:val="center"/>
                </w:tcPr>
                <w:p>
                  <w:pPr>
                    <w:pStyle w:val="18"/>
                    <w:jc w:val="center"/>
                    <w:rPr>
                      <w:rFonts w:hint="default" w:ascii="Times New Roman" w:hAnsi="Times New Roman" w:eastAsia="宋体"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93" w:type="dxa"/>
                  <w:noWrap w:val="0"/>
                  <w:vAlign w:val="center"/>
                </w:tcPr>
                <w:p>
                  <w:pPr>
                    <w:pStyle w:val="18"/>
                    <w:spacing w:before="106"/>
                    <w:ind w:left="5"/>
                    <w:jc w:val="center"/>
                    <w:rPr>
                      <w:rFonts w:hint="default" w:ascii="Times New Roman" w:hAnsi="Times New Roman" w:eastAsia="宋体" w:cs="Times New Roman"/>
                      <w:sz w:val="21"/>
                    </w:rPr>
                  </w:pPr>
                  <w:r>
                    <w:rPr>
                      <w:rFonts w:hint="default" w:ascii="Times New Roman" w:hAnsi="Times New Roman" w:eastAsia="宋体" w:cs="Times New Roman"/>
                      <w:w w:val="99"/>
                      <w:sz w:val="21"/>
                    </w:rPr>
                    <w:t>二</w:t>
                  </w:r>
                </w:p>
              </w:tc>
              <w:tc>
                <w:tcPr>
                  <w:tcW w:w="2590" w:type="dxa"/>
                  <w:noWrap w:val="0"/>
                  <w:vAlign w:val="center"/>
                </w:tcPr>
                <w:p>
                  <w:pPr>
                    <w:pStyle w:val="18"/>
                    <w:spacing w:before="106"/>
                    <w:ind w:left="12" w:right="5"/>
                    <w:jc w:val="center"/>
                    <w:rPr>
                      <w:rFonts w:hint="default" w:ascii="Times New Roman" w:hAnsi="Times New Roman" w:eastAsia="宋体" w:cs="Times New Roman"/>
                      <w:sz w:val="21"/>
                    </w:rPr>
                  </w:pPr>
                  <w:r>
                    <w:rPr>
                      <w:rFonts w:hint="default" w:ascii="Times New Roman" w:hAnsi="Times New Roman" w:eastAsia="宋体" w:cs="Times New Roman"/>
                      <w:sz w:val="21"/>
                    </w:rPr>
                    <w:t>工期</w:t>
                  </w:r>
                </w:p>
              </w:tc>
              <w:tc>
                <w:tcPr>
                  <w:tcW w:w="1194" w:type="dxa"/>
                  <w:noWrap w:val="0"/>
                  <w:vAlign w:val="center"/>
                </w:tcPr>
                <w:p>
                  <w:pPr>
                    <w:pStyle w:val="18"/>
                    <w:spacing w:before="106"/>
                    <w:ind w:left="8"/>
                    <w:jc w:val="center"/>
                    <w:rPr>
                      <w:rFonts w:hint="default" w:ascii="Times New Roman" w:hAnsi="Times New Roman" w:eastAsia="宋体" w:cs="Times New Roman"/>
                      <w:sz w:val="21"/>
                    </w:rPr>
                  </w:pPr>
                  <w:r>
                    <w:rPr>
                      <w:rFonts w:hint="default" w:ascii="Times New Roman" w:hAnsi="Times New Roman" w:eastAsia="宋体" w:cs="Times New Roman"/>
                      <w:w w:val="99"/>
                      <w:sz w:val="21"/>
                    </w:rPr>
                    <w:t>月</w:t>
                  </w:r>
                </w:p>
              </w:tc>
              <w:tc>
                <w:tcPr>
                  <w:tcW w:w="1678" w:type="dxa"/>
                  <w:noWrap w:val="0"/>
                  <w:vAlign w:val="center"/>
                </w:tcPr>
                <w:p>
                  <w:pPr>
                    <w:pStyle w:val="18"/>
                    <w:spacing w:before="120"/>
                    <w:ind w:left="151" w:right="143"/>
                    <w:jc w:val="center"/>
                    <w:rPr>
                      <w:rFonts w:hint="default" w:ascii="Times New Roman" w:hAnsi="Times New Roman" w:eastAsia="宋体" w:cs="Times New Roman"/>
                      <w:sz w:val="21"/>
                    </w:rPr>
                  </w:pPr>
                  <w:r>
                    <w:rPr>
                      <w:rFonts w:hint="default" w:ascii="Times New Roman" w:hAnsi="Times New Roman" w:eastAsia="宋体" w:cs="Times New Roman"/>
                      <w:sz w:val="21"/>
                    </w:rPr>
                    <w:t>16</w:t>
                  </w:r>
                </w:p>
              </w:tc>
              <w:tc>
                <w:tcPr>
                  <w:tcW w:w="1678" w:type="dxa"/>
                  <w:noWrap w:val="0"/>
                  <w:vAlign w:val="center"/>
                </w:tcPr>
                <w:p>
                  <w:pPr>
                    <w:pStyle w:val="18"/>
                    <w:spacing w:before="120"/>
                    <w:ind w:left="155" w:right="143"/>
                    <w:jc w:val="center"/>
                    <w:rPr>
                      <w:rFonts w:hint="default" w:ascii="Times New Roman" w:hAnsi="Times New Roman" w:eastAsia="宋体" w:cs="Times New Roman"/>
                      <w:sz w:val="21"/>
                    </w:rPr>
                  </w:pPr>
                  <w:r>
                    <w:rPr>
                      <w:rFonts w:hint="default" w:ascii="Times New Roman" w:hAnsi="Times New Roman" w:eastAsia="宋体" w:cs="Times New Roman"/>
                      <w:sz w:val="21"/>
                    </w:rPr>
                    <w:t>2020.9-2021.12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93" w:type="dxa"/>
                  <w:noWrap w:val="0"/>
                  <w:vAlign w:val="center"/>
                </w:tcPr>
                <w:p>
                  <w:pPr>
                    <w:pStyle w:val="18"/>
                    <w:spacing w:before="107"/>
                    <w:ind w:left="5"/>
                    <w:jc w:val="center"/>
                    <w:rPr>
                      <w:rFonts w:hint="default" w:ascii="Times New Roman" w:hAnsi="Times New Roman" w:eastAsia="宋体" w:cs="Times New Roman"/>
                      <w:sz w:val="21"/>
                    </w:rPr>
                  </w:pPr>
                  <w:r>
                    <w:rPr>
                      <w:rFonts w:hint="default" w:ascii="Times New Roman" w:hAnsi="Times New Roman" w:eastAsia="宋体" w:cs="Times New Roman"/>
                      <w:w w:val="99"/>
                      <w:sz w:val="21"/>
                    </w:rPr>
                    <w:t>三</w:t>
                  </w:r>
                </w:p>
              </w:tc>
              <w:tc>
                <w:tcPr>
                  <w:tcW w:w="2590" w:type="dxa"/>
                  <w:noWrap w:val="0"/>
                  <w:vAlign w:val="center"/>
                </w:tcPr>
                <w:p>
                  <w:pPr>
                    <w:pStyle w:val="18"/>
                    <w:spacing w:before="107"/>
                    <w:ind w:left="12" w:right="7"/>
                    <w:jc w:val="center"/>
                    <w:rPr>
                      <w:rFonts w:hint="default" w:ascii="Times New Roman" w:hAnsi="Times New Roman" w:eastAsia="宋体" w:cs="Times New Roman"/>
                      <w:sz w:val="21"/>
                    </w:rPr>
                  </w:pPr>
                  <w:r>
                    <w:rPr>
                      <w:rFonts w:hint="default" w:ascii="Times New Roman" w:hAnsi="Times New Roman" w:eastAsia="宋体" w:cs="Times New Roman"/>
                      <w:sz w:val="21"/>
                    </w:rPr>
                    <w:t>项目投资</w:t>
                  </w:r>
                </w:p>
              </w:tc>
              <w:tc>
                <w:tcPr>
                  <w:tcW w:w="1194" w:type="dxa"/>
                  <w:noWrap w:val="0"/>
                  <w:vAlign w:val="center"/>
                </w:tcPr>
                <w:p>
                  <w:pPr>
                    <w:pStyle w:val="18"/>
                    <w:spacing w:before="107"/>
                    <w:ind w:left="365" w:right="359"/>
                    <w:jc w:val="center"/>
                    <w:rPr>
                      <w:rFonts w:hint="default" w:ascii="Times New Roman" w:hAnsi="Times New Roman" w:eastAsia="宋体" w:cs="Times New Roman"/>
                      <w:sz w:val="21"/>
                    </w:rPr>
                  </w:pPr>
                  <w:r>
                    <w:rPr>
                      <w:rFonts w:hint="default" w:ascii="Times New Roman" w:hAnsi="Times New Roman" w:eastAsia="宋体" w:cs="Times New Roman"/>
                      <w:sz w:val="21"/>
                    </w:rPr>
                    <w:t>万元</w:t>
                  </w:r>
                </w:p>
              </w:tc>
              <w:tc>
                <w:tcPr>
                  <w:tcW w:w="1678" w:type="dxa"/>
                  <w:noWrap w:val="0"/>
                  <w:vAlign w:val="center"/>
                </w:tcPr>
                <w:p>
                  <w:pPr>
                    <w:pStyle w:val="18"/>
                    <w:spacing w:before="121"/>
                    <w:ind w:left="153" w:right="143"/>
                    <w:jc w:val="center"/>
                    <w:rPr>
                      <w:rFonts w:hint="default" w:ascii="Times New Roman" w:hAnsi="Times New Roman" w:eastAsia="宋体" w:cs="Times New Roman"/>
                      <w:sz w:val="21"/>
                    </w:rPr>
                  </w:pPr>
                  <w:r>
                    <w:rPr>
                      <w:rFonts w:hint="default" w:ascii="Times New Roman" w:hAnsi="Times New Roman" w:eastAsia="宋体" w:cs="Times New Roman"/>
                      <w:sz w:val="21"/>
                    </w:rPr>
                    <w:t>28000.00</w:t>
                  </w:r>
                </w:p>
              </w:tc>
              <w:tc>
                <w:tcPr>
                  <w:tcW w:w="1678" w:type="dxa"/>
                  <w:noWrap w:val="0"/>
                  <w:vAlign w:val="center"/>
                </w:tcPr>
                <w:p>
                  <w:pPr>
                    <w:pStyle w:val="18"/>
                    <w:jc w:val="center"/>
                    <w:rPr>
                      <w:rFonts w:hint="default" w:ascii="Times New Roman" w:hAnsi="Times New Roman" w:eastAsia="宋体"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93" w:type="dxa"/>
                  <w:noWrap w:val="0"/>
                  <w:vAlign w:val="center"/>
                </w:tcPr>
                <w:p>
                  <w:pPr>
                    <w:pStyle w:val="18"/>
                    <w:spacing w:before="122"/>
                    <w:ind w:left="7"/>
                    <w:jc w:val="center"/>
                    <w:rPr>
                      <w:rFonts w:hint="default" w:ascii="Times New Roman" w:hAnsi="Times New Roman" w:eastAsia="宋体" w:cs="Times New Roman"/>
                      <w:sz w:val="21"/>
                    </w:rPr>
                  </w:pPr>
                  <w:r>
                    <w:rPr>
                      <w:rFonts w:hint="default" w:ascii="Times New Roman" w:hAnsi="Times New Roman" w:eastAsia="宋体" w:cs="Times New Roman"/>
                      <w:w w:val="99"/>
                      <w:sz w:val="21"/>
                    </w:rPr>
                    <w:t>1</w:t>
                  </w:r>
                </w:p>
              </w:tc>
              <w:tc>
                <w:tcPr>
                  <w:tcW w:w="2590" w:type="dxa"/>
                  <w:noWrap w:val="0"/>
                  <w:vAlign w:val="center"/>
                </w:tcPr>
                <w:p>
                  <w:pPr>
                    <w:pStyle w:val="18"/>
                    <w:spacing w:before="105"/>
                    <w:ind w:left="12" w:right="7"/>
                    <w:jc w:val="center"/>
                    <w:rPr>
                      <w:rFonts w:hint="default" w:ascii="Times New Roman" w:hAnsi="Times New Roman" w:eastAsia="宋体" w:cs="Times New Roman"/>
                      <w:sz w:val="21"/>
                    </w:rPr>
                  </w:pPr>
                  <w:r>
                    <w:rPr>
                      <w:rFonts w:hint="default" w:ascii="Times New Roman" w:hAnsi="Times New Roman" w:eastAsia="宋体" w:cs="Times New Roman"/>
                      <w:sz w:val="21"/>
                    </w:rPr>
                    <w:t>第一部分工程费用</w:t>
                  </w:r>
                </w:p>
              </w:tc>
              <w:tc>
                <w:tcPr>
                  <w:tcW w:w="1194" w:type="dxa"/>
                  <w:noWrap w:val="0"/>
                  <w:vAlign w:val="center"/>
                </w:tcPr>
                <w:p>
                  <w:pPr>
                    <w:pStyle w:val="18"/>
                    <w:spacing w:before="105"/>
                    <w:ind w:left="365" w:right="359"/>
                    <w:jc w:val="center"/>
                    <w:rPr>
                      <w:rFonts w:hint="default" w:ascii="Times New Roman" w:hAnsi="Times New Roman" w:eastAsia="宋体" w:cs="Times New Roman"/>
                      <w:sz w:val="21"/>
                    </w:rPr>
                  </w:pPr>
                  <w:r>
                    <w:rPr>
                      <w:rFonts w:hint="default" w:ascii="Times New Roman" w:hAnsi="Times New Roman" w:eastAsia="宋体" w:cs="Times New Roman"/>
                      <w:sz w:val="21"/>
                    </w:rPr>
                    <w:t>万元</w:t>
                  </w:r>
                </w:p>
              </w:tc>
              <w:tc>
                <w:tcPr>
                  <w:tcW w:w="1678" w:type="dxa"/>
                  <w:noWrap w:val="0"/>
                  <w:vAlign w:val="center"/>
                </w:tcPr>
                <w:p>
                  <w:pPr>
                    <w:pStyle w:val="18"/>
                    <w:spacing w:before="122"/>
                    <w:ind w:left="153" w:right="143"/>
                    <w:jc w:val="center"/>
                    <w:rPr>
                      <w:rFonts w:hint="default" w:ascii="Times New Roman" w:hAnsi="Times New Roman" w:eastAsia="宋体" w:cs="Times New Roman"/>
                      <w:sz w:val="21"/>
                    </w:rPr>
                  </w:pPr>
                  <w:r>
                    <w:rPr>
                      <w:rFonts w:hint="default" w:ascii="Times New Roman" w:hAnsi="Times New Roman" w:eastAsia="宋体" w:cs="Times New Roman"/>
                      <w:sz w:val="21"/>
                    </w:rPr>
                    <w:t>23626.02</w:t>
                  </w:r>
                </w:p>
              </w:tc>
              <w:tc>
                <w:tcPr>
                  <w:tcW w:w="1678" w:type="dxa"/>
                  <w:noWrap w:val="0"/>
                  <w:vAlign w:val="center"/>
                </w:tcPr>
                <w:p>
                  <w:pPr>
                    <w:pStyle w:val="18"/>
                    <w:spacing w:before="122"/>
                    <w:ind w:left="155" w:right="143"/>
                    <w:jc w:val="center"/>
                    <w:rPr>
                      <w:rFonts w:hint="default" w:ascii="Times New Roman" w:hAnsi="Times New Roman" w:eastAsia="宋体" w:cs="Times New Roman"/>
                      <w:sz w:val="21"/>
                    </w:rPr>
                  </w:pPr>
                  <w:r>
                    <w:rPr>
                      <w:rFonts w:hint="default" w:ascii="Times New Roman" w:hAnsi="Times New Roman" w:eastAsia="宋体" w:cs="Times New Roman"/>
                      <w:sz w:val="21"/>
                    </w:rPr>
                    <w:t>84.38%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193" w:type="dxa"/>
                  <w:noWrap w:val="0"/>
                  <w:vAlign w:val="center"/>
                </w:tcPr>
                <w:p>
                  <w:pPr>
                    <w:pStyle w:val="18"/>
                    <w:spacing w:before="120"/>
                    <w:ind w:left="7"/>
                    <w:jc w:val="center"/>
                    <w:rPr>
                      <w:rFonts w:hint="default" w:ascii="Times New Roman" w:hAnsi="Times New Roman" w:eastAsia="宋体" w:cs="Times New Roman"/>
                      <w:sz w:val="21"/>
                    </w:rPr>
                  </w:pPr>
                  <w:r>
                    <w:rPr>
                      <w:rFonts w:hint="default" w:ascii="Times New Roman" w:hAnsi="Times New Roman" w:eastAsia="宋体" w:cs="Times New Roman"/>
                      <w:w w:val="99"/>
                      <w:sz w:val="21"/>
                    </w:rPr>
                    <w:t>2</w:t>
                  </w:r>
                </w:p>
              </w:tc>
              <w:tc>
                <w:tcPr>
                  <w:tcW w:w="2590" w:type="dxa"/>
                  <w:noWrap w:val="0"/>
                  <w:vAlign w:val="center"/>
                </w:tcPr>
                <w:p>
                  <w:pPr>
                    <w:pStyle w:val="18"/>
                    <w:spacing w:before="106"/>
                    <w:ind w:left="12" w:right="7"/>
                    <w:jc w:val="center"/>
                    <w:rPr>
                      <w:rFonts w:hint="default" w:ascii="Times New Roman" w:hAnsi="Times New Roman" w:eastAsia="宋体" w:cs="Times New Roman"/>
                      <w:sz w:val="21"/>
                    </w:rPr>
                  </w:pPr>
                  <w:r>
                    <w:rPr>
                      <w:rFonts w:hint="default" w:ascii="Times New Roman" w:hAnsi="Times New Roman" w:eastAsia="宋体" w:cs="Times New Roman"/>
                      <w:sz w:val="21"/>
                    </w:rPr>
                    <w:t>第二部分建设工程其他费用</w:t>
                  </w:r>
                </w:p>
              </w:tc>
              <w:tc>
                <w:tcPr>
                  <w:tcW w:w="1194" w:type="dxa"/>
                  <w:noWrap w:val="0"/>
                  <w:vAlign w:val="center"/>
                </w:tcPr>
                <w:p>
                  <w:pPr>
                    <w:pStyle w:val="18"/>
                    <w:spacing w:before="106"/>
                    <w:ind w:left="365" w:right="359"/>
                    <w:jc w:val="center"/>
                    <w:rPr>
                      <w:rFonts w:hint="default" w:ascii="Times New Roman" w:hAnsi="Times New Roman" w:eastAsia="宋体" w:cs="Times New Roman"/>
                      <w:sz w:val="21"/>
                    </w:rPr>
                  </w:pPr>
                  <w:r>
                    <w:rPr>
                      <w:rFonts w:hint="default" w:ascii="Times New Roman" w:hAnsi="Times New Roman" w:eastAsia="宋体" w:cs="Times New Roman"/>
                      <w:sz w:val="21"/>
                    </w:rPr>
                    <w:t>万元</w:t>
                  </w:r>
                </w:p>
              </w:tc>
              <w:tc>
                <w:tcPr>
                  <w:tcW w:w="1678" w:type="dxa"/>
                  <w:noWrap w:val="0"/>
                  <w:vAlign w:val="center"/>
                </w:tcPr>
                <w:p>
                  <w:pPr>
                    <w:pStyle w:val="18"/>
                    <w:spacing w:before="120"/>
                    <w:ind w:left="153" w:right="143"/>
                    <w:jc w:val="center"/>
                    <w:rPr>
                      <w:rFonts w:hint="default" w:ascii="Times New Roman" w:hAnsi="Times New Roman" w:eastAsia="宋体" w:cs="Times New Roman"/>
                      <w:sz w:val="21"/>
                    </w:rPr>
                  </w:pPr>
                  <w:r>
                    <w:rPr>
                      <w:rFonts w:hint="default" w:ascii="Times New Roman" w:hAnsi="Times New Roman" w:eastAsia="宋体" w:cs="Times New Roman"/>
                      <w:sz w:val="21"/>
                    </w:rPr>
                    <w:t>2299.91</w:t>
                  </w:r>
                </w:p>
              </w:tc>
              <w:tc>
                <w:tcPr>
                  <w:tcW w:w="1678" w:type="dxa"/>
                  <w:noWrap w:val="0"/>
                  <w:vAlign w:val="center"/>
                </w:tcPr>
                <w:p>
                  <w:pPr>
                    <w:pStyle w:val="18"/>
                    <w:spacing w:before="120"/>
                    <w:ind w:left="152" w:right="143"/>
                    <w:jc w:val="center"/>
                    <w:rPr>
                      <w:rFonts w:hint="default" w:ascii="Times New Roman" w:hAnsi="Times New Roman" w:eastAsia="宋体" w:cs="Times New Roman"/>
                      <w:sz w:val="21"/>
                    </w:rPr>
                  </w:pPr>
                  <w:r>
                    <w:rPr>
                      <w:rFonts w:hint="default" w:ascii="Times New Roman" w:hAnsi="Times New Roman" w:eastAsia="宋体" w:cs="Times New Roman"/>
                      <w:sz w:val="21"/>
                    </w:rPr>
                    <w:t>8.21%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93" w:type="dxa"/>
                  <w:noWrap w:val="0"/>
                  <w:vAlign w:val="center"/>
                </w:tcPr>
                <w:p>
                  <w:pPr>
                    <w:pStyle w:val="18"/>
                    <w:spacing w:before="121"/>
                    <w:ind w:left="7"/>
                    <w:jc w:val="center"/>
                    <w:rPr>
                      <w:rFonts w:hint="default" w:ascii="Times New Roman" w:hAnsi="Times New Roman" w:eastAsia="宋体" w:cs="Times New Roman"/>
                      <w:sz w:val="21"/>
                    </w:rPr>
                  </w:pPr>
                  <w:r>
                    <w:rPr>
                      <w:rFonts w:hint="default" w:ascii="Times New Roman" w:hAnsi="Times New Roman" w:eastAsia="宋体" w:cs="Times New Roman"/>
                      <w:w w:val="99"/>
                      <w:sz w:val="21"/>
                    </w:rPr>
                    <w:t>3</w:t>
                  </w:r>
                </w:p>
              </w:tc>
              <w:tc>
                <w:tcPr>
                  <w:tcW w:w="2590" w:type="dxa"/>
                  <w:noWrap w:val="0"/>
                  <w:vAlign w:val="center"/>
                </w:tcPr>
                <w:p>
                  <w:pPr>
                    <w:pStyle w:val="18"/>
                    <w:spacing w:before="105"/>
                    <w:ind w:left="12" w:right="5"/>
                    <w:jc w:val="center"/>
                    <w:rPr>
                      <w:rFonts w:hint="default" w:ascii="Times New Roman" w:hAnsi="Times New Roman" w:eastAsia="宋体" w:cs="Times New Roman"/>
                      <w:sz w:val="21"/>
                    </w:rPr>
                  </w:pPr>
                  <w:r>
                    <w:rPr>
                      <w:rFonts w:hint="default" w:ascii="Times New Roman" w:hAnsi="Times New Roman" w:eastAsia="宋体" w:cs="Times New Roman"/>
                      <w:sz w:val="21"/>
                    </w:rPr>
                    <w:t>预备费</w:t>
                  </w:r>
                </w:p>
              </w:tc>
              <w:tc>
                <w:tcPr>
                  <w:tcW w:w="1194" w:type="dxa"/>
                  <w:noWrap w:val="0"/>
                  <w:vAlign w:val="center"/>
                </w:tcPr>
                <w:p>
                  <w:pPr>
                    <w:pStyle w:val="18"/>
                    <w:spacing w:before="105"/>
                    <w:ind w:left="365" w:right="359"/>
                    <w:jc w:val="center"/>
                    <w:rPr>
                      <w:rFonts w:hint="default" w:ascii="Times New Roman" w:hAnsi="Times New Roman" w:eastAsia="宋体" w:cs="Times New Roman"/>
                      <w:sz w:val="21"/>
                    </w:rPr>
                  </w:pPr>
                  <w:r>
                    <w:rPr>
                      <w:rFonts w:hint="default" w:ascii="Times New Roman" w:hAnsi="Times New Roman" w:eastAsia="宋体" w:cs="Times New Roman"/>
                      <w:sz w:val="21"/>
                    </w:rPr>
                    <w:t>万元</w:t>
                  </w:r>
                </w:p>
              </w:tc>
              <w:tc>
                <w:tcPr>
                  <w:tcW w:w="1678" w:type="dxa"/>
                  <w:noWrap w:val="0"/>
                  <w:vAlign w:val="center"/>
                </w:tcPr>
                <w:p>
                  <w:pPr>
                    <w:pStyle w:val="18"/>
                    <w:spacing w:before="121"/>
                    <w:ind w:left="153" w:right="143"/>
                    <w:jc w:val="center"/>
                    <w:rPr>
                      <w:rFonts w:hint="default" w:ascii="Times New Roman" w:hAnsi="Times New Roman" w:eastAsia="宋体" w:cs="Times New Roman"/>
                      <w:sz w:val="21"/>
                    </w:rPr>
                  </w:pPr>
                  <w:r>
                    <w:rPr>
                      <w:rFonts w:hint="default" w:ascii="Times New Roman" w:hAnsi="Times New Roman" w:eastAsia="宋体" w:cs="Times New Roman"/>
                      <w:sz w:val="21"/>
                    </w:rPr>
                    <w:t>2074.07</w:t>
                  </w:r>
                </w:p>
              </w:tc>
              <w:tc>
                <w:tcPr>
                  <w:tcW w:w="1678" w:type="dxa"/>
                  <w:noWrap w:val="0"/>
                  <w:vAlign w:val="center"/>
                </w:tcPr>
                <w:p>
                  <w:pPr>
                    <w:pStyle w:val="18"/>
                    <w:spacing w:before="121"/>
                    <w:ind w:left="152" w:right="143"/>
                    <w:jc w:val="center"/>
                    <w:rPr>
                      <w:rFonts w:hint="default" w:ascii="Times New Roman" w:hAnsi="Times New Roman" w:eastAsia="宋体" w:cs="Times New Roman"/>
                      <w:sz w:val="21"/>
                    </w:rPr>
                  </w:pPr>
                  <w:r>
                    <w:rPr>
                      <w:rFonts w:hint="default" w:ascii="Times New Roman" w:hAnsi="Times New Roman" w:eastAsia="宋体" w:cs="Times New Roman"/>
                      <w:sz w:val="21"/>
                    </w:rPr>
                    <w:t>7.41%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93" w:type="dxa"/>
                  <w:noWrap w:val="0"/>
                  <w:vAlign w:val="center"/>
                </w:tcPr>
                <w:p>
                  <w:pPr>
                    <w:pStyle w:val="18"/>
                    <w:spacing w:before="106"/>
                    <w:ind w:left="5"/>
                    <w:jc w:val="center"/>
                    <w:rPr>
                      <w:rFonts w:hint="default" w:ascii="Times New Roman" w:hAnsi="Times New Roman" w:eastAsia="宋体" w:cs="Times New Roman"/>
                      <w:sz w:val="21"/>
                    </w:rPr>
                  </w:pPr>
                  <w:r>
                    <w:rPr>
                      <w:rFonts w:hint="default" w:ascii="Times New Roman" w:hAnsi="Times New Roman" w:eastAsia="宋体" w:cs="Times New Roman"/>
                      <w:w w:val="99"/>
                      <w:sz w:val="21"/>
                    </w:rPr>
                    <w:t>四</w:t>
                  </w:r>
                </w:p>
              </w:tc>
              <w:tc>
                <w:tcPr>
                  <w:tcW w:w="2590" w:type="dxa"/>
                  <w:noWrap w:val="0"/>
                  <w:vAlign w:val="center"/>
                </w:tcPr>
                <w:p>
                  <w:pPr>
                    <w:pStyle w:val="18"/>
                    <w:spacing w:before="106"/>
                    <w:ind w:left="12" w:right="7"/>
                    <w:jc w:val="center"/>
                    <w:rPr>
                      <w:rFonts w:hint="default" w:ascii="Times New Roman" w:hAnsi="Times New Roman" w:eastAsia="宋体" w:cs="Times New Roman"/>
                      <w:sz w:val="21"/>
                    </w:rPr>
                  </w:pPr>
                  <w:r>
                    <w:rPr>
                      <w:rFonts w:hint="default" w:ascii="Times New Roman" w:hAnsi="Times New Roman" w:eastAsia="宋体" w:cs="Times New Roman"/>
                      <w:sz w:val="21"/>
                    </w:rPr>
                    <w:t>资金来源</w:t>
                  </w:r>
                </w:p>
              </w:tc>
              <w:tc>
                <w:tcPr>
                  <w:tcW w:w="1194" w:type="dxa"/>
                  <w:noWrap w:val="0"/>
                  <w:vAlign w:val="center"/>
                </w:tcPr>
                <w:p>
                  <w:pPr>
                    <w:pStyle w:val="18"/>
                    <w:jc w:val="center"/>
                    <w:rPr>
                      <w:rFonts w:hint="default" w:ascii="Times New Roman" w:hAnsi="Times New Roman" w:eastAsia="宋体" w:cs="Times New Roman"/>
                      <w:sz w:val="24"/>
                    </w:rPr>
                  </w:pPr>
                </w:p>
              </w:tc>
              <w:tc>
                <w:tcPr>
                  <w:tcW w:w="1678" w:type="dxa"/>
                  <w:noWrap w:val="0"/>
                  <w:vAlign w:val="center"/>
                </w:tcPr>
                <w:p>
                  <w:pPr>
                    <w:pStyle w:val="18"/>
                    <w:jc w:val="center"/>
                    <w:rPr>
                      <w:rFonts w:hint="default" w:ascii="Times New Roman" w:hAnsi="Times New Roman" w:eastAsia="宋体" w:cs="Times New Roman"/>
                      <w:sz w:val="24"/>
                    </w:rPr>
                  </w:pPr>
                </w:p>
              </w:tc>
              <w:tc>
                <w:tcPr>
                  <w:tcW w:w="1678" w:type="dxa"/>
                  <w:noWrap w:val="0"/>
                  <w:vAlign w:val="center"/>
                </w:tcPr>
                <w:p>
                  <w:pPr>
                    <w:pStyle w:val="18"/>
                    <w:jc w:val="center"/>
                    <w:rPr>
                      <w:rFonts w:hint="default" w:ascii="Times New Roman" w:hAnsi="Times New Roman" w:eastAsia="宋体"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93" w:type="dxa"/>
                  <w:noWrap w:val="0"/>
                  <w:vAlign w:val="center"/>
                </w:tcPr>
                <w:p>
                  <w:pPr>
                    <w:pStyle w:val="18"/>
                    <w:spacing w:before="121"/>
                    <w:ind w:left="7"/>
                    <w:jc w:val="center"/>
                    <w:rPr>
                      <w:rFonts w:hint="default" w:ascii="Times New Roman" w:hAnsi="Times New Roman" w:eastAsia="宋体" w:cs="Times New Roman"/>
                      <w:sz w:val="21"/>
                    </w:rPr>
                  </w:pPr>
                  <w:r>
                    <w:rPr>
                      <w:rFonts w:hint="default" w:ascii="Times New Roman" w:hAnsi="Times New Roman" w:eastAsia="宋体" w:cs="Times New Roman"/>
                      <w:w w:val="99"/>
                      <w:sz w:val="21"/>
                    </w:rPr>
                    <w:t>1</w:t>
                  </w:r>
                </w:p>
              </w:tc>
              <w:tc>
                <w:tcPr>
                  <w:tcW w:w="2590" w:type="dxa"/>
                  <w:noWrap w:val="0"/>
                  <w:vAlign w:val="center"/>
                </w:tcPr>
                <w:p>
                  <w:pPr>
                    <w:pStyle w:val="18"/>
                    <w:spacing w:before="107"/>
                    <w:ind w:left="12" w:right="5"/>
                    <w:jc w:val="center"/>
                    <w:rPr>
                      <w:rFonts w:hint="default" w:ascii="Times New Roman" w:hAnsi="Times New Roman" w:eastAsia="宋体" w:cs="Times New Roman"/>
                      <w:sz w:val="21"/>
                    </w:rPr>
                  </w:pPr>
                  <w:r>
                    <w:rPr>
                      <w:rFonts w:hint="default" w:ascii="Times New Roman" w:hAnsi="Times New Roman" w:eastAsia="宋体" w:cs="Times New Roman"/>
                      <w:sz w:val="21"/>
                    </w:rPr>
                    <w:t>自筹及申请中央预算资金</w:t>
                  </w:r>
                </w:p>
              </w:tc>
              <w:tc>
                <w:tcPr>
                  <w:tcW w:w="1194" w:type="dxa"/>
                  <w:noWrap w:val="0"/>
                  <w:vAlign w:val="center"/>
                </w:tcPr>
                <w:p>
                  <w:pPr>
                    <w:pStyle w:val="18"/>
                    <w:spacing w:before="107"/>
                    <w:ind w:left="365" w:right="359"/>
                    <w:jc w:val="center"/>
                    <w:rPr>
                      <w:rFonts w:hint="default" w:ascii="Times New Roman" w:hAnsi="Times New Roman" w:eastAsia="宋体" w:cs="Times New Roman"/>
                      <w:sz w:val="21"/>
                    </w:rPr>
                  </w:pPr>
                  <w:r>
                    <w:rPr>
                      <w:rFonts w:hint="default" w:ascii="Times New Roman" w:hAnsi="Times New Roman" w:eastAsia="宋体" w:cs="Times New Roman"/>
                      <w:sz w:val="21"/>
                    </w:rPr>
                    <w:t>万元</w:t>
                  </w:r>
                </w:p>
              </w:tc>
              <w:tc>
                <w:tcPr>
                  <w:tcW w:w="1678" w:type="dxa"/>
                  <w:noWrap w:val="0"/>
                  <w:vAlign w:val="center"/>
                </w:tcPr>
                <w:p>
                  <w:pPr>
                    <w:pStyle w:val="18"/>
                    <w:spacing w:before="121"/>
                    <w:ind w:left="153" w:right="143"/>
                    <w:jc w:val="center"/>
                    <w:rPr>
                      <w:rFonts w:hint="default" w:ascii="Times New Roman" w:hAnsi="Times New Roman" w:eastAsia="宋体" w:cs="Times New Roman"/>
                      <w:sz w:val="21"/>
                    </w:rPr>
                  </w:pPr>
                  <w:r>
                    <w:rPr>
                      <w:rFonts w:hint="default" w:ascii="Times New Roman" w:hAnsi="Times New Roman" w:eastAsia="宋体" w:cs="Times New Roman"/>
                      <w:sz w:val="21"/>
                    </w:rPr>
                    <w:t>28000.00</w:t>
                  </w:r>
                </w:p>
              </w:tc>
              <w:tc>
                <w:tcPr>
                  <w:tcW w:w="1678" w:type="dxa"/>
                  <w:noWrap w:val="0"/>
                  <w:vAlign w:val="center"/>
                </w:tcPr>
                <w:p>
                  <w:pPr>
                    <w:pStyle w:val="18"/>
                    <w:jc w:val="center"/>
                    <w:rPr>
                      <w:rFonts w:hint="default" w:ascii="Times New Roman" w:hAnsi="Times New Roman" w:eastAsia="宋体" w:cs="Times New Roman"/>
                      <w:sz w:val="24"/>
                    </w:rPr>
                  </w:pPr>
                </w:p>
              </w:tc>
            </w:tr>
          </w:tbl>
          <w:p>
            <w:pPr>
              <w:pStyle w:val="3"/>
              <w:ind w:left="796" w:right="873" w:firstLine="0"/>
              <w:jc w:val="center"/>
              <w:rPr>
                <w:rFonts w:hint="eastAsia" w:ascii="仿宋" w:eastAsia="仿宋"/>
              </w:rPr>
            </w:pPr>
            <w:r>
              <w:rPr>
                <w:rFonts w:hint="eastAsia" w:ascii="仿宋" w:eastAsia="仿宋"/>
              </w:rPr>
              <w:t>表</w:t>
            </w:r>
            <w:r>
              <w:rPr>
                <w:rFonts w:hint="eastAsia" w:ascii="Times New Roman" w:eastAsia="宋体"/>
                <w:lang w:val="en-US" w:eastAsia="zh-CN"/>
              </w:rPr>
              <w:t>2</w:t>
            </w:r>
            <w:r>
              <w:rPr>
                <w:rFonts w:hint="eastAsia" w:ascii="仿宋" w:eastAsia="仿宋"/>
              </w:rPr>
              <w:t>主要建设规模汇总表</w:t>
            </w:r>
          </w:p>
          <w:tbl>
            <w:tblPr>
              <w:tblStyle w:val="15"/>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3"/>
              <w:gridCol w:w="1935"/>
              <w:gridCol w:w="855"/>
              <w:gridCol w:w="1005"/>
              <w:gridCol w:w="4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03"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序号</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指标名称</w:t>
                  </w:r>
                </w:p>
              </w:tc>
              <w:tc>
                <w:tcPr>
                  <w:tcW w:w="85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单位</w:t>
                  </w:r>
                </w:p>
              </w:tc>
              <w:tc>
                <w:tcPr>
                  <w:tcW w:w="100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数量</w:t>
                  </w:r>
                </w:p>
              </w:tc>
              <w:tc>
                <w:tcPr>
                  <w:tcW w:w="4065" w:type="dxa"/>
                  <w:noWrap w:val="0"/>
                  <w:vAlign w:val="center"/>
                </w:tcPr>
                <w:p>
                  <w:pPr>
                    <w:pStyle w:val="18"/>
                    <w:spacing w:before="106"/>
                    <w:ind w:left="365"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PE300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36500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胡族到淮滨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2</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PE160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2000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青年街白露河路往西至闾河路在往北拐至新汽车站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PE160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1500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 xml:space="preserve">健康路北大埂沿北大埂至 </w:t>
                  </w:r>
                  <w:r>
                    <w:rPr>
                      <w:rFonts w:hint="default" w:ascii="Times New Roman" w:hAnsi="Times New Roman" w:eastAsia="宋体" w:cs="Times New Roman"/>
                      <w:sz w:val="21"/>
                    </w:rPr>
                    <w:t xml:space="preserve">3 </w:t>
                  </w:r>
                  <w:r>
                    <w:rPr>
                      <w:rFonts w:hint="eastAsia" w:ascii="Times New Roman" w:hAnsi="Times New Roman" w:eastAsia="宋体" w:cs="Times New Roman"/>
                      <w:sz w:val="21"/>
                    </w:rPr>
                    <w:t>号码头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4</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PE160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500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青年街金梭东路至浙商纺织园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5</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PE200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3000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立城大道平安大道往东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6</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PE200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1000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立城大道淮河大道往北至平安大道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7</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PE160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2000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洪河路正义街往西至江淮名都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8</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PE160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4000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龙泉路金谷春大道往北至龙泉路栏杆街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9</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PE160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3800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正义街闾河路往北至平安大道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10</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PE160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2500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金谷春大道乌龙酒厂往东至郑营村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11</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PE160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1400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乌龙大道青年街往北至平安大道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12</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PE160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800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正义街乌龙大道往东至龙泉路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13</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PE110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民政路民仁街至龙泉路民仁街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14</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PE110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民政路曙光街至龙泉路曙光街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15</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PE110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民政路民义街至龙泉路民义街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16</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PE110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民政路民礼街至龙泉路民礼街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17</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PE110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民政路卫生街至龙泉路卫生街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18</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PE110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民政路民治街至龙泉路民智街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19</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PE110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民政路民信街至龙泉路民信街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20</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PE110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民政路博爱街至龙泉路博爱街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21</w:t>
                  </w:r>
                </w:p>
              </w:tc>
              <w:tc>
                <w:tcPr>
                  <w:tcW w:w="1935" w:type="dxa"/>
                  <w:noWrap w:val="0"/>
                  <w:vAlign w:val="center"/>
                </w:tcPr>
                <w:p>
                  <w:pPr>
                    <w:pStyle w:val="18"/>
                    <w:spacing w:before="106"/>
                    <w:ind w:right="357"/>
                    <w:jc w:val="center"/>
                    <w:rPr>
                      <w:rFonts w:hint="eastAsia" w:ascii="Times New Roman" w:hAnsi="Times New Roman" w:eastAsia="宋体" w:cs="Times New Roman"/>
                      <w:sz w:val="21"/>
                    </w:rPr>
                  </w:pPr>
                  <w:r>
                    <w:rPr>
                      <w:rFonts w:hint="default" w:ascii="Times New Roman" w:hAnsi="Times New Roman" w:eastAsia="宋体" w:cs="Times New Roman"/>
                      <w:sz w:val="21"/>
                    </w:rPr>
                    <w:t xml:space="preserve">PE200 </w:t>
                  </w:r>
                  <w:r>
                    <w:rPr>
                      <w:rFonts w:hint="eastAsia" w:ascii="Times New Roman" w:hAnsi="Times New Roman" w:eastAsia="宋体" w:cs="Times New Roman"/>
                      <w:sz w:val="21"/>
                    </w:rPr>
                    <w:t>聚乙烯管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2400</w:t>
                  </w:r>
                </w:p>
              </w:tc>
              <w:tc>
                <w:tcPr>
                  <w:tcW w:w="4065" w:type="dxa"/>
                  <w:noWrap w:val="0"/>
                  <w:vAlign w:val="center"/>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乌龙大道文化路往西至淮商路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803"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22</w:t>
                  </w:r>
                </w:p>
              </w:tc>
              <w:tc>
                <w:tcPr>
                  <w:tcW w:w="1935" w:type="dxa"/>
                  <w:noWrap w:val="0"/>
                  <w:vAlign w:val="center"/>
                </w:tcPr>
                <w:p>
                  <w:pPr>
                    <w:pStyle w:val="18"/>
                    <w:spacing w:before="106"/>
                    <w:ind w:left="365"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合计</w:t>
                  </w:r>
                </w:p>
              </w:tc>
              <w:tc>
                <w:tcPr>
                  <w:tcW w:w="855" w:type="dxa"/>
                  <w:noWrap w:val="0"/>
                  <w:vAlign w:val="center"/>
                </w:tcPr>
                <w:p>
                  <w:pPr>
                    <w:pStyle w:val="18"/>
                    <w:spacing w:before="106"/>
                    <w:ind w:left="365" w:right="357"/>
                    <w:jc w:val="center"/>
                    <w:rPr>
                      <w:rFonts w:hint="default" w:ascii="Times New Roman" w:hAnsi="Times New Roman" w:eastAsia="宋体" w:cs="Times New Roman"/>
                      <w:sz w:val="21"/>
                    </w:rPr>
                  </w:pPr>
                  <w:r>
                    <w:rPr>
                      <w:rFonts w:hint="default" w:ascii="Times New Roman" w:hAnsi="Times New Roman" w:eastAsia="宋体" w:cs="Times New Roman"/>
                      <w:sz w:val="21"/>
                    </w:rPr>
                    <w:t>m</w:t>
                  </w:r>
                </w:p>
              </w:tc>
              <w:tc>
                <w:tcPr>
                  <w:tcW w:w="1005" w:type="dxa"/>
                  <w:noWrap w:val="0"/>
                  <w:vAlign w:val="center"/>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63800</w:t>
                  </w:r>
                </w:p>
              </w:tc>
              <w:tc>
                <w:tcPr>
                  <w:tcW w:w="4065" w:type="dxa"/>
                  <w:noWrap w:val="0"/>
                  <w:vAlign w:val="center"/>
                </w:tcPr>
                <w:p>
                  <w:pPr>
                    <w:pStyle w:val="18"/>
                    <w:spacing w:before="106"/>
                    <w:ind w:left="365" w:right="357"/>
                    <w:jc w:val="center"/>
                    <w:rPr>
                      <w:rFonts w:hint="default" w:ascii="Times New Roman" w:hAnsi="Times New Roman" w:eastAsia="宋体" w:cs="Times New Roman"/>
                      <w:sz w:val="21"/>
                    </w:rPr>
                  </w:pPr>
                </w:p>
              </w:tc>
            </w:tr>
          </w:tbl>
          <w:p>
            <w:pPr>
              <w:spacing w:line="520" w:lineRule="exact"/>
              <w:rPr>
                <w:rFonts w:hint="default" w:eastAsia="宋体"/>
                <w:sz w:val="24"/>
                <w:lang w:val="en-US" w:eastAsia="zh-CN"/>
              </w:rPr>
            </w:pPr>
            <w:r>
              <w:rPr>
                <w:sz w:val="24"/>
              </w:rPr>
              <w:t>3.</w:t>
            </w:r>
            <w:r>
              <w:rPr>
                <w:rFonts w:hint="eastAsia" w:eastAsia="宋体"/>
                <w:sz w:val="24"/>
                <w:lang w:val="en-US" w:eastAsia="zh-CN"/>
              </w:rPr>
              <w:t>4气源及天然气组分</w:t>
            </w:r>
          </w:p>
          <w:p>
            <w:pPr>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天然气组分及性质详见下表</w:t>
            </w:r>
          </w:p>
          <w:p>
            <w:pPr>
              <w:spacing w:before="183"/>
              <w:ind w:left="796" w:right="866" w:firstLine="0"/>
              <w:jc w:val="center"/>
              <w:rPr>
                <w:b/>
                <w:sz w:val="24"/>
              </w:rPr>
            </w:pPr>
            <w:r>
              <w:rPr>
                <w:b/>
                <w:sz w:val="24"/>
              </w:rPr>
              <w:t>表</w:t>
            </w:r>
            <w:r>
              <w:rPr>
                <w:rFonts w:hint="eastAsia" w:ascii="Times New Roman" w:eastAsia="宋体"/>
                <w:b/>
                <w:sz w:val="24"/>
                <w:lang w:val="en-US" w:eastAsia="zh-CN"/>
              </w:rPr>
              <w:t>3</w:t>
            </w:r>
            <w:r>
              <w:rPr>
                <w:b/>
                <w:sz w:val="24"/>
              </w:rPr>
              <w:t>天然气组分及性质</w:t>
            </w:r>
          </w:p>
          <w:p>
            <w:pPr>
              <w:pStyle w:val="7"/>
              <w:spacing w:before="5"/>
              <w:ind w:left="0"/>
              <w:rPr>
                <w:b/>
                <w:sz w:val="12"/>
              </w:rPr>
            </w:pPr>
          </w:p>
          <w:tbl>
            <w:tblPr>
              <w:tblStyle w:val="15"/>
              <w:tblW w:w="0" w:type="auto"/>
              <w:tblInd w:w="2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6"/>
              <w:gridCol w:w="1967"/>
              <w:gridCol w:w="1987"/>
              <w:gridCol w:w="2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413" w:type="dxa"/>
                  <w:gridSpan w:val="2"/>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项目</w:t>
                  </w:r>
                </w:p>
              </w:tc>
              <w:tc>
                <w:tcPr>
                  <w:tcW w:w="1987"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位单</w:t>
                  </w:r>
                </w:p>
              </w:tc>
              <w:tc>
                <w:tcPr>
                  <w:tcW w:w="2924"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46" w:type="dxa"/>
                  <w:vMerge w:val="restart"/>
                  <w:noWrap w:val="0"/>
                  <w:vAlign w:val="top"/>
                </w:tcPr>
                <w:p>
                  <w:pPr>
                    <w:pStyle w:val="18"/>
                    <w:spacing w:before="106"/>
                    <w:ind w:right="357"/>
                    <w:jc w:val="center"/>
                    <w:rPr>
                      <w:rFonts w:hint="default" w:ascii="Times New Roman" w:hAnsi="Times New Roman" w:eastAsia="宋体" w:cs="Times New Roman"/>
                      <w:sz w:val="21"/>
                    </w:rPr>
                  </w:pPr>
                </w:p>
                <w:p>
                  <w:pPr>
                    <w:pStyle w:val="18"/>
                    <w:spacing w:before="106"/>
                    <w:ind w:right="357"/>
                    <w:jc w:val="center"/>
                    <w:rPr>
                      <w:rFonts w:hint="default" w:ascii="Times New Roman" w:hAnsi="Times New Roman" w:eastAsia="宋体" w:cs="Times New Roman"/>
                      <w:sz w:val="21"/>
                    </w:rPr>
                  </w:pPr>
                </w:p>
                <w:p>
                  <w:pPr>
                    <w:pStyle w:val="18"/>
                    <w:spacing w:before="106"/>
                    <w:ind w:right="357"/>
                    <w:jc w:val="center"/>
                    <w:rPr>
                      <w:rFonts w:hint="default" w:ascii="Times New Roman" w:hAnsi="Times New Roman" w:eastAsia="宋体" w:cs="Times New Roman"/>
                      <w:sz w:val="21"/>
                    </w:rPr>
                  </w:pPr>
                </w:p>
                <w:p>
                  <w:pPr>
                    <w:pStyle w:val="18"/>
                    <w:spacing w:before="106"/>
                    <w:ind w:right="357"/>
                    <w:jc w:val="center"/>
                    <w:rPr>
                      <w:rFonts w:hint="default" w:ascii="Times New Roman" w:hAnsi="Times New Roman" w:eastAsia="宋体" w:cs="Times New Roman"/>
                      <w:sz w:val="21"/>
                    </w:rPr>
                  </w:pPr>
                </w:p>
                <w:p>
                  <w:pPr>
                    <w:pStyle w:val="18"/>
                    <w:spacing w:before="106"/>
                    <w:ind w:right="357"/>
                    <w:jc w:val="center"/>
                    <w:rPr>
                      <w:rFonts w:hint="default" w:ascii="Times New Roman" w:hAnsi="Times New Roman" w:eastAsia="宋体" w:cs="Times New Roman"/>
                      <w:sz w:val="21"/>
                    </w:rPr>
                  </w:pPr>
                </w:p>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组成</w:t>
                  </w:r>
                </w:p>
              </w:tc>
              <w:tc>
                <w:tcPr>
                  <w:tcW w:w="1967"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甲烷</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95.9494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446" w:type="dxa"/>
                  <w:vMerge w:val="continue"/>
                  <w:tcBorders>
                    <w:top w:val="nil"/>
                  </w:tcBorders>
                  <w:noWrap w:val="0"/>
                  <w:vAlign w:val="top"/>
                </w:tcPr>
                <w:p>
                  <w:pPr>
                    <w:pStyle w:val="18"/>
                    <w:spacing w:before="106"/>
                    <w:ind w:right="357"/>
                    <w:jc w:val="center"/>
                    <w:rPr>
                      <w:rFonts w:hint="default" w:ascii="Times New Roman" w:hAnsi="Times New Roman" w:eastAsia="宋体" w:cs="Times New Roman"/>
                      <w:sz w:val="21"/>
                    </w:rPr>
                  </w:pPr>
                </w:p>
              </w:tc>
              <w:tc>
                <w:tcPr>
                  <w:tcW w:w="1967"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乙烷</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O.9075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46" w:type="dxa"/>
                  <w:vMerge w:val="continue"/>
                  <w:tcBorders>
                    <w:top w:val="nil"/>
                  </w:tcBorders>
                  <w:noWrap w:val="0"/>
                  <w:vAlign w:val="top"/>
                </w:tcPr>
                <w:p>
                  <w:pPr>
                    <w:pStyle w:val="18"/>
                    <w:spacing w:before="106"/>
                    <w:ind w:right="357"/>
                    <w:jc w:val="center"/>
                    <w:rPr>
                      <w:rFonts w:hint="default" w:ascii="Times New Roman" w:hAnsi="Times New Roman" w:eastAsia="宋体" w:cs="Times New Roman"/>
                      <w:sz w:val="21"/>
                    </w:rPr>
                  </w:pPr>
                </w:p>
              </w:tc>
              <w:tc>
                <w:tcPr>
                  <w:tcW w:w="1967"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丙烷</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0.1367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446" w:type="dxa"/>
                  <w:vMerge w:val="continue"/>
                  <w:tcBorders>
                    <w:top w:val="nil"/>
                  </w:tcBorders>
                  <w:noWrap w:val="0"/>
                  <w:vAlign w:val="top"/>
                </w:tcPr>
                <w:p>
                  <w:pPr>
                    <w:pStyle w:val="18"/>
                    <w:spacing w:before="106"/>
                    <w:ind w:right="357"/>
                    <w:jc w:val="center"/>
                    <w:rPr>
                      <w:rFonts w:hint="default" w:ascii="Times New Roman" w:hAnsi="Times New Roman" w:eastAsia="宋体" w:cs="Times New Roman"/>
                      <w:sz w:val="21"/>
                    </w:rPr>
                  </w:pPr>
                </w:p>
              </w:tc>
              <w:tc>
                <w:tcPr>
                  <w:tcW w:w="1967"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硫化氢</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0.0002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46" w:type="dxa"/>
                  <w:vMerge w:val="continue"/>
                  <w:tcBorders>
                    <w:top w:val="nil"/>
                  </w:tcBorders>
                  <w:noWrap w:val="0"/>
                  <w:vAlign w:val="top"/>
                </w:tcPr>
                <w:p>
                  <w:pPr>
                    <w:pStyle w:val="18"/>
                    <w:spacing w:before="106"/>
                    <w:ind w:right="357"/>
                    <w:jc w:val="center"/>
                    <w:rPr>
                      <w:rFonts w:hint="default" w:ascii="Times New Roman" w:hAnsi="Times New Roman" w:eastAsia="宋体" w:cs="Times New Roman"/>
                      <w:sz w:val="21"/>
                    </w:rPr>
                  </w:pPr>
                </w:p>
              </w:tc>
              <w:tc>
                <w:tcPr>
                  <w:tcW w:w="1967"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二氧化碳</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446" w:type="dxa"/>
                  <w:vMerge w:val="continue"/>
                  <w:tcBorders>
                    <w:top w:val="nil"/>
                  </w:tcBorders>
                  <w:noWrap w:val="0"/>
                  <w:vAlign w:val="top"/>
                </w:tcPr>
                <w:p>
                  <w:pPr>
                    <w:pStyle w:val="18"/>
                    <w:spacing w:before="106"/>
                    <w:ind w:right="357"/>
                    <w:jc w:val="center"/>
                    <w:rPr>
                      <w:rFonts w:hint="default" w:ascii="Times New Roman" w:hAnsi="Times New Roman" w:eastAsia="宋体" w:cs="Times New Roman"/>
                      <w:sz w:val="21"/>
                    </w:rPr>
                  </w:pPr>
                </w:p>
              </w:tc>
              <w:tc>
                <w:tcPr>
                  <w:tcW w:w="1967"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水</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0.0062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413" w:type="dxa"/>
                  <w:gridSpan w:val="2"/>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高位热值</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MJ/Nm</w:t>
                  </w:r>
                  <w:r>
                    <w:rPr>
                      <w:rFonts w:hint="default" w:ascii="Times New Roman" w:hAnsi="Times New Roman" w:eastAsia="宋体" w:cs="Times New Roman"/>
                      <w:sz w:val="21"/>
                      <w:vertAlign w:val="superscript"/>
                    </w:rPr>
                    <w:t>3</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39.0024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413" w:type="dxa"/>
                  <w:gridSpan w:val="2"/>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低位热值</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MJ/Nm</w:t>
                  </w:r>
                  <w:r>
                    <w:rPr>
                      <w:rFonts w:hint="default" w:ascii="Times New Roman" w:hAnsi="Times New Roman" w:eastAsia="宋体" w:cs="Times New Roman"/>
                      <w:sz w:val="21"/>
                      <w:vertAlign w:val="superscript"/>
                    </w:rPr>
                    <w:t>3</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35.1552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413" w:type="dxa"/>
                  <w:gridSpan w:val="2"/>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密度</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kg/Nm</w:t>
                  </w:r>
                  <w:r>
                    <w:rPr>
                      <w:rFonts w:hint="default" w:ascii="Times New Roman" w:hAnsi="Times New Roman" w:eastAsia="宋体" w:cs="Times New Roman"/>
                      <w:sz w:val="21"/>
                      <w:vertAlign w:val="superscript"/>
                    </w:rPr>
                    <w:t>3</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0.7626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413" w:type="dxa"/>
                  <w:gridSpan w:val="2"/>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比重</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0.589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413" w:type="dxa"/>
                  <w:gridSpan w:val="2"/>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动力粘度</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U×10-6Pa.s</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10.56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413" w:type="dxa"/>
                  <w:gridSpan w:val="2"/>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运动粘度</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V×10-6m</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/s</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13.85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413" w:type="dxa"/>
                  <w:gridSpan w:val="2"/>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爆炸下限</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413" w:type="dxa"/>
                  <w:gridSpan w:val="2"/>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爆炸上限</w:t>
                  </w:r>
                </w:p>
              </w:tc>
              <w:tc>
                <w:tcPr>
                  <w:tcW w:w="1987"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w:t>
                  </w:r>
                </w:p>
              </w:tc>
              <w:tc>
                <w:tcPr>
                  <w:tcW w:w="2924" w:type="dxa"/>
                  <w:noWrap w:val="0"/>
                  <w:vAlign w:val="top"/>
                </w:tcPr>
                <w:p>
                  <w:pPr>
                    <w:pStyle w:val="18"/>
                    <w:spacing w:before="106"/>
                    <w:ind w:right="357"/>
                    <w:jc w:val="center"/>
                    <w:rPr>
                      <w:rFonts w:hint="default" w:ascii="Times New Roman" w:hAnsi="Times New Roman" w:eastAsia="宋体" w:cs="Times New Roman"/>
                      <w:sz w:val="21"/>
                    </w:rPr>
                  </w:pPr>
                  <w:r>
                    <w:rPr>
                      <w:rFonts w:hint="default" w:ascii="Times New Roman" w:hAnsi="Times New Roman" w:eastAsia="宋体" w:cs="Times New Roman"/>
                      <w:sz w:val="21"/>
                    </w:rPr>
                    <w:t>15.36</w:t>
                  </w:r>
                </w:p>
              </w:tc>
            </w:tr>
          </w:tbl>
          <w:p>
            <w:pPr>
              <w:spacing w:line="480" w:lineRule="exact"/>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根据现行《城镇燃气设计规范》（GB50028-2015）对输送燃气的压力（表压）分级见下表。</w:t>
            </w:r>
          </w:p>
          <w:p>
            <w:pPr>
              <w:spacing w:before="183"/>
              <w:ind w:left="796" w:right="866" w:firstLine="0"/>
              <w:jc w:val="center"/>
              <w:rPr>
                <w:rFonts w:hint="eastAsia"/>
                <w:b/>
                <w:sz w:val="24"/>
              </w:rPr>
            </w:pPr>
            <w:r>
              <w:rPr>
                <w:rFonts w:hint="eastAsia"/>
                <w:b/>
                <w:sz w:val="24"/>
              </w:rPr>
              <w:t>表</w:t>
            </w:r>
            <w:r>
              <w:rPr>
                <w:rFonts w:hint="eastAsia" w:eastAsia="宋体"/>
                <w:b/>
                <w:sz w:val="24"/>
                <w:lang w:val="en-US" w:eastAsia="zh-CN"/>
              </w:rPr>
              <w:t>4</w:t>
            </w:r>
            <w:r>
              <w:rPr>
                <w:rFonts w:hint="eastAsia"/>
                <w:b/>
                <w:sz w:val="24"/>
              </w:rPr>
              <w:t>城镇燃气设计压力（表压）分级表</w:t>
            </w:r>
          </w:p>
          <w:tbl>
            <w:tblPr>
              <w:tblStyle w:val="15"/>
              <w:tblW w:w="0" w:type="auto"/>
              <w:tblInd w:w="2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78"/>
              <w:gridCol w:w="2580"/>
              <w:gridCol w:w="31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5158" w:type="dxa"/>
                  <w:gridSpan w:val="2"/>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名 称</w:t>
                  </w:r>
                </w:p>
              </w:tc>
              <w:tc>
                <w:tcPr>
                  <w:tcW w:w="3162"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压力(MPa)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2578" w:type="dxa"/>
                  <w:vMerge w:val="restart"/>
                  <w:noWrap w:val="0"/>
                  <w:vAlign w:val="top"/>
                </w:tcPr>
                <w:p>
                  <w:pPr>
                    <w:pStyle w:val="18"/>
                    <w:spacing w:before="106"/>
                    <w:ind w:right="357"/>
                    <w:jc w:val="center"/>
                    <w:rPr>
                      <w:rFonts w:hint="eastAsia" w:ascii="Times New Roman" w:hAnsi="Times New Roman" w:eastAsia="宋体" w:cs="Times New Roman"/>
                      <w:sz w:val="21"/>
                    </w:rPr>
                  </w:pPr>
                </w:p>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高压燃气管道</w:t>
                  </w:r>
                </w:p>
              </w:tc>
              <w:tc>
                <w:tcPr>
                  <w:tcW w:w="2580"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A</w:t>
                  </w:r>
                </w:p>
              </w:tc>
              <w:tc>
                <w:tcPr>
                  <w:tcW w:w="3162"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2.5&lt;P≤4.0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2578" w:type="dxa"/>
                  <w:vMerge w:val="continue"/>
                  <w:tcBorders>
                    <w:top w:val="nil"/>
                  </w:tcBorders>
                  <w:noWrap w:val="0"/>
                  <w:vAlign w:val="top"/>
                </w:tcPr>
                <w:p>
                  <w:pPr>
                    <w:pStyle w:val="18"/>
                    <w:spacing w:before="106"/>
                    <w:ind w:right="357"/>
                    <w:jc w:val="center"/>
                    <w:rPr>
                      <w:rFonts w:hint="eastAsia" w:ascii="Times New Roman" w:hAnsi="Times New Roman" w:eastAsia="宋体" w:cs="Times New Roman"/>
                      <w:sz w:val="21"/>
                    </w:rPr>
                  </w:pPr>
                </w:p>
              </w:tc>
              <w:tc>
                <w:tcPr>
                  <w:tcW w:w="2580"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B</w:t>
                  </w:r>
                </w:p>
              </w:tc>
              <w:tc>
                <w:tcPr>
                  <w:tcW w:w="3162"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1．6&lt;P≤2.5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2578" w:type="dxa"/>
                  <w:vMerge w:val="restart"/>
                  <w:noWrap w:val="0"/>
                  <w:vAlign w:val="top"/>
                </w:tcPr>
                <w:p>
                  <w:pPr>
                    <w:pStyle w:val="18"/>
                    <w:spacing w:before="106"/>
                    <w:ind w:right="357"/>
                    <w:jc w:val="center"/>
                    <w:rPr>
                      <w:rFonts w:hint="eastAsia" w:ascii="Times New Roman" w:hAnsi="Times New Roman" w:eastAsia="宋体" w:cs="Times New Roman"/>
                      <w:sz w:val="21"/>
                    </w:rPr>
                  </w:pPr>
                </w:p>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次高压燃气管道</w:t>
                  </w:r>
                </w:p>
              </w:tc>
              <w:tc>
                <w:tcPr>
                  <w:tcW w:w="2580"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A</w:t>
                  </w:r>
                </w:p>
              </w:tc>
              <w:tc>
                <w:tcPr>
                  <w:tcW w:w="3162"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0．8&lt;P≤1．6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2578" w:type="dxa"/>
                  <w:vMerge w:val="continue"/>
                  <w:tcBorders>
                    <w:top w:val="nil"/>
                  </w:tcBorders>
                  <w:noWrap w:val="0"/>
                  <w:vAlign w:val="top"/>
                </w:tcPr>
                <w:p>
                  <w:pPr>
                    <w:pStyle w:val="18"/>
                    <w:spacing w:before="106"/>
                    <w:ind w:right="357"/>
                    <w:jc w:val="center"/>
                    <w:rPr>
                      <w:rFonts w:hint="eastAsia" w:ascii="Times New Roman" w:hAnsi="Times New Roman" w:eastAsia="宋体" w:cs="Times New Roman"/>
                      <w:sz w:val="21"/>
                    </w:rPr>
                  </w:pPr>
                </w:p>
              </w:tc>
              <w:tc>
                <w:tcPr>
                  <w:tcW w:w="2580"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B</w:t>
                  </w:r>
                </w:p>
              </w:tc>
              <w:tc>
                <w:tcPr>
                  <w:tcW w:w="3162"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0．4&lt;P≤0．8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2578" w:type="dxa"/>
                  <w:vMerge w:val="restart"/>
                  <w:noWrap w:val="0"/>
                  <w:vAlign w:val="top"/>
                </w:tcPr>
                <w:p>
                  <w:pPr>
                    <w:pStyle w:val="18"/>
                    <w:spacing w:before="106"/>
                    <w:ind w:right="357"/>
                    <w:jc w:val="center"/>
                    <w:rPr>
                      <w:rFonts w:hint="eastAsia" w:ascii="Times New Roman" w:hAnsi="Times New Roman" w:eastAsia="宋体" w:cs="Times New Roman"/>
                      <w:sz w:val="21"/>
                    </w:rPr>
                  </w:pPr>
                </w:p>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中压燃气管道</w:t>
                  </w:r>
                </w:p>
              </w:tc>
              <w:tc>
                <w:tcPr>
                  <w:tcW w:w="2580"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A</w:t>
                  </w:r>
                </w:p>
              </w:tc>
              <w:tc>
                <w:tcPr>
                  <w:tcW w:w="3162"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0.2&lt;P≤0.4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2578" w:type="dxa"/>
                  <w:vMerge w:val="continue"/>
                  <w:tcBorders>
                    <w:top w:val="nil"/>
                  </w:tcBorders>
                  <w:noWrap w:val="0"/>
                  <w:vAlign w:val="top"/>
                </w:tcPr>
                <w:p>
                  <w:pPr>
                    <w:pStyle w:val="18"/>
                    <w:spacing w:before="106"/>
                    <w:ind w:right="357"/>
                    <w:jc w:val="center"/>
                    <w:rPr>
                      <w:rFonts w:hint="eastAsia" w:ascii="Times New Roman" w:hAnsi="Times New Roman" w:eastAsia="宋体" w:cs="Times New Roman"/>
                      <w:sz w:val="21"/>
                    </w:rPr>
                  </w:pPr>
                </w:p>
              </w:tc>
              <w:tc>
                <w:tcPr>
                  <w:tcW w:w="2580"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B</w:t>
                  </w:r>
                </w:p>
              </w:tc>
              <w:tc>
                <w:tcPr>
                  <w:tcW w:w="3162"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0．O1≤P≤0．2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3" w:hRule="atLeast"/>
              </w:trPr>
              <w:tc>
                <w:tcPr>
                  <w:tcW w:w="5158" w:type="dxa"/>
                  <w:gridSpan w:val="2"/>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低压燃气管道</w:t>
                  </w:r>
                </w:p>
              </w:tc>
              <w:tc>
                <w:tcPr>
                  <w:tcW w:w="3162" w:type="dxa"/>
                  <w:noWrap w:val="0"/>
                  <w:vAlign w:val="top"/>
                </w:tcPr>
                <w:p>
                  <w:pPr>
                    <w:pStyle w:val="18"/>
                    <w:spacing w:before="106"/>
                    <w:ind w:right="357"/>
                    <w:jc w:val="center"/>
                    <w:rPr>
                      <w:rFonts w:hint="eastAsia" w:ascii="Times New Roman" w:hAnsi="Times New Roman" w:eastAsia="宋体" w:cs="Times New Roman"/>
                      <w:sz w:val="21"/>
                    </w:rPr>
                  </w:pPr>
                  <w:r>
                    <w:rPr>
                      <w:rFonts w:hint="eastAsia" w:ascii="Times New Roman" w:hAnsi="Times New Roman" w:eastAsia="宋体" w:cs="Times New Roman"/>
                      <w:sz w:val="21"/>
                    </w:rPr>
                    <w:t>P&lt;0．01</w:t>
                  </w:r>
                </w:p>
              </w:tc>
            </w:tr>
          </w:tbl>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在确定压力级制时，要综合考虑城市规模及道路地下管线设施布置和安全间距等因素。中压管道的功能主要是输气配气，中压管道的管径大小直接影响输配系统的投资，管网投资在输配系统中约占 40% 左右。在天然气输配系统中，中压管道压力越高，管径越小，投资越省。因此，确定管网压力级制的基本原则是：</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在充分满足各类用户用气压力和中压管网投资增加不多的前提下，尽量降低中压管网的起点压力；</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符合当地有关规划，特别是能源发展规划和燃气工程规划； 应充分利用来气压力，以减少工程投资；</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要根据用户对用气压力的要求，确定压力级别，保证供气； 考虑长远发展的弹性要求；</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中小城市输配的输气管网系统压力级制，一般采用中压一级和中压／低压二级这两种压力级制。现将两种压力级制主要优缺点分析如下</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1、中压一级系统：</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减少管道长度。该系统可避免在同一条道路上敷设两条不同等级压力的管道，据几个城市设计方案统计，可减少管道长度 10%—20%； 节省投资。通过提高输送压力降低了管径，中压一级系统比中低压两级系统节省管道投资约 20%；</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提高灶具燃烧效率，采用箱式调压装置供气，易保证所有用户在额定压力工作，从而提高燃烧效率约 3%。由于避免了灶具在超负荷下工作，从而减少烟气中CO 含量，改善了厨房的卫生条件；</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要求安装水平高，尤其是中压庭院管道在中压下运行，须保证安装质量，否则漏气量将比低压管道大的多，易发生事故；</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供气安全性较低压供气差，一旦发生庭院管道断裂、漏气，其危及范围较大；</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楼栋调压装置数量较多，不易管理；</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2、中低压两级系统：</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调压设施数量较少，易于运行管理；</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安全距离易保证。按照规范要求，低压管道比中压管道的安全距离要求小；</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由于增加了管道长度及管径，使投资增加；</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区域调压站与周围各建筑物有一定安全距离要求，因此在城市人口密集的地区选择调压站的位置十分困难。</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燃气输配系统的压力级制与其供气规模，气源特点，供应方式及管材的选择密切相关，而且受到现状输配系统压力级制及城市发展状况的制约。因此在确定输配系统压力级制时，不仅要满足近期供气要求，还要考虑远期城市不断发展的需要，同时应考虑到现有燃气管网的压力级制，在满足供气要求下，应尽量避免原有管网的大规模改造。</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考虑到淮滨县城市的发展，供气的安全性并参照同等规模城市天然气管网压力级制，确定淮滨县城区输配系统为中低压两级供气。压力级制为：中压管网起点压力 0.4MPa，低压管网供气压力为 3000Pa。</w:t>
            </w:r>
          </w:p>
          <w:p>
            <w:pPr>
              <w:spacing w:line="480" w:lineRule="exact"/>
              <w:rPr>
                <w:rFonts w:hint="default" w:ascii="Times New Roman" w:hAnsi="Times New Roman" w:cs="Times New Roman"/>
                <w:sz w:val="24"/>
              </w:rPr>
            </w:pPr>
            <w:r>
              <w:rPr>
                <w:rFonts w:hint="default" w:ascii="Times New Roman" w:hAnsi="Times New Roman" w:cs="Times New Roman"/>
                <w:sz w:val="24"/>
              </w:rPr>
              <w:t>3.6公用工程</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（1） 给水</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本项目的给水由</w:t>
            </w:r>
            <w:r>
              <w:rPr>
                <w:rFonts w:hint="eastAsia" w:ascii="Times New Roman" w:hAnsi="Times New Roman" w:eastAsia="宋体" w:cs="Times New Roman"/>
                <w:sz w:val="24"/>
                <w:lang w:val="en-US" w:eastAsia="zh-CN"/>
              </w:rPr>
              <w:t>城市自来水管网供给</w:t>
            </w:r>
            <w:r>
              <w:rPr>
                <w:rFonts w:hint="default" w:ascii="Times New Roman" w:hAnsi="Times New Roman" w:cs="Times New Roman"/>
                <w:sz w:val="24"/>
              </w:rPr>
              <w:t>。主要包括</w:t>
            </w:r>
            <w:r>
              <w:rPr>
                <w:rFonts w:hint="eastAsia" w:ascii="Times New Roman" w:hAnsi="Times New Roman" w:eastAsia="宋体" w:cs="Times New Roman"/>
                <w:sz w:val="24"/>
                <w:lang w:val="en-US" w:eastAsia="zh-CN"/>
              </w:rPr>
              <w:t>施工用水和施工人员生活用水</w:t>
            </w:r>
            <w:r>
              <w:rPr>
                <w:rFonts w:hint="default" w:ascii="Times New Roman" w:hAnsi="Times New Roman" w:cs="Times New Roman"/>
                <w:sz w:val="24"/>
              </w:rPr>
              <w:t>。</w:t>
            </w:r>
          </w:p>
          <w:p>
            <w:pPr>
              <w:spacing w:line="480" w:lineRule="exact"/>
              <w:ind w:firstLine="480" w:firstLineChars="200"/>
              <w:rPr>
                <w:rFonts w:hint="default" w:ascii="Times New Roman" w:hAnsi="Times New Roman" w:cs="Times New Roman"/>
                <w:sz w:val="24"/>
              </w:rPr>
            </w:pPr>
            <w:r>
              <w:rPr>
                <w:rFonts w:hint="default" w:ascii="Times New Roman" w:hAnsi="Times New Roman" w:cs="Times New Roman"/>
                <w:sz w:val="24"/>
              </w:rPr>
              <w:t>（2） 电力</w:t>
            </w:r>
          </w:p>
          <w:p>
            <w:pPr>
              <w:spacing w:line="480" w:lineRule="exact"/>
              <w:ind w:firstLine="480" w:firstLineChars="200"/>
            </w:pPr>
            <w:r>
              <w:rPr>
                <w:rFonts w:hint="default" w:ascii="Times New Roman" w:hAnsi="Times New Roman" w:cs="Times New Roman"/>
                <w:sz w:val="24"/>
              </w:rPr>
              <w:t>本项目供电由当地电网统一供电。</w:t>
            </w:r>
            <w:r>
              <w:rPr>
                <w:rFonts w:hint="default" w:ascii="Times New Roman" w:hAnsi="Times New Roman" w:cs="Times New Roman"/>
                <w:sz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3" w:type="dxa"/>
            <w:bottom w:w="0" w:type="dxa"/>
            <w:right w:w="113" w:type="dxa"/>
          </w:tblCellMar>
        </w:tblPrEx>
        <w:trPr>
          <w:trHeight w:val="1197" w:hRule="atLeast"/>
        </w:trPr>
        <w:tc>
          <w:tcPr>
            <w:tcW w:w="9296" w:type="dxa"/>
            <w:gridSpan w:val="11"/>
            <w:noWrap w:val="0"/>
            <w:vAlign w:val="top"/>
          </w:tcPr>
          <w:p>
            <w:pPr>
              <w:spacing w:line="520" w:lineRule="exact"/>
              <w:rPr>
                <w:sz w:val="24"/>
              </w:rPr>
            </w:pPr>
            <w:r>
              <w:rPr>
                <w:sz w:val="24"/>
              </w:rPr>
              <w:t>与本项目有关的原有污染情况及主要环境问题：</w:t>
            </w:r>
          </w:p>
          <w:p>
            <w:pPr>
              <w:spacing w:line="520" w:lineRule="exact"/>
              <w:ind w:firstLine="480" w:firstLineChars="200"/>
              <w:rPr>
                <w:sz w:val="24"/>
              </w:rPr>
            </w:pPr>
            <w:r>
              <w:rPr>
                <w:sz w:val="24"/>
              </w:rPr>
              <w:t>本项目为新建项目，不存在原有污染情况。</w:t>
            </w:r>
          </w:p>
          <w:p/>
          <w:p/>
          <w:p>
            <w:pPr>
              <w:pStyle w:val="2"/>
            </w:pPr>
          </w:p>
          <w:p/>
          <w:p>
            <w:pPr>
              <w:pStyle w:val="2"/>
            </w:pPr>
          </w:p>
          <w:p/>
          <w:p>
            <w:pPr>
              <w:pStyle w:val="2"/>
            </w:pPr>
          </w:p>
          <w:p/>
          <w:p>
            <w:pPr>
              <w:pStyle w:val="2"/>
            </w:pPr>
          </w:p>
          <w:p/>
          <w:p>
            <w:pPr>
              <w:pStyle w:val="2"/>
            </w:pPr>
          </w:p>
          <w:p/>
          <w:p/>
        </w:tc>
      </w:tr>
    </w:tbl>
    <w:p>
      <w:pPr>
        <w:spacing w:before="156" w:beforeLines="50" w:line="480" w:lineRule="exact"/>
        <w:rPr>
          <w:rFonts w:eastAsia="黑体"/>
          <w:bCs/>
          <w:sz w:val="32"/>
        </w:rPr>
      </w:pPr>
      <w:r>
        <w:rPr>
          <w:rFonts w:eastAsia="黑体"/>
          <w:bCs/>
          <w:sz w:val="32"/>
        </w:rPr>
        <w:t>建设项目所在地自然环境社会环境简况</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3" w:hRule="atLeast"/>
        </w:trPr>
        <w:tc>
          <w:tcPr>
            <w:tcW w:w="9286" w:type="dxa"/>
            <w:noWrap w:val="0"/>
            <w:vAlign w:val="top"/>
          </w:tcPr>
          <w:p>
            <w:pPr>
              <w:spacing w:line="360" w:lineRule="auto"/>
              <w:rPr>
                <w:sz w:val="24"/>
                <w:szCs w:val="24"/>
              </w:rPr>
            </w:pPr>
            <w:r>
              <w:rPr>
                <w:sz w:val="24"/>
                <w:szCs w:val="24"/>
              </w:rPr>
              <w:t>自然环境简况（地形、地貌、地质、气候、气象、水文、植被、生物多样性等）：</w:t>
            </w:r>
          </w:p>
          <w:p>
            <w:pPr>
              <w:pStyle w:val="10"/>
              <w:adjustRightInd w:val="0"/>
              <w:snapToGrid w:val="0"/>
              <w:spacing w:line="520" w:lineRule="exact"/>
              <w:ind w:firstLine="560" w:firstLineChars="200"/>
              <w:jc w:val="left"/>
            </w:pPr>
            <w:r>
              <w:t>1、地理位置</w:t>
            </w:r>
          </w:p>
          <w:p>
            <w:pPr>
              <w:adjustRightInd w:val="0"/>
              <w:snapToGrid w:val="0"/>
              <w:spacing w:line="520" w:lineRule="exact"/>
              <w:ind w:firstLine="480" w:firstLineChars="200"/>
              <w:jc w:val="left"/>
              <w:rPr>
                <w:sz w:val="24"/>
                <w:szCs w:val="24"/>
              </w:rPr>
            </w:pPr>
            <w:bookmarkStart w:id="0" w:name="_Toc181602659"/>
            <w:r>
              <w:rPr>
                <w:sz w:val="24"/>
                <w:szCs w:val="24"/>
              </w:rPr>
              <w:t>淮滨县地处黄河中上游，豫皖两省交界处，河南省信阳市东部，南望大别山，北接黄淮大平原，地理坐标为东经115°1′~115°35′，北纬32°15′~32°38′，是河南省的沿边县市之一。东与安徽省的临泉相望，北、西、南分别是河南省的新蔡、息县、潢川、固始，全县东西长约53km，南北宽约43km，总面积约12078km2。境内河渠纵横，塘堰密布，洪河、闾河、白露河四面环绕，淮河干流横贯其中，距黄淮海平面边缘地区，享有“淮上江南”美称，是楚国名相孙叔敖的故乡。</w:t>
            </w:r>
          </w:p>
          <w:bookmarkEnd w:id="0"/>
          <w:p>
            <w:pPr>
              <w:pStyle w:val="10"/>
              <w:adjustRightInd w:val="0"/>
              <w:snapToGrid w:val="0"/>
              <w:spacing w:line="520" w:lineRule="exact"/>
              <w:ind w:firstLine="480" w:firstLineChars="200"/>
              <w:jc w:val="left"/>
              <w:rPr>
                <w:sz w:val="24"/>
                <w:szCs w:val="24"/>
              </w:rPr>
            </w:pPr>
            <w:r>
              <w:rPr>
                <w:sz w:val="24"/>
                <w:szCs w:val="24"/>
              </w:rPr>
              <w:t>项目位于</w:t>
            </w:r>
            <w:r>
              <w:rPr>
                <w:rFonts w:hint="eastAsia"/>
                <w:sz w:val="24"/>
                <w:szCs w:val="24"/>
              </w:rPr>
              <w:t>信阳市淮滨县</w:t>
            </w:r>
            <w:r>
              <w:rPr>
                <w:sz w:val="24"/>
                <w:szCs w:val="24"/>
              </w:rPr>
              <w:t>，项目地理位置见附图1。</w:t>
            </w:r>
          </w:p>
          <w:p>
            <w:pPr>
              <w:pStyle w:val="10"/>
              <w:adjustRightInd w:val="0"/>
              <w:snapToGrid w:val="0"/>
              <w:spacing w:line="520" w:lineRule="exact"/>
              <w:ind w:firstLine="480" w:firstLineChars="200"/>
              <w:jc w:val="left"/>
              <w:rPr>
                <w:sz w:val="24"/>
                <w:szCs w:val="24"/>
              </w:rPr>
            </w:pPr>
            <w:r>
              <w:rPr>
                <w:sz w:val="24"/>
                <w:szCs w:val="24"/>
              </w:rPr>
              <w:t>2、地形地貌</w:t>
            </w:r>
          </w:p>
          <w:p>
            <w:pPr>
              <w:pStyle w:val="10"/>
              <w:adjustRightInd w:val="0"/>
              <w:snapToGrid w:val="0"/>
              <w:spacing w:line="520" w:lineRule="exact"/>
              <w:ind w:firstLine="480" w:firstLineChars="200"/>
              <w:jc w:val="left"/>
              <w:rPr>
                <w:rFonts w:hint="eastAsia"/>
                <w:sz w:val="24"/>
                <w:szCs w:val="24"/>
              </w:rPr>
            </w:pPr>
            <w:r>
              <w:rPr>
                <w:rFonts w:hint="eastAsia"/>
                <w:sz w:val="24"/>
                <w:szCs w:val="24"/>
              </w:rPr>
              <w:t>（1）地形、地貌</w:t>
            </w:r>
          </w:p>
          <w:p>
            <w:pPr>
              <w:pStyle w:val="10"/>
              <w:adjustRightInd w:val="0"/>
              <w:snapToGrid w:val="0"/>
              <w:spacing w:line="520" w:lineRule="exact"/>
              <w:ind w:firstLine="480" w:firstLineChars="200"/>
              <w:jc w:val="left"/>
              <w:rPr>
                <w:sz w:val="24"/>
                <w:szCs w:val="24"/>
              </w:rPr>
            </w:pPr>
            <w:r>
              <w:rPr>
                <w:sz w:val="24"/>
                <w:szCs w:val="24"/>
              </w:rPr>
              <w:t>淮滨县位于黄淮平原南部，地势总的比较平坦，西北略高、东南较低，受地质构造制地貌大体分为岗地、平原和洼地三种类型，平原地区地面海拔高度为33m~44m，岗地为32.5～52m，洼地为25～32.5m之间。沿淮河一带是洼地，河槽有显的河岸线，沿河洼地宽窄不一，一般为1.5-5.0krn，淮河以北系广阔的冲积平原，向东南逐渐倾斜，由于闾河、大洪河、白露河等淮河支流向东汇入淮河，所以沿河有浅平嘭洼地分布，形成整体平坦，局部不平的地形情况。</w:t>
            </w:r>
          </w:p>
          <w:p>
            <w:pPr>
              <w:pStyle w:val="10"/>
              <w:adjustRightInd w:val="0"/>
              <w:snapToGrid w:val="0"/>
              <w:spacing w:line="520" w:lineRule="exact"/>
              <w:ind w:firstLine="480" w:firstLineChars="200"/>
              <w:jc w:val="left"/>
              <w:rPr>
                <w:rFonts w:hint="eastAsia"/>
                <w:sz w:val="24"/>
                <w:szCs w:val="24"/>
              </w:rPr>
            </w:pPr>
            <w:r>
              <w:rPr>
                <w:rFonts w:hint="eastAsia"/>
                <w:sz w:val="24"/>
                <w:szCs w:val="24"/>
              </w:rPr>
              <w:t>（</w:t>
            </w:r>
            <w:r>
              <w:rPr>
                <w:sz w:val="24"/>
                <w:szCs w:val="24"/>
              </w:rPr>
              <w:t>2</w:t>
            </w:r>
            <w:r>
              <w:rPr>
                <w:rFonts w:hint="eastAsia"/>
                <w:sz w:val="24"/>
                <w:szCs w:val="24"/>
              </w:rPr>
              <w:t>）地层结构</w:t>
            </w:r>
          </w:p>
          <w:p>
            <w:pPr>
              <w:pStyle w:val="10"/>
              <w:adjustRightInd w:val="0"/>
              <w:snapToGrid w:val="0"/>
              <w:spacing w:line="520" w:lineRule="exact"/>
              <w:ind w:firstLine="480" w:firstLineChars="200"/>
              <w:jc w:val="left"/>
              <w:rPr>
                <w:sz w:val="24"/>
                <w:szCs w:val="24"/>
              </w:rPr>
            </w:pPr>
            <w:r>
              <w:rPr>
                <w:sz w:val="24"/>
                <w:szCs w:val="24"/>
              </w:rPr>
              <w:t>根据省勘测大队1959年勘测资料表明，县城老城区有1.5-4.0m的人工填土区，其四周地表均属第四季全新世或新式沉积物所掩盖，以亚粘土和粘土为主，厚度很大，沿可两岸均为粗细沙层出现，厚度约为20~25m左右，地下水距地表约为1.5m，坡与地表一致，微向东倾斜。</w:t>
            </w:r>
          </w:p>
          <w:p>
            <w:pPr>
              <w:pStyle w:val="10"/>
              <w:adjustRightInd w:val="0"/>
              <w:snapToGrid w:val="0"/>
              <w:spacing w:line="520" w:lineRule="exact"/>
              <w:ind w:firstLine="480" w:firstLineChars="200"/>
              <w:jc w:val="left"/>
              <w:rPr>
                <w:rFonts w:hint="eastAsia"/>
                <w:sz w:val="24"/>
                <w:szCs w:val="24"/>
              </w:rPr>
            </w:pPr>
            <w:r>
              <w:rPr>
                <w:rFonts w:hint="eastAsia"/>
                <w:sz w:val="24"/>
                <w:szCs w:val="24"/>
              </w:rPr>
              <w:t>（</w:t>
            </w:r>
            <w:r>
              <w:rPr>
                <w:sz w:val="24"/>
                <w:szCs w:val="24"/>
              </w:rPr>
              <w:t>3</w:t>
            </w:r>
            <w:r>
              <w:rPr>
                <w:rFonts w:hint="eastAsia"/>
                <w:sz w:val="24"/>
                <w:szCs w:val="24"/>
              </w:rPr>
              <w:t>）地震地质背景</w:t>
            </w:r>
          </w:p>
          <w:p>
            <w:pPr>
              <w:pStyle w:val="10"/>
              <w:adjustRightInd w:val="0"/>
              <w:snapToGrid w:val="0"/>
              <w:spacing w:line="520" w:lineRule="exact"/>
              <w:ind w:firstLine="480" w:firstLineChars="200"/>
              <w:jc w:val="left"/>
              <w:rPr>
                <w:sz w:val="24"/>
                <w:szCs w:val="24"/>
              </w:rPr>
            </w:pPr>
            <w:r>
              <w:rPr>
                <w:sz w:val="24"/>
                <w:szCs w:val="24"/>
              </w:rPr>
              <w:t>淮滨县区域地质构造上处于大别山复式背斜构造的北侧，这里连同周围的构造体系，统属秦岭东西向构造带的南亚带，伏牛-别孤的一部分。在淮滨一息县隆起区内，地层有褶皱和断裂，因而形成局部隆起与下降。地层走向与区域构造线的方向基本一致，推测多为单斜，倾向东北，倾角平缓，一般不大于40°，断层比较发展。</w:t>
            </w:r>
          </w:p>
          <w:p>
            <w:pPr>
              <w:pStyle w:val="10"/>
              <w:adjustRightInd w:val="0"/>
              <w:snapToGrid w:val="0"/>
              <w:spacing w:line="520" w:lineRule="exact"/>
              <w:ind w:firstLine="480" w:firstLineChars="200"/>
              <w:jc w:val="left"/>
              <w:rPr>
                <w:sz w:val="24"/>
                <w:szCs w:val="24"/>
              </w:rPr>
            </w:pPr>
            <w:r>
              <w:rPr>
                <w:sz w:val="24"/>
                <w:szCs w:val="24"/>
              </w:rPr>
              <w:t>淮滨县土壤原分为四个土类，七个亚类，二十个土属，四十五个土种。2009年在与省级土种名称对照后，淮滨县土壤重新分为四个土类，九个亚类，十八个土属，三十一个土种。</w:t>
            </w:r>
          </w:p>
          <w:p>
            <w:pPr>
              <w:pStyle w:val="10"/>
              <w:adjustRightInd w:val="0"/>
              <w:snapToGrid w:val="0"/>
              <w:spacing w:line="520" w:lineRule="exact"/>
              <w:ind w:firstLine="480" w:firstLineChars="200"/>
              <w:jc w:val="left"/>
              <w:rPr>
                <w:sz w:val="24"/>
                <w:szCs w:val="24"/>
              </w:rPr>
            </w:pPr>
            <w:r>
              <w:rPr>
                <w:sz w:val="24"/>
                <w:szCs w:val="24"/>
              </w:rPr>
              <w:t>项目厂址位于</w:t>
            </w:r>
            <w:r>
              <w:rPr>
                <w:rFonts w:hint="eastAsia"/>
                <w:sz w:val="24"/>
                <w:szCs w:val="24"/>
              </w:rPr>
              <w:t>信阳市淮滨县</w:t>
            </w:r>
            <w:r>
              <w:rPr>
                <w:sz w:val="24"/>
                <w:szCs w:val="24"/>
              </w:rPr>
              <w:t>，地势平坦。</w:t>
            </w:r>
          </w:p>
          <w:p>
            <w:pPr>
              <w:pStyle w:val="10"/>
              <w:adjustRightInd w:val="0"/>
              <w:snapToGrid w:val="0"/>
              <w:spacing w:line="520" w:lineRule="exact"/>
              <w:ind w:firstLine="480" w:firstLineChars="200"/>
              <w:jc w:val="left"/>
              <w:rPr>
                <w:sz w:val="24"/>
                <w:szCs w:val="24"/>
              </w:rPr>
            </w:pPr>
            <w:r>
              <w:rPr>
                <w:sz w:val="24"/>
                <w:szCs w:val="24"/>
              </w:rPr>
              <w:t>3、</w:t>
            </w:r>
            <w:r>
              <w:rPr>
                <w:rFonts w:hint="eastAsia"/>
                <w:sz w:val="24"/>
                <w:szCs w:val="24"/>
              </w:rPr>
              <w:t>气象、气候</w:t>
            </w:r>
          </w:p>
          <w:p>
            <w:pPr>
              <w:adjustRightInd w:val="0"/>
              <w:snapToGrid w:val="0"/>
              <w:spacing w:line="520" w:lineRule="exact"/>
              <w:ind w:firstLine="480" w:firstLineChars="200"/>
              <w:jc w:val="left"/>
              <w:rPr>
                <w:sz w:val="24"/>
                <w:szCs w:val="24"/>
              </w:rPr>
            </w:pPr>
            <w:r>
              <w:rPr>
                <w:sz w:val="24"/>
                <w:szCs w:val="24"/>
              </w:rPr>
              <w:t>淮滨地处北亚热带与暖温带的过渡地区，属于暖温带半湿润型气候，年平均温度为15.5℃，极端最高温度为42.1℃，极端最低温度为-21.4℃；年平均风速为3.1m/s；全年大于或等于0℃的间隔日数为333d，全年目照时数平均为2124.3h，日照率为48％。积温5591℃，大于或等于10℃的间隔日数为224d，积温为4932℃；无霜期平均为224d，最长年份达329d，最短年份为179d，农作物生长季节较长，受霜冻危害较少；年平均降水量为926.8mm，受季风气候的影响显著。6、7、8月雨量丰富，雨热同期，有利于农作物及林木生长。</w:t>
            </w:r>
          </w:p>
          <w:p>
            <w:pPr>
              <w:pStyle w:val="10"/>
              <w:adjustRightInd w:val="0"/>
              <w:snapToGrid w:val="0"/>
              <w:spacing w:line="520" w:lineRule="exact"/>
              <w:ind w:firstLine="480" w:firstLineChars="200"/>
              <w:jc w:val="left"/>
              <w:rPr>
                <w:sz w:val="24"/>
                <w:szCs w:val="24"/>
              </w:rPr>
            </w:pPr>
            <w:r>
              <w:rPr>
                <w:sz w:val="24"/>
                <w:szCs w:val="24"/>
              </w:rPr>
              <w:t>4、</w:t>
            </w:r>
            <w:r>
              <w:rPr>
                <w:rFonts w:hint="eastAsia"/>
                <w:sz w:val="24"/>
                <w:szCs w:val="24"/>
              </w:rPr>
              <w:t>水文状况</w:t>
            </w:r>
          </w:p>
          <w:p>
            <w:pPr>
              <w:pStyle w:val="10"/>
              <w:adjustRightInd w:val="0"/>
              <w:snapToGrid w:val="0"/>
              <w:spacing w:line="520" w:lineRule="exact"/>
              <w:ind w:firstLine="480" w:firstLineChars="200"/>
              <w:jc w:val="left"/>
              <w:rPr>
                <w:sz w:val="24"/>
                <w:szCs w:val="24"/>
              </w:rPr>
            </w:pPr>
            <w:r>
              <w:rPr>
                <w:rFonts w:hint="eastAsia"/>
                <w:sz w:val="24"/>
                <w:szCs w:val="24"/>
              </w:rPr>
              <w:t>（1）地表</w:t>
            </w:r>
            <w:r>
              <w:rPr>
                <w:sz w:val="24"/>
                <w:szCs w:val="24"/>
              </w:rPr>
              <w:t>水资源</w:t>
            </w:r>
          </w:p>
          <w:p>
            <w:pPr>
              <w:adjustRightInd w:val="0"/>
              <w:snapToGrid w:val="0"/>
              <w:spacing w:line="520" w:lineRule="exact"/>
              <w:ind w:firstLine="480" w:firstLineChars="200"/>
              <w:jc w:val="left"/>
              <w:rPr>
                <w:sz w:val="24"/>
                <w:szCs w:val="24"/>
              </w:rPr>
            </w:pPr>
            <w:r>
              <w:rPr>
                <w:sz w:val="24"/>
                <w:szCs w:val="24"/>
              </w:rPr>
              <w:t>淮滨县的淮、洪、白、闾四河的河面面积约23.7km，占全县总面积的2%。河面与湖、港、沟、塘的水面相交织，涝则泄洪，旱则供水，成为调节气候，平衡自然生态的重要因素。全县水面面积共达87614亩。淮河干流自西向东穿境而过，洪河、白露河、阊河流至境内汇入淮河，加之县内河流乌龙港和幸福河，河流面积3．6万亩。较大港有饮马港、二道港、马港、西湖港、期思港等5条。较大湖泊有兔子湖(已建成水库)、潼湖、白湖、草湖、方家湖等6处。坑塘9615处，面积44709亩。主要河流概况如下：</w:t>
            </w:r>
          </w:p>
          <w:p>
            <w:pPr>
              <w:adjustRightInd w:val="0"/>
              <w:snapToGrid w:val="0"/>
              <w:spacing w:line="520" w:lineRule="exact"/>
              <w:ind w:firstLine="480" w:firstLineChars="200"/>
              <w:jc w:val="left"/>
              <w:rPr>
                <w:sz w:val="24"/>
                <w:szCs w:val="24"/>
              </w:rPr>
            </w:pPr>
            <w:r>
              <w:rPr>
                <w:sz w:val="24"/>
                <w:szCs w:val="24"/>
              </w:rPr>
              <w:t>淮河：发源于河南桐柏山，流经河南、安徽至江苏省扬州的三江营入长江，干流长1000km。总落差196m，平均比降为0.2‰。从淮源到豫皖交界处的洪河口为上游，长360km，落差174m，比降为0.5‰。从洪河口到洪泽湖口的三河闸为中游，长490km，落差16m，比降为0.03%。洪泽湖以下为下游，长150km，落差6m。比降为万分之零点四。俗称“八百里淮河”，系指从淮源到洪泽湖的淮河干流长度。淮河自息县长陵集东入淮滨县境，流经芦集、邓湾、张庄、台头、城关、谷堆、王家岗7个乡(镇)，在谷堆乡白露河口出县境。淮河淮滨段长。70km，河床平均宽200m。其左岸一级支流有洪河、阊河、乌龙港，右岸一级支流有白露河。</w:t>
            </w:r>
          </w:p>
          <w:p>
            <w:pPr>
              <w:adjustRightInd w:val="0"/>
              <w:snapToGrid w:val="0"/>
              <w:spacing w:line="520" w:lineRule="exact"/>
              <w:ind w:firstLine="480" w:firstLineChars="200"/>
              <w:jc w:val="left"/>
              <w:rPr>
                <w:sz w:val="24"/>
                <w:szCs w:val="24"/>
              </w:rPr>
            </w:pPr>
            <w:r>
              <w:rPr>
                <w:sz w:val="24"/>
                <w:szCs w:val="24"/>
              </w:rPr>
              <w:t>洪河：为淮河的重要支流，安徽与河南省界河。洪河发源于河南省方城县境伏牛山东麓，自西北向东南，流经叶县、舞阳、西平、上蔡、平舆和安徽省的临泉等县，至新蔡县的班台与汝河汇合，流至淮滨县三空桥乡入境，经三空桥、赵集、固城、栏杆、王家岗5个乡(镇)，在王家岗乡刘寨村附近洪河口汇入淮河。境内长71：km，河床平均宽80m，流域面积326km</w:t>
            </w:r>
            <w:r>
              <w:rPr>
                <w:sz w:val="24"/>
                <w:szCs w:val="24"/>
                <w:vertAlign w:val="superscript"/>
              </w:rPr>
              <w:t>2</w:t>
            </w:r>
            <w:r>
              <w:rPr>
                <w:sz w:val="24"/>
                <w:szCs w:val="24"/>
              </w:rPr>
              <w:t>。</w:t>
            </w:r>
          </w:p>
          <w:p>
            <w:pPr>
              <w:adjustRightInd w:val="0"/>
              <w:snapToGrid w:val="0"/>
              <w:spacing w:line="520" w:lineRule="exact"/>
              <w:ind w:firstLine="480" w:firstLineChars="200"/>
              <w:jc w:val="left"/>
              <w:rPr>
                <w:sz w:val="24"/>
                <w:szCs w:val="24"/>
              </w:rPr>
            </w:pPr>
            <w:r>
              <w:rPr>
                <w:sz w:val="24"/>
                <w:szCs w:val="24"/>
              </w:rPr>
              <w:t>白露河：发源于大别山区，出新县小届岭后为“白露河”。自淮滨县王店乡闸口桥入境，由西南向东北流经王店、期思、谷堆3个乡(镇)，在谷堆乡吴寨村附近入淮河。境内长51km，河床平均宽75m，流域面积285km2。白露河属季节性河流，枯水期接近断流。</w:t>
            </w:r>
          </w:p>
          <w:p>
            <w:pPr>
              <w:adjustRightInd w:val="0"/>
              <w:snapToGrid w:val="0"/>
              <w:spacing w:line="520" w:lineRule="exact"/>
              <w:ind w:firstLine="480" w:firstLineChars="200"/>
              <w:jc w:val="left"/>
              <w:rPr>
                <w:sz w:val="24"/>
                <w:szCs w:val="24"/>
              </w:rPr>
            </w:pPr>
            <w:r>
              <w:rPr>
                <w:sz w:val="24"/>
                <w:szCs w:val="24"/>
              </w:rPr>
              <w:t>闾河：发源于河南省正阳县。自淮滨县防胡镇前郑庄入境，由西北向东南流经防胡、新里、芦集3个乡(镇)，在</w:t>
            </w:r>
            <w:r>
              <w:rPr>
                <w:rFonts w:hint="eastAsia"/>
                <w:sz w:val="24"/>
                <w:szCs w:val="24"/>
              </w:rPr>
              <w:t>张庄乡</w:t>
            </w:r>
            <w:r>
              <w:rPr>
                <w:sz w:val="24"/>
                <w:szCs w:val="24"/>
              </w:rPr>
              <w:t>汇入淮河，境内长22.7km，河床平均宽65m，流域面积85km2。</w:t>
            </w:r>
          </w:p>
          <w:p>
            <w:pPr>
              <w:adjustRightInd w:val="0"/>
              <w:snapToGrid w:val="0"/>
              <w:spacing w:line="520" w:lineRule="exact"/>
              <w:ind w:firstLine="480" w:firstLineChars="200"/>
              <w:jc w:val="left"/>
              <w:rPr>
                <w:sz w:val="24"/>
                <w:szCs w:val="24"/>
              </w:rPr>
            </w:pPr>
            <w:r>
              <w:rPr>
                <w:sz w:val="24"/>
                <w:szCs w:val="24"/>
              </w:rPr>
              <w:t>乌龙港：属季节性河流。发源于息县包信乡，流经淮滨县防胡、新里、马集、邓湾、台头5个乡(镇)入淮河。境内全长34km，平均港宽50m，深4m，流域面积244km2。</w:t>
            </w:r>
          </w:p>
          <w:p>
            <w:pPr>
              <w:adjustRightInd w:val="0"/>
              <w:snapToGrid w:val="0"/>
              <w:spacing w:line="520" w:lineRule="exact"/>
              <w:ind w:firstLine="480" w:firstLineChars="200"/>
              <w:jc w:val="left"/>
              <w:rPr>
                <w:sz w:val="24"/>
                <w:szCs w:val="24"/>
              </w:rPr>
            </w:pPr>
            <w:r>
              <w:rPr>
                <w:sz w:val="24"/>
                <w:szCs w:val="24"/>
              </w:rPr>
              <w:t>幸福河：县内季节性河流，1958年人工开挖，全长25km。</w:t>
            </w:r>
          </w:p>
          <w:p>
            <w:pPr>
              <w:numPr>
                <w:ilvl w:val="0"/>
                <w:numId w:val="1"/>
              </w:numPr>
              <w:adjustRightInd w:val="0"/>
              <w:snapToGrid w:val="0"/>
              <w:spacing w:line="520" w:lineRule="exact"/>
              <w:ind w:firstLine="480" w:firstLineChars="200"/>
              <w:jc w:val="left"/>
              <w:rPr>
                <w:sz w:val="24"/>
                <w:szCs w:val="24"/>
              </w:rPr>
            </w:pPr>
            <w:r>
              <w:rPr>
                <w:sz w:val="24"/>
                <w:szCs w:val="24"/>
              </w:rPr>
              <w:t>地下水资源</w:t>
            </w:r>
          </w:p>
          <w:p>
            <w:pPr>
              <w:adjustRightInd w:val="0"/>
              <w:snapToGrid w:val="0"/>
              <w:spacing w:line="520" w:lineRule="exact"/>
              <w:ind w:firstLine="480" w:firstLineChars="200"/>
              <w:jc w:val="left"/>
              <w:rPr>
                <w:rFonts w:hint="default"/>
                <w:sz w:val="24"/>
                <w:szCs w:val="24"/>
              </w:rPr>
            </w:pPr>
            <w:r>
              <w:rPr>
                <w:rFonts w:hint="default"/>
                <w:sz w:val="24"/>
                <w:szCs w:val="24"/>
              </w:rPr>
              <w:t>淮滨县位于淮河冲积平原，北高南低，地下水资源丰富，浅层地下水储量为53.7亿m3，地层储水条件好，浅层地下水主要依靠自然降雨渗入补给，地下水位高，开采资源比较丰富，有利于发展井灌，为农田灌溉提供了有利的条件，每年平均开采量为1.56亿m3。</w:t>
            </w:r>
          </w:p>
          <w:p>
            <w:pPr>
              <w:adjustRightInd w:val="0"/>
              <w:snapToGrid w:val="0"/>
              <w:spacing w:line="520" w:lineRule="exact"/>
              <w:ind w:firstLine="439" w:firstLineChars="183"/>
              <w:jc w:val="left"/>
              <w:rPr>
                <w:sz w:val="24"/>
                <w:szCs w:val="24"/>
              </w:rPr>
            </w:pPr>
            <w:r>
              <w:rPr>
                <w:rFonts w:hint="eastAsia"/>
                <w:sz w:val="24"/>
                <w:szCs w:val="24"/>
              </w:rPr>
              <w:t>5</w:t>
            </w:r>
            <w:r>
              <w:rPr>
                <w:sz w:val="24"/>
                <w:szCs w:val="24"/>
              </w:rPr>
              <w:t>、植被</w:t>
            </w:r>
            <w:r>
              <w:rPr>
                <w:rFonts w:hint="eastAsia"/>
                <w:sz w:val="24"/>
                <w:szCs w:val="24"/>
              </w:rPr>
              <w:t>及动物资源</w:t>
            </w:r>
          </w:p>
          <w:p>
            <w:pPr>
              <w:adjustRightInd w:val="0"/>
              <w:snapToGrid w:val="0"/>
              <w:spacing w:line="520" w:lineRule="exact"/>
              <w:ind w:firstLine="480" w:firstLineChars="200"/>
              <w:jc w:val="left"/>
              <w:rPr>
                <w:sz w:val="24"/>
                <w:szCs w:val="24"/>
              </w:rPr>
            </w:pPr>
            <w:r>
              <w:rPr>
                <w:sz w:val="24"/>
                <w:szCs w:val="24"/>
              </w:rPr>
              <w:t>水生动物：鱼类约6目、15科、31种。常见的有鲢、鳙、红鲤、鲫、长春鳊、草鱼、青、鱼咸、马口、团头鲂、三角稣、川条、翘咀红鱼白(翘咀腰子)、蒙古红鱼白、扁体鱼白、银固、四方波、花鱼骨、麦穗、船丁、泥鳅、花鳅、花颡、虎头草牙(草牙)、鲶、黄鳝、鳜鱼、乌鳢(乌鱼)、鳗鲡(白鳝)、银鱼等。还有蚌、螺、虾、蟹、龟、鳖等。</w:t>
            </w:r>
          </w:p>
          <w:p>
            <w:pPr>
              <w:adjustRightInd w:val="0"/>
              <w:snapToGrid w:val="0"/>
              <w:spacing w:line="520" w:lineRule="exact"/>
              <w:ind w:firstLine="480" w:firstLineChars="200"/>
              <w:jc w:val="left"/>
              <w:rPr>
                <w:sz w:val="24"/>
                <w:szCs w:val="24"/>
              </w:rPr>
            </w:pPr>
            <w:r>
              <w:rPr>
                <w:sz w:val="24"/>
                <w:szCs w:val="24"/>
              </w:rPr>
              <w:t>陆生野生动物：鸟类主要有喜鹊、乌鸦、麻雀、燕、鸿雁、布谷鸟、鹌鹑、黄莺、鹤、鹭鸶、斑鸠、鹰、雕、白脖乌鸦、鸬鹚、啄木鸟、猫头鹰、翠鸟、野鸭、百灵、野鸡、灰喜鹊、鹦鹉、八哥、画眉、灵雀、鸳鸯等。兽类主要有野兔、狐狸、黄鼠狼、家鼠、刺猬、田鼠、鼬鼠等。其它有蝙蝠、壁虎、青蛙、蟾蜍及多种蛇类。节肢动物主要有蜈蚣、马陆、蜘蛛、蝎子等。</w:t>
            </w:r>
          </w:p>
          <w:p>
            <w:pPr>
              <w:adjustRightInd w:val="0"/>
              <w:snapToGrid w:val="0"/>
              <w:spacing w:line="520" w:lineRule="exact"/>
              <w:ind w:firstLine="480" w:firstLineChars="200"/>
              <w:jc w:val="left"/>
              <w:rPr>
                <w:sz w:val="24"/>
                <w:szCs w:val="24"/>
              </w:rPr>
            </w:pPr>
            <w:r>
              <w:rPr>
                <w:sz w:val="24"/>
                <w:szCs w:val="24"/>
              </w:rPr>
              <w:t>全县饲养的家畜家禽主要有牛、猪、羊、马、驴、骡、鸡、鸭、鹅、兔等10余种。各种家畜在全县都有分布，但不够均匀。水牛大部分在淮南岗地区的张庄、期思、王店等乡(镇)，饲养量占全县水牛总头数的83．7％。淮北平原区的张里、防胡、新里、赵集等乡(镇)母猪饲养量较多，是全县猪源的生产基地</w:t>
            </w:r>
          </w:p>
          <w:p>
            <w:pPr>
              <w:adjustRightInd w:val="0"/>
              <w:snapToGrid w:val="0"/>
              <w:spacing w:line="520" w:lineRule="exact"/>
              <w:ind w:firstLine="480" w:firstLineChars="200"/>
              <w:jc w:val="left"/>
              <w:rPr>
                <w:sz w:val="24"/>
                <w:szCs w:val="24"/>
              </w:rPr>
            </w:pPr>
            <w:r>
              <w:rPr>
                <w:sz w:val="24"/>
                <w:szCs w:val="24"/>
              </w:rPr>
              <w:t>淮滨县植被类型属于常绿落叶针叶林与落叶阔叶林混交林带。由于垦殖较早，自然植被己残存不多，多为栽培植物，木本植物共有35科、27亚科、56属、75种。其中落叶林树种有柳、椿、槐、榆、楸、楝、桑、梓、泡桐、大官杨及桃、梨、杏、枣、柿、苹果、核桃等；常绿落叶针叶林树种有刺柏、水杉、竹等。旱生草本植物有刺儿菜、马齿苋、二花、秸梗、半夏、东边莲、地黄、车前子、防风、艾蒿、蒲公英、牵牛、猫儿眼等。水生、湿生草本植物有野菱、泽泻、三菱草、稗子草、浮萍、野田青等。河滩行洪区及洼地草本植物有荻、苇、淮草等。</w:t>
            </w:r>
          </w:p>
          <w:p>
            <w:pPr>
              <w:adjustRightInd w:val="0"/>
              <w:snapToGrid w:val="0"/>
              <w:spacing w:line="520" w:lineRule="exact"/>
              <w:ind w:firstLine="480" w:firstLineChars="200"/>
              <w:jc w:val="left"/>
              <w:rPr>
                <w:sz w:val="24"/>
                <w:szCs w:val="24"/>
              </w:rPr>
            </w:pPr>
            <w:r>
              <w:rPr>
                <w:sz w:val="24"/>
                <w:szCs w:val="24"/>
              </w:rPr>
              <w:t>经调查，本项目建设厂址周围多为人工植被，生态系统结构简单，周围500m内无需要保护的动植物资源。</w:t>
            </w:r>
          </w:p>
          <w:p>
            <w:pPr>
              <w:spacing w:before="156" w:beforeLines="50" w:line="440" w:lineRule="exact"/>
              <w:ind w:firstLine="420" w:firstLineChars="200"/>
            </w:pPr>
          </w:p>
          <w:p>
            <w:pPr>
              <w:spacing w:before="156" w:beforeLines="50" w:line="440" w:lineRule="exact"/>
              <w:ind w:firstLine="420" w:firstLineChars="200"/>
              <w:rPr>
                <w:rFonts w:hint="eastAsia"/>
              </w:rPr>
            </w:pPr>
          </w:p>
          <w:p>
            <w:pPr>
              <w:spacing w:before="156" w:beforeLines="50" w:line="440" w:lineRule="exact"/>
              <w:ind w:firstLine="420" w:firstLineChars="200"/>
              <w:rPr>
                <w:rFonts w:hint="eastAsia"/>
              </w:rPr>
            </w:pPr>
          </w:p>
          <w:p>
            <w:pPr>
              <w:spacing w:before="156" w:beforeLines="50" w:line="440" w:lineRule="exact"/>
              <w:rPr>
                <w:rFonts w:hint="eastAsia"/>
              </w:rPr>
            </w:pPr>
          </w:p>
          <w:p>
            <w:pPr>
              <w:bidi w:val="0"/>
              <w:rPr>
                <w:rFonts w:hint="eastAsia"/>
              </w:rPr>
            </w:pPr>
          </w:p>
        </w:tc>
      </w:tr>
    </w:tbl>
    <w:p>
      <w:pPr>
        <w:spacing w:before="156" w:beforeLines="50" w:line="480" w:lineRule="exact"/>
        <w:rPr>
          <w:rFonts w:eastAsia="黑体"/>
          <w:bCs/>
          <w:sz w:val="32"/>
        </w:rPr>
      </w:pPr>
      <w:r>
        <w:rPr>
          <w:rFonts w:eastAsia="黑体"/>
          <w:bCs/>
          <w:sz w:val="32"/>
        </w:rPr>
        <w:t>环境质量现状</w:t>
      </w:r>
    </w:p>
    <w:tbl>
      <w:tblPr>
        <w:tblStyle w:val="1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60" w:hRule="atLeast"/>
        </w:trPr>
        <w:tc>
          <w:tcPr>
            <w:tcW w:w="8980" w:type="dxa"/>
            <w:noWrap w:val="0"/>
            <w:vAlign w:val="top"/>
          </w:tcPr>
          <w:p>
            <w:pPr>
              <w:spacing w:line="520" w:lineRule="exact"/>
              <w:rPr>
                <w:b/>
                <w:bCs/>
                <w:sz w:val="24"/>
              </w:rPr>
            </w:pPr>
            <w:r>
              <w:rPr>
                <w:b/>
                <w:bCs/>
                <w:sz w:val="24"/>
              </w:rPr>
              <w:t>建设项目所在地区域环境质量现状及主要环境问题（环境空气、地表水、地下水、声环境、生态环境等）</w:t>
            </w:r>
            <w:bookmarkStart w:id="1" w:name="_Toc238489016"/>
            <w:bookmarkStart w:id="2" w:name="_Toc238488968"/>
          </w:p>
          <w:bookmarkEnd w:id="1"/>
          <w:bookmarkEnd w:id="2"/>
          <w:p>
            <w:pPr>
              <w:adjustRightInd w:val="0"/>
              <w:snapToGrid w:val="0"/>
              <w:spacing w:line="520" w:lineRule="exact"/>
              <w:ind w:firstLine="480" w:firstLineChars="200"/>
              <w:rPr>
                <w:rFonts w:hint="default" w:ascii="Times New Roman" w:hAnsi="Times New Roman" w:cs="Times New Roman"/>
                <w:color w:val="000000"/>
                <w:kern w:val="0"/>
                <w:sz w:val="24"/>
              </w:rPr>
            </w:pPr>
            <w:r>
              <w:rPr>
                <w:rFonts w:hint="default" w:ascii="Times New Roman" w:hAnsi="Times New Roman" w:cs="Times New Roman"/>
                <w:kern w:val="0"/>
                <w:sz w:val="24"/>
              </w:rPr>
              <w:t>本项</w:t>
            </w:r>
            <w:r>
              <w:rPr>
                <w:rFonts w:hint="default" w:ascii="Times New Roman" w:hAnsi="Times New Roman" w:cs="Times New Roman"/>
                <w:color w:val="000000"/>
                <w:kern w:val="0"/>
                <w:sz w:val="24"/>
              </w:rPr>
              <w:t>目位于</w:t>
            </w:r>
            <w:r>
              <w:rPr>
                <w:rFonts w:hint="default" w:ascii="Times New Roman" w:hAnsi="Times New Roman" w:cs="Times New Roman"/>
                <w:bCs/>
                <w:color w:val="000000"/>
                <w:sz w:val="24"/>
              </w:rPr>
              <w:t>信阳市</w:t>
            </w:r>
            <w:r>
              <w:rPr>
                <w:rFonts w:hint="default" w:ascii="Times New Roman" w:hAnsi="Times New Roman" w:cs="Times New Roman"/>
                <w:sz w:val="24"/>
                <w:szCs w:val="22"/>
              </w:rPr>
              <w:t>淮滨县</w:t>
            </w:r>
            <w:r>
              <w:rPr>
                <w:rFonts w:hint="default" w:ascii="Times New Roman" w:hAnsi="Times New Roman" w:cs="Times New Roman"/>
                <w:color w:val="000000"/>
                <w:kern w:val="0"/>
                <w:sz w:val="24"/>
              </w:rPr>
              <w:t>，周围无重大工业污染源，因此不再进行区域环境质量现状监测，采用类比和资料分析的评价方法。</w:t>
            </w:r>
          </w:p>
          <w:p>
            <w:pPr>
              <w:pStyle w:val="14"/>
              <w:widowControl/>
              <w:adjustRightInd w:val="0"/>
              <w:snapToGrid w:val="0"/>
              <w:spacing w:line="520" w:lineRule="exact"/>
              <w:ind w:firstLine="436" w:firstLineChars="181"/>
              <w:jc w:val="left"/>
              <w:rPr>
                <w:rFonts w:hint="eastAsia" w:cs="宋体"/>
                <w:b/>
                <w:bCs/>
                <w:color w:val="000000"/>
                <w:sz w:val="24"/>
              </w:rPr>
            </w:pPr>
            <w:r>
              <w:rPr>
                <w:rFonts w:ascii="Times New Roman"/>
                <w:b/>
                <w:bCs/>
                <w:color w:val="000000"/>
                <w:sz w:val="24"/>
              </w:rPr>
              <w:t>1</w:t>
            </w:r>
            <w:r>
              <w:rPr>
                <w:rFonts w:hint="eastAsia" w:cs="宋体"/>
                <w:b/>
                <w:bCs/>
                <w:color w:val="000000"/>
                <w:sz w:val="24"/>
              </w:rPr>
              <w:t>、环境空气质量现状</w:t>
            </w:r>
          </w:p>
          <w:p>
            <w:pPr>
              <w:spacing w:line="520" w:lineRule="exact"/>
              <w:ind w:firstLine="480" w:firstLineChars="200"/>
              <w:rPr>
                <w:color w:val="000000"/>
                <w:sz w:val="24"/>
              </w:rPr>
            </w:pPr>
            <w:r>
              <w:rPr>
                <w:rFonts w:hint="eastAsia"/>
                <w:color w:val="000000"/>
                <w:sz w:val="24"/>
              </w:rPr>
              <w:t>根据大气功能区规划，项目所在地为二类功能区，环境空气执行</w:t>
            </w:r>
            <w:r>
              <w:rPr>
                <w:color w:val="000000"/>
                <w:sz w:val="24"/>
              </w:rPr>
              <w:t>《环境空气质量标准》（GB3095-2012）中二级标准</w:t>
            </w:r>
            <w:r>
              <w:rPr>
                <w:rFonts w:hint="eastAsia"/>
                <w:color w:val="000000"/>
                <w:sz w:val="24"/>
              </w:rPr>
              <w:t>。本次评价引用淮滨县环境监测站提供的2018年6月在淮滨城区环境监测数据24小时均值</w:t>
            </w:r>
            <w:r>
              <w:rPr>
                <w:color w:val="000000"/>
                <w:sz w:val="24"/>
              </w:rPr>
              <w:t>，监测结果</w:t>
            </w:r>
            <w:r>
              <w:rPr>
                <w:rFonts w:hint="eastAsia"/>
                <w:color w:val="000000"/>
                <w:sz w:val="24"/>
              </w:rPr>
              <w:t>见表</w:t>
            </w:r>
            <w:r>
              <w:rPr>
                <w:rFonts w:hint="eastAsia"/>
                <w:color w:val="000000"/>
                <w:sz w:val="24"/>
                <w:lang w:val="en-US" w:eastAsia="zh-CN"/>
              </w:rPr>
              <w:t>5</w:t>
            </w:r>
            <w:r>
              <w:rPr>
                <w:color w:val="000000"/>
                <w:sz w:val="24"/>
              </w:rPr>
              <w:t>：</w:t>
            </w:r>
          </w:p>
          <w:p>
            <w:pPr>
              <w:spacing w:line="520" w:lineRule="exact"/>
              <w:jc w:val="center"/>
              <w:rPr>
                <w:color w:val="000000"/>
                <w:sz w:val="24"/>
              </w:rPr>
            </w:pPr>
            <w:r>
              <w:rPr>
                <w:rFonts w:hint="eastAsia" w:ascii="宋体" w:hAnsi="宋体" w:cs="宋体"/>
                <w:b/>
                <w:bCs/>
                <w:color w:val="000000"/>
                <w:sz w:val="24"/>
              </w:rPr>
              <w:t>表</w:t>
            </w:r>
            <w:r>
              <w:rPr>
                <w:rFonts w:hint="eastAsia"/>
                <w:b/>
                <w:bCs/>
                <w:color w:val="000000"/>
                <w:sz w:val="24"/>
                <w:lang w:val="en-US" w:eastAsia="zh-CN"/>
              </w:rPr>
              <w:t>5</w:t>
            </w:r>
            <w:r>
              <w:rPr>
                <w:rFonts w:hint="eastAsia" w:ascii="宋体" w:hAnsi="宋体" w:cs="宋体"/>
                <w:b/>
                <w:bCs/>
                <w:color w:val="000000"/>
                <w:sz w:val="24"/>
              </w:rPr>
              <w:t xml:space="preserve">   大气环境现状监测结果  </w:t>
            </w:r>
            <w:r>
              <w:rPr>
                <w:rFonts w:hint="eastAsia" w:ascii="宋体" w:hAnsi="宋体" w:cs="宋体"/>
                <w:color w:val="000000"/>
                <w:sz w:val="24"/>
              </w:rPr>
              <w:t xml:space="preserve">      单位：</w:t>
            </w:r>
            <w:r>
              <w:rPr>
                <w:color w:val="000000"/>
                <w:sz w:val="24"/>
              </w:rPr>
              <w:t>ug/m</w:t>
            </w:r>
            <w:r>
              <w:rPr>
                <w:color w:val="000000"/>
                <w:sz w:val="24"/>
                <w:vertAlign w:val="superscript"/>
              </w:rPr>
              <w:t>3</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4"/>
              <w:gridCol w:w="1203"/>
              <w:gridCol w:w="1082"/>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514" w:type="dxa"/>
                  <w:vMerge w:val="restart"/>
                  <w:noWrap w:val="0"/>
                  <w:vAlign w:val="center"/>
                </w:tcPr>
                <w:p>
                  <w:pPr>
                    <w:spacing w:line="320" w:lineRule="exact"/>
                    <w:jc w:val="center"/>
                    <w:rPr>
                      <w:color w:val="000000"/>
                      <w:szCs w:val="21"/>
                    </w:rPr>
                  </w:pPr>
                  <w:r>
                    <w:rPr>
                      <w:color w:val="000000"/>
                      <w:szCs w:val="21"/>
                    </w:rPr>
                    <w:t>测点日期</w:t>
                  </w:r>
                </w:p>
              </w:tc>
              <w:tc>
                <w:tcPr>
                  <w:tcW w:w="3502" w:type="dxa"/>
                  <w:gridSpan w:val="3"/>
                  <w:noWrap w:val="0"/>
                  <w:vAlign w:val="center"/>
                </w:tcPr>
                <w:p>
                  <w:pPr>
                    <w:spacing w:line="320" w:lineRule="exact"/>
                    <w:jc w:val="center"/>
                    <w:rPr>
                      <w:color w:val="000000"/>
                      <w:szCs w:val="21"/>
                    </w:rPr>
                  </w:pPr>
                  <w:r>
                    <w:rPr>
                      <w:color w:val="000000"/>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14" w:type="dxa"/>
                  <w:vMerge w:val="continue"/>
                  <w:noWrap w:val="0"/>
                  <w:vAlign w:val="center"/>
                </w:tcPr>
                <w:p>
                  <w:pPr>
                    <w:pStyle w:val="19"/>
                    <w:spacing w:line="320" w:lineRule="exact"/>
                    <w:jc w:val="center"/>
                    <w:rPr>
                      <w:color w:val="000000"/>
                      <w:sz w:val="21"/>
                      <w:szCs w:val="21"/>
                    </w:rPr>
                  </w:pPr>
                </w:p>
              </w:tc>
              <w:tc>
                <w:tcPr>
                  <w:tcW w:w="1203" w:type="dxa"/>
                  <w:noWrap w:val="0"/>
                  <w:vAlign w:val="center"/>
                </w:tcPr>
                <w:p>
                  <w:pPr>
                    <w:spacing w:line="320" w:lineRule="exact"/>
                    <w:jc w:val="center"/>
                    <w:rPr>
                      <w:color w:val="000000"/>
                      <w:szCs w:val="21"/>
                    </w:rPr>
                  </w:pPr>
                  <w:r>
                    <w:rPr>
                      <w:rFonts w:hint="eastAsia"/>
                      <w:color w:val="000000"/>
                      <w:szCs w:val="21"/>
                    </w:rPr>
                    <w:t>PM</w:t>
                  </w:r>
                  <w:r>
                    <w:rPr>
                      <w:rFonts w:hint="eastAsia"/>
                      <w:color w:val="000000"/>
                      <w:szCs w:val="21"/>
                      <w:vertAlign w:val="subscript"/>
                    </w:rPr>
                    <w:t>10</w:t>
                  </w:r>
                </w:p>
              </w:tc>
              <w:tc>
                <w:tcPr>
                  <w:tcW w:w="1082" w:type="dxa"/>
                  <w:noWrap w:val="0"/>
                  <w:vAlign w:val="center"/>
                </w:tcPr>
                <w:p>
                  <w:pPr>
                    <w:spacing w:line="320" w:lineRule="exact"/>
                    <w:jc w:val="center"/>
                    <w:rPr>
                      <w:color w:val="000000"/>
                      <w:szCs w:val="21"/>
                    </w:rPr>
                  </w:pPr>
                  <w:r>
                    <w:rPr>
                      <w:color w:val="000000"/>
                      <w:szCs w:val="21"/>
                    </w:rPr>
                    <w:t>NO</w:t>
                  </w:r>
                  <w:r>
                    <w:rPr>
                      <w:color w:val="000000"/>
                      <w:szCs w:val="21"/>
                      <w:vertAlign w:val="subscript"/>
                    </w:rPr>
                    <w:t>2</w:t>
                  </w:r>
                </w:p>
              </w:tc>
              <w:tc>
                <w:tcPr>
                  <w:tcW w:w="1217" w:type="dxa"/>
                  <w:noWrap w:val="0"/>
                  <w:vAlign w:val="center"/>
                </w:tcPr>
                <w:p>
                  <w:pPr>
                    <w:spacing w:line="320" w:lineRule="exact"/>
                    <w:jc w:val="center"/>
                    <w:rPr>
                      <w:color w:val="000000"/>
                      <w:szCs w:val="21"/>
                    </w:rPr>
                  </w:pPr>
                  <w:r>
                    <w:rPr>
                      <w:color w:val="000000"/>
                      <w:szCs w:val="21"/>
                    </w:rPr>
                    <w:t>SO</w:t>
                  </w:r>
                  <w:r>
                    <w:rPr>
                      <w:color w:val="000000"/>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4" w:type="dxa"/>
                  <w:noWrap w:val="0"/>
                  <w:vAlign w:val="center"/>
                </w:tcPr>
                <w:p>
                  <w:pPr>
                    <w:spacing w:line="320" w:lineRule="exact"/>
                    <w:jc w:val="center"/>
                    <w:rPr>
                      <w:color w:val="000000"/>
                      <w:szCs w:val="21"/>
                    </w:rPr>
                  </w:pPr>
                  <w:r>
                    <w:rPr>
                      <w:rFonts w:hint="eastAsia"/>
                      <w:color w:val="000000"/>
                      <w:szCs w:val="21"/>
                    </w:rPr>
                    <w:t>淮滨城区</w:t>
                  </w:r>
                </w:p>
              </w:tc>
              <w:tc>
                <w:tcPr>
                  <w:tcW w:w="1203" w:type="dxa"/>
                  <w:noWrap w:val="0"/>
                  <w:vAlign w:val="center"/>
                </w:tcPr>
                <w:p>
                  <w:pPr>
                    <w:spacing w:line="320" w:lineRule="exact"/>
                    <w:jc w:val="center"/>
                    <w:rPr>
                      <w:color w:val="000000"/>
                      <w:szCs w:val="21"/>
                    </w:rPr>
                  </w:pPr>
                  <w:r>
                    <w:rPr>
                      <w:rFonts w:hint="eastAsia"/>
                      <w:color w:val="000000"/>
                      <w:szCs w:val="21"/>
                    </w:rPr>
                    <w:t>47</w:t>
                  </w:r>
                </w:p>
              </w:tc>
              <w:tc>
                <w:tcPr>
                  <w:tcW w:w="1082" w:type="dxa"/>
                  <w:noWrap w:val="0"/>
                  <w:vAlign w:val="center"/>
                </w:tcPr>
                <w:p>
                  <w:pPr>
                    <w:spacing w:line="320" w:lineRule="exact"/>
                    <w:jc w:val="center"/>
                    <w:rPr>
                      <w:color w:val="000000"/>
                      <w:szCs w:val="21"/>
                    </w:rPr>
                  </w:pPr>
                  <w:r>
                    <w:rPr>
                      <w:rFonts w:hint="eastAsia"/>
                      <w:color w:val="000000"/>
                      <w:szCs w:val="21"/>
                    </w:rPr>
                    <w:t>15</w:t>
                  </w:r>
                </w:p>
              </w:tc>
              <w:tc>
                <w:tcPr>
                  <w:tcW w:w="1217" w:type="dxa"/>
                  <w:noWrap w:val="0"/>
                  <w:vAlign w:val="center"/>
                </w:tcPr>
                <w:p>
                  <w:pPr>
                    <w:spacing w:line="320" w:lineRule="exact"/>
                    <w:jc w:val="center"/>
                    <w:rPr>
                      <w:color w:val="000000"/>
                      <w:szCs w:val="21"/>
                    </w:rPr>
                  </w:pPr>
                  <w:r>
                    <w:rPr>
                      <w:rFonts w:hint="eastAsia"/>
                      <w:color w:val="00000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4" w:type="dxa"/>
                  <w:noWrap w:val="0"/>
                  <w:vAlign w:val="center"/>
                </w:tcPr>
                <w:p>
                  <w:pPr>
                    <w:pStyle w:val="6"/>
                    <w:spacing w:line="320" w:lineRule="exact"/>
                    <w:jc w:val="center"/>
                    <w:rPr>
                      <w:color w:val="000000"/>
                      <w:szCs w:val="21"/>
                    </w:rPr>
                  </w:pPr>
                  <w:r>
                    <w:rPr>
                      <w:color w:val="000000"/>
                      <w:szCs w:val="21"/>
                    </w:rPr>
                    <w:t>《环境空气质量</w:t>
                  </w:r>
                  <w:r>
                    <w:rPr>
                      <w:rFonts w:hint="eastAsia"/>
                      <w:color w:val="000000"/>
                      <w:szCs w:val="21"/>
                    </w:rPr>
                    <w:t>标准》</w:t>
                  </w:r>
                  <w:r>
                    <w:rPr>
                      <w:color w:val="000000"/>
                      <w:szCs w:val="21"/>
                    </w:rPr>
                    <w:t>（GB3095-2012）中二级标准</w:t>
                  </w:r>
                </w:p>
              </w:tc>
              <w:tc>
                <w:tcPr>
                  <w:tcW w:w="1203" w:type="dxa"/>
                  <w:noWrap w:val="0"/>
                  <w:vAlign w:val="center"/>
                </w:tcPr>
                <w:p>
                  <w:pPr>
                    <w:spacing w:line="320" w:lineRule="exact"/>
                    <w:jc w:val="center"/>
                    <w:rPr>
                      <w:color w:val="000000"/>
                      <w:szCs w:val="21"/>
                    </w:rPr>
                  </w:pPr>
                  <w:r>
                    <w:rPr>
                      <w:rFonts w:hint="eastAsia"/>
                      <w:color w:val="000000"/>
                      <w:szCs w:val="21"/>
                    </w:rPr>
                    <w:t>150</w:t>
                  </w:r>
                </w:p>
              </w:tc>
              <w:tc>
                <w:tcPr>
                  <w:tcW w:w="1082" w:type="dxa"/>
                  <w:noWrap w:val="0"/>
                  <w:vAlign w:val="center"/>
                </w:tcPr>
                <w:p>
                  <w:pPr>
                    <w:spacing w:line="320" w:lineRule="exact"/>
                    <w:jc w:val="center"/>
                    <w:rPr>
                      <w:color w:val="000000"/>
                      <w:szCs w:val="21"/>
                    </w:rPr>
                  </w:pPr>
                  <w:r>
                    <w:rPr>
                      <w:color w:val="000000"/>
                      <w:szCs w:val="21"/>
                    </w:rPr>
                    <w:t>80</w:t>
                  </w:r>
                </w:p>
              </w:tc>
              <w:tc>
                <w:tcPr>
                  <w:tcW w:w="1217" w:type="dxa"/>
                  <w:noWrap w:val="0"/>
                  <w:vAlign w:val="center"/>
                </w:tcPr>
                <w:p>
                  <w:pPr>
                    <w:spacing w:line="320" w:lineRule="exact"/>
                    <w:jc w:val="center"/>
                    <w:rPr>
                      <w:color w:val="000000"/>
                      <w:szCs w:val="21"/>
                    </w:rPr>
                  </w:pPr>
                  <w:r>
                    <w:rPr>
                      <w:color w:val="000000"/>
                      <w:szCs w:val="21"/>
                    </w:rPr>
                    <w:t>150</w:t>
                  </w:r>
                </w:p>
              </w:tc>
            </w:tr>
          </w:tbl>
          <w:p>
            <w:pPr>
              <w:spacing w:line="520" w:lineRule="exact"/>
              <w:ind w:firstLine="480" w:firstLineChars="200"/>
              <w:rPr>
                <w:bCs/>
                <w:color w:val="000000"/>
                <w:sz w:val="24"/>
                <w:szCs w:val="28"/>
              </w:rPr>
            </w:pPr>
            <w:r>
              <w:rPr>
                <w:color w:val="000000"/>
                <w:sz w:val="24"/>
              </w:rPr>
              <w:t>根据</w:t>
            </w:r>
            <w:r>
              <w:rPr>
                <w:rFonts w:hint="eastAsia"/>
                <w:color w:val="000000"/>
                <w:sz w:val="24"/>
              </w:rPr>
              <w:t>上表可知</w:t>
            </w:r>
            <w:r>
              <w:rPr>
                <w:color w:val="000000"/>
                <w:sz w:val="24"/>
              </w:rPr>
              <w:t>，该项目所在地区域环境空气中</w:t>
            </w:r>
            <w:r>
              <w:rPr>
                <w:rFonts w:hint="eastAsia"/>
                <w:color w:val="000000"/>
                <w:sz w:val="24"/>
              </w:rPr>
              <w:t>PM</w:t>
            </w:r>
            <w:r>
              <w:rPr>
                <w:rFonts w:hint="eastAsia"/>
                <w:color w:val="000000"/>
                <w:sz w:val="24"/>
                <w:vertAlign w:val="subscript"/>
              </w:rPr>
              <w:t>10</w:t>
            </w:r>
            <w:r>
              <w:rPr>
                <w:rFonts w:hint="eastAsia"/>
                <w:color w:val="000000"/>
                <w:sz w:val="24"/>
              </w:rPr>
              <w:t>、</w:t>
            </w:r>
            <w:r>
              <w:rPr>
                <w:color w:val="000000"/>
                <w:sz w:val="24"/>
              </w:rPr>
              <w:t>SO</w:t>
            </w:r>
            <w:r>
              <w:rPr>
                <w:color w:val="000000"/>
                <w:sz w:val="24"/>
                <w:vertAlign w:val="subscript"/>
              </w:rPr>
              <w:t>2</w:t>
            </w:r>
            <w:r>
              <w:rPr>
                <w:color w:val="000000"/>
                <w:sz w:val="24"/>
              </w:rPr>
              <w:t>、NO</w:t>
            </w:r>
            <w:r>
              <w:rPr>
                <w:color w:val="000000"/>
                <w:sz w:val="24"/>
                <w:vertAlign w:val="subscript"/>
              </w:rPr>
              <w:t>2</w:t>
            </w:r>
            <w:r>
              <w:rPr>
                <w:color w:val="000000"/>
                <w:sz w:val="24"/>
              </w:rPr>
              <w:t>浓度日均值满足《环境空气质量标准》（GB3095-2012）中二级标准要求</w:t>
            </w:r>
            <w:r>
              <w:rPr>
                <w:rFonts w:hint="eastAsia"/>
                <w:color w:val="000000"/>
                <w:sz w:val="24"/>
              </w:rPr>
              <w:t>，环境空气质量良好</w:t>
            </w:r>
            <w:r>
              <w:rPr>
                <w:color w:val="00000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pPr>
            <w:r>
              <w:rPr>
                <w:rFonts w:hint="default" w:ascii="Times New Roman" w:hAnsi="Times New Roman" w:cs="Times New Roman"/>
                <w:b/>
                <w:bCs/>
                <w:color w:val="000000"/>
                <w:kern w:val="2"/>
                <w:sz w:val="24"/>
                <w:szCs w:val="24"/>
                <w:lang w:val="en-US" w:eastAsia="zh-CN" w:bidi="ar-SA"/>
              </w:rPr>
              <w:t>2</w:t>
            </w:r>
            <w:r>
              <w:rPr>
                <w:rFonts w:hint="eastAsia" w:ascii="Times New Roman" w:hAnsi="Times New Roman" w:cs="Times New Roman"/>
                <w:b/>
                <w:bCs/>
                <w:color w:val="000000"/>
                <w:kern w:val="2"/>
                <w:sz w:val="24"/>
                <w:szCs w:val="24"/>
                <w:lang w:val="en-US" w:eastAsia="zh-CN" w:bidi="ar-SA"/>
              </w:rPr>
              <w:t>、</w:t>
            </w:r>
            <w:r>
              <w:rPr>
                <w:rFonts w:hint="eastAsia" w:ascii="Times New Roman" w:hAnsi="宋体"/>
                <w:b/>
                <w:bCs/>
                <w:color w:val="000000"/>
                <w:kern w:val="2"/>
                <w:sz w:val="24"/>
                <w:szCs w:val="24"/>
                <w:lang w:val="en-US" w:eastAsia="zh-CN" w:bidi="ar-SA"/>
              </w:rPr>
              <w:t>地表水环境质量现状调查与评价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color w:val="000000"/>
                <w:sz w:val="24"/>
              </w:rPr>
              <w:t>项目所在区域最近的地表水体为项目</w:t>
            </w:r>
            <w:r>
              <w:rPr>
                <w:rFonts w:hint="eastAsia"/>
                <w:color w:val="000000"/>
                <w:sz w:val="24"/>
                <w:lang w:val="en-US" w:eastAsia="zh-CN"/>
              </w:rPr>
              <w:t>南</w:t>
            </w:r>
            <w:r>
              <w:rPr>
                <w:rFonts w:hint="eastAsia"/>
                <w:color w:val="000000"/>
                <w:sz w:val="24"/>
              </w:rPr>
              <w:t>侧的淮河，淮河在淮滨水文站设置有省控断面。根据河南省环境保护厅网站发布的河南省地表水环境责任目标断面水质周报第49周至53周（</w:t>
            </w:r>
            <w:r>
              <w:rPr>
                <w:color w:val="000000"/>
                <w:sz w:val="24"/>
              </w:rPr>
              <w:t>20</w:t>
            </w:r>
            <w:r>
              <w:rPr>
                <w:rFonts w:hint="eastAsia" w:eastAsia="宋体"/>
                <w:color w:val="000000"/>
                <w:sz w:val="24"/>
                <w:lang w:val="en-US" w:eastAsia="zh-CN"/>
              </w:rPr>
              <w:t>19</w:t>
            </w:r>
            <w:r>
              <w:rPr>
                <w:rFonts w:hint="eastAsia"/>
                <w:color w:val="000000"/>
                <w:sz w:val="24"/>
              </w:rPr>
              <w:t>年</w:t>
            </w:r>
            <w:r>
              <w:rPr>
                <w:color w:val="000000"/>
                <w:sz w:val="24"/>
              </w:rPr>
              <w:t>1</w:t>
            </w:r>
            <w:r>
              <w:rPr>
                <w:rFonts w:hint="eastAsia"/>
                <w:color w:val="000000"/>
                <w:sz w:val="24"/>
              </w:rPr>
              <w:t>1月27日</w:t>
            </w:r>
            <w:r>
              <w:rPr>
                <w:color w:val="000000"/>
                <w:sz w:val="24"/>
              </w:rPr>
              <w:t>~</w:t>
            </w:r>
            <w:r>
              <w:rPr>
                <w:rFonts w:hint="eastAsia"/>
                <w:color w:val="000000"/>
                <w:sz w:val="24"/>
              </w:rPr>
              <w:t>12月31日）的数据，淮河淮滨水文站断面水质监测结果见表</w:t>
            </w:r>
            <w:r>
              <w:rPr>
                <w:rFonts w:hint="eastAsia"/>
                <w:color w:val="000000"/>
                <w:sz w:val="24"/>
                <w:lang w:val="en-US" w:eastAsia="zh-CN"/>
              </w:rPr>
              <w:t>6</w:t>
            </w:r>
            <w:r>
              <w:rPr>
                <w:rFonts w:hint="eastAsia"/>
                <w:color w:val="000000"/>
                <w:sz w:val="24"/>
              </w:rPr>
              <w:t>。</w:t>
            </w:r>
            <w:r>
              <w:rPr>
                <w:color w:val="000000"/>
                <w:sz w:val="24"/>
              </w:rPr>
              <w:t xml:space="preserve">   </w:t>
            </w:r>
          </w:p>
          <w:p>
            <w:pPr>
              <w:bidi w:val="0"/>
              <w:jc w:val="center"/>
              <w:rPr>
                <w:b/>
                <w:bCs/>
                <w:sz w:val="24"/>
                <w:szCs w:val="24"/>
              </w:rPr>
            </w:pPr>
            <w:r>
              <w:rPr>
                <w:rFonts w:hint="eastAsia"/>
                <w:b/>
                <w:bCs/>
                <w:sz w:val="24"/>
                <w:szCs w:val="24"/>
              </w:rPr>
              <w:t>表</w:t>
            </w:r>
            <w:r>
              <w:rPr>
                <w:rFonts w:hint="eastAsia"/>
                <w:b/>
                <w:bCs/>
                <w:sz w:val="24"/>
                <w:szCs w:val="24"/>
                <w:lang w:val="en-US" w:eastAsia="zh-CN"/>
              </w:rPr>
              <w:t>6</w:t>
            </w:r>
            <w:r>
              <w:rPr>
                <w:b/>
                <w:bCs/>
                <w:sz w:val="24"/>
                <w:szCs w:val="24"/>
              </w:rPr>
              <w:t xml:space="preserve">           </w:t>
            </w:r>
            <w:r>
              <w:rPr>
                <w:rFonts w:hint="eastAsia"/>
                <w:b/>
                <w:bCs/>
                <w:sz w:val="24"/>
                <w:szCs w:val="24"/>
              </w:rPr>
              <w:t>地表水质量现状监测结果统计表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2549"/>
              <w:gridCol w:w="3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41"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62"/>
                    <w:ind w:left="461" w:leftChars="171" w:hanging="102" w:hangingChars="49"/>
                    <w:jc w:val="center"/>
                    <w:rPr>
                      <w:kern w:val="0"/>
                      <w:szCs w:val="21"/>
                    </w:rPr>
                  </w:pPr>
                  <w:r>
                    <w:rPr>
                      <w:szCs w:val="21"/>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5080</wp:posOffset>
                            </wp:positionV>
                            <wp:extent cx="1953260" cy="523875"/>
                            <wp:effectExtent l="1270" t="4445" r="7620" b="5080"/>
                            <wp:wrapNone/>
                            <wp:docPr id="10" name="直接连接符 10"/>
                            <wp:cNvGraphicFramePr/>
                            <a:graphic xmlns:a="http://schemas.openxmlformats.org/drawingml/2006/main">
                              <a:graphicData uri="http://schemas.microsoft.com/office/word/2010/wordprocessingShape">
                                <wps:wsp>
                                  <wps:cNvCnPr/>
                                  <wps:spPr>
                                    <a:xfrm>
                                      <a:off x="0" y="0"/>
                                      <a:ext cx="1953260" cy="5238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6pt;margin-top:0.4pt;height:41.25pt;width:153.8pt;z-index:251660288;mso-width-relative:page;mso-height-relative:page;" filled="f" stroked="t" coordsize="21600,21600" o:gfxdata="UEsDBAoAAAAAAIdO4kAAAAAAAAAAAAAAAAAEAAAAZHJzL1BLAwQUAAAACACHTuJAO2Dvi9QAAAAG&#10;AQAADwAAAGRycy9kb3ducmV2LnhtbE2OTU/DMBBE70j8B2uRuFSt3QShNsTpAciNCwXEdRsvSUS8&#10;TmP3A349ywmOoxm9eeXm7Ad1pCn2gS0sFwYUcRNcz62F15d6vgIVE7LDITBZ+KIIm+ryosTChRM/&#10;03GbWiUQjgVa6FIaC61j05HHuAgjsXQfYfKYJE6tdhOeBO4HnRlzqz32LA8djnTfUfO5PXgLsX6j&#10;ff09a2bmPW8DZfuHp0e09vpqae5AJTqnvzH86os6VOK0Cwd2UQ0W5utMlhbEX9psvboBtZOY56Cr&#10;Uv/Xr34AUEsDBBQAAAAIAIdO4kCtVWRX3wEAAJ0DAAAOAAAAZHJzL2Uyb0RvYy54bWytU0uOEzEQ&#10;3SNxB8t70klGPcy00pnFhGGDIBJwgIrt7rbkn1yedHIJLoDEDlYs2XObGY5B2QkZPhuEyKJSdj0/&#10;13uuXlztrGFbFVF71/LZZMqZcsJL7fqWv31z8+SCM0zgJBjvVMv3CvnV8vGjxRgaNfeDN1JFRiQO&#10;mzG0fEgpNFWFYlAWcOKDclTsfLSQaBn7SkYYid2aaj6dnlejjzJELxQi7a4ORb4s/F2nRHrVdagS&#10;My2n3lKJscRNjtVyAU0fIQxaHNuAf+jCgnZ06YlqBQnYbdR/UFktokffpYnwtvJdp4UqGkjNbPqb&#10;mtcDBFW0kDkYTjbh/6MVL7fryLSktyN7HFh6o/v3X+7effz29QPF+8+fGFXIpjFgQ+hrt47HFYZ1&#10;zJp3XbT5n9SwXbF2f7JW7RITtDm7rM/m53SFoFo9P7t4WmfS6uF0iJieK29ZTlputMvSoYHtC0wH&#10;6A9I3jaOjS2/rOc1cQJNTmcgUWoDaUHXl7PojZY32ph8AmO/uTaRbSHPQvkdW/gFli9ZAQ4HXCll&#10;GDSDAvnMSZb2gUxyNM48t2CV5Mwomv6cFWQCbf4GSeqNIxOytQczc7bxck9vchui7gdyYla6zBWa&#10;gWLZcV7zkP28LkwPX9Xy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tg74vUAAAABgEAAA8AAAAA&#10;AAAAAQAgAAAAIgAAAGRycy9kb3ducmV2LnhtbFBLAQIUABQAAAAIAIdO4kCtVWRX3wEAAJ0DAAAO&#10;AAAAAAAAAAEAIAAAACMBAABkcnMvZTJvRG9jLnhtbFBLBQYAAAAABgAGAFkBAAB0BQAAAAA=&#10;">
                            <v:fill on="f" focussize="0,0"/>
                            <v:stroke color="#000000" joinstyle="round"/>
                            <v:imagedata o:title=""/>
                            <o:lock v:ext="edit" aspectratio="f"/>
                          </v:line>
                        </w:pict>
                      </mc:Fallback>
                    </mc:AlternateContent>
                  </w:r>
                  <w:r>
                    <w:rPr>
                      <w:kern w:val="0"/>
                      <w:szCs w:val="21"/>
                    </w:rPr>
                    <w:t xml:space="preserve">      </w:t>
                  </w:r>
                  <w:r>
                    <w:rPr>
                      <w:rFonts w:hint="eastAsia"/>
                      <w:kern w:val="0"/>
                      <w:szCs w:val="21"/>
                    </w:rPr>
                    <w:t>监测因子</w:t>
                  </w:r>
                </w:p>
                <w:p>
                  <w:pPr>
                    <w:rPr>
                      <w:kern w:val="0"/>
                      <w:szCs w:val="21"/>
                    </w:rPr>
                  </w:pPr>
                  <w:r>
                    <w:rPr>
                      <w:rFonts w:hint="eastAsia"/>
                      <w:kern w:val="0"/>
                      <w:szCs w:val="21"/>
                    </w:rPr>
                    <w:t>监测周份</w:t>
                  </w:r>
                </w:p>
              </w:tc>
              <w:tc>
                <w:tcPr>
                  <w:tcW w:w="5970" w:type="dxa"/>
                  <w:gridSpan w:val="2"/>
                  <w:tcBorders>
                    <w:top w:val="single" w:color="auto" w:sz="4" w:space="0"/>
                    <w:left w:val="single" w:color="auto" w:sz="4" w:space="0"/>
                    <w:bottom w:val="single" w:color="auto" w:sz="4" w:space="0"/>
                    <w:right w:val="single" w:color="auto" w:sz="8" w:space="0"/>
                  </w:tcBorders>
                  <w:noWrap w:val="0"/>
                  <w:vAlign w:val="center"/>
                </w:tcPr>
                <w:p>
                  <w:pPr>
                    <w:jc w:val="center"/>
                    <w:rPr>
                      <w:kern w:val="0"/>
                      <w:szCs w:val="21"/>
                    </w:rPr>
                  </w:pPr>
                  <w:r>
                    <w:rPr>
                      <w:rFonts w:hint="eastAsia"/>
                      <w:szCs w:val="21"/>
                    </w:rPr>
                    <w:t>淮河淮滨水文站断面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4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kern w:val="0"/>
                      <w:szCs w:val="21"/>
                    </w:rPr>
                  </w:pPr>
                </w:p>
              </w:tc>
              <w:tc>
                <w:tcPr>
                  <w:tcW w:w="2549" w:type="dxa"/>
                  <w:tcBorders>
                    <w:top w:val="single" w:color="auto" w:sz="4" w:space="0"/>
                    <w:left w:val="single" w:color="auto" w:sz="4" w:space="0"/>
                    <w:bottom w:val="single" w:color="auto" w:sz="4" w:space="0"/>
                    <w:right w:val="single" w:color="auto" w:sz="4" w:space="0"/>
                  </w:tcBorders>
                  <w:noWrap w:val="0"/>
                  <w:vAlign w:val="center"/>
                </w:tcPr>
                <w:p>
                  <w:pPr>
                    <w:spacing w:before="62"/>
                    <w:jc w:val="center"/>
                    <w:rPr>
                      <w:kern w:val="0"/>
                      <w:szCs w:val="21"/>
                    </w:rPr>
                  </w:pPr>
                  <w:r>
                    <w:rPr>
                      <w:kern w:val="0"/>
                      <w:szCs w:val="21"/>
                    </w:rPr>
                    <w:t>COD</w:t>
                  </w:r>
                  <w:r>
                    <w:rPr>
                      <w:rFonts w:hint="eastAsia"/>
                      <w:kern w:val="0"/>
                      <w:szCs w:val="21"/>
                    </w:rPr>
                    <w:t>（</w:t>
                  </w:r>
                  <w:r>
                    <w:rPr>
                      <w:kern w:val="0"/>
                      <w:szCs w:val="21"/>
                    </w:rPr>
                    <w:t>mg/L</w:t>
                  </w:r>
                  <w:r>
                    <w:rPr>
                      <w:rFonts w:hint="eastAsia"/>
                      <w:kern w:val="0"/>
                      <w:szCs w:val="21"/>
                    </w:rPr>
                    <w:t>）</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spacing w:before="62"/>
                    <w:jc w:val="center"/>
                    <w:rPr>
                      <w:kern w:val="0"/>
                      <w:szCs w:val="21"/>
                    </w:rPr>
                  </w:pPr>
                  <w:r>
                    <w:rPr>
                      <w:rFonts w:hint="eastAsia"/>
                      <w:kern w:val="0"/>
                      <w:szCs w:val="21"/>
                    </w:rPr>
                    <w:t>氨氮（</w:t>
                  </w:r>
                  <w:r>
                    <w:rPr>
                      <w:kern w:val="0"/>
                      <w:szCs w:val="21"/>
                    </w:rPr>
                    <w:t>mg/L</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49周</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19.0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50周</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18.0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51周</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17.0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52周</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17.0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53周</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12.0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均值</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kern w:val="0"/>
                      <w:szCs w:val="21"/>
                    </w:rPr>
                  </w:pPr>
                  <w:r>
                    <w:rPr>
                      <w:rFonts w:hint="eastAsia"/>
                      <w:kern w:val="0"/>
                      <w:szCs w:val="21"/>
                    </w:rPr>
                    <w:t>16.6</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rFonts w:hint="eastAsia"/>
                      <w:kern w:val="0"/>
                      <w:szCs w:val="21"/>
                    </w:rPr>
                  </w:pPr>
                  <w:r>
                    <w:rPr>
                      <w:rFonts w:hint="eastAsia"/>
                      <w:kern w:val="0"/>
                      <w:szCs w:val="21"/>
                    </w:rPr>
                    <w:t>0.352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超标率</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kern w:val="0"/>
                      <w:szCs w:val="21"/>
                    </w:rPr>
                  </w:pPr>
                  <w:r>
                    <w:rPr>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rFonts w:hint="eastAsia"/>
                      <w:kern w:val="0"/>
                      <w:szCs w:val="21"/>
                    </w:rPr>
                    <w:t>最大超标倍数</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kern w:val="0"/>
                      <w:szCs w:val="21"/>
                    </w:rPr>
                  </w:pPr>
                  <w:r>
                    <w:rPr>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3041" w:type="dxa"/>
                  <w:tcBorders>
                    <w:top w:val="single" w:color="auto" w:sz="4" w:space="0"/>
                    <w:left w:val="single" w:color="auto" w:sz="4" w:space="0"/>
                    <w:bottom w:val="single" w:color="auto" w:sz="4" w:space="0"/>
                    <w:right w:val="single" w:color="auto" w:sz="4" w:space="0"/>
                  </w:tcBorders>
                  <w:noWrap w:val="0"/>
                  <w:vAlign w:val="center"/>
                </w:tcPr>
                <w:p>
                  <w:pPr>
                    <w:ind w:firstLine="315" w:firstLineChars="150"/>
                    <w:jc w:val="center"/>
                    <w:rPr>
                      <w:kern w:val="0"/>
                      <w:szCs w:val="21"/>
                    </w:rPr>
                  </w:pPr>
                  <w:r>
                    <w:rPr>
                      <w:kern w:val="0"/>
                      <w:szCs w:val="21"/>
                    </w:rPr>
                    <w:t>GB3838-2002</w:t>
                  </w:r>
                  <w:r>
                    <w:rPr>
                      <w:rFonts w:hint="eastAsia" w:hAnsi="宋体"/>
                      <w:szCs w:val="21"/>
                    </w:rPr>
                    <w:t>Ⅲ</w:t>
                  </w:r>
                  <w:r>
                    <w:rPr>
                      <w:rFonts w:hint="eastAsia"/>
                      <w:szCs w:val="21"/>
                    </w:rPr>
                    <w:t>类标准值</w:t>
                  </w:r>
                </w:p>
              </w:tc>
              <w:tc>
                <w:tcPr>
                  <w:tcW w:w="2549" w:type="dxa"/>
                  <w:tcBorders>
                    <w:top w:val="single" w:color="auto" w:sz="4" w:space="0"/>
                    <w:left w:val="single" w:color="auto" w:sz="4" w:space="0"/>
                    <w:bottom w:val="single" w:color="auto" w:sz="4" w:space="0"/>
                    <w:right w:val="single" w:color="auto" w:sz="4" w:space="0"/>
                  </w:tcBorders>
                  <w:noWrap w:val="0"/>
                  <w:vAlign w:val="center"/>
                </w:tcPr>
                <w:p>
                  <w:pPr>
                    <w:jc w:val="center"/>
                    <w:rPr>
                      <w:kern w:val="0"/>
                      <w:szCs w:val="21"/>
                    </w:rPr>
                  </w:pPr>
                  <w:r>
                    <w:rPr>
                      <w:kern w:val="0"/>
                      <w:szCs w:val="21"/>
                    </w:rPr>
                    <w:t>20</w:t>
                  </w:r>
                </w:p>
              </w:tc>
              <w:tc>
                <w:tcPr>
                  <w:tcW w:w="3421" w:type="dxa"/>
                  <w:tcBorders>
                    <w:top w:val="single" w:color="auto" w:sz="4" w:space="0"/>
                    <w:left w:val="single" w:color="auto" w:sz="4" w:space="0"/>
                    <w:bottom w:val="single" w:color="auto" w:sz="4" w:space="0"/>
                    <w:right w:val="single" w:color="auto" w:sz="8" w:space="0"/>
                  </w:tcBorders>
                  <w:noWrap w:val="0"/>
                  <w:vAlign w:val="center"/>
                </w:tcPr>
                <w:p>
                  <w:pPr>
                    <w:jc w:val="center"/>
                    <w:rPr>
                      <w:kern w:val="0"/>
                      <w:szCs w:val="21"/>
                    </w:rPr>
                  </w:pPr>
                  <w:r>
                    <w:rPr>
                      <w:kern w:val="0"/>
                      <w:szCs w:val="21"/>
                    </w:rPr>
                    <w:t>1.0</w:t>
                  </w:r>
                </w:p>
              </w:tc>
            </w:tr>
          </w:tbl>
          <w:p>
            <w:pPr>
              <w:pageBreakBefore w:val="0"/>
              <w:widowControl w:val="0"/>
              <w:kinsoku/>
              <w:wordWrap/>
              <w:overflowPunct/>
              <w:topLinePunct w:val="0"/>
              <w:autoSpaceDE/>
              <w:autoSpaceDN/>
              <w:bidi w:val="0"/>
              <w:adjustRightInd w:val="0"/>
              <w:snapToGrid w:val="0"/>
              <w:spacing w:line="360" w:lineRule="auto"/>
              <w:ind w:firstLine="480" w:firstLineChars="200"/>
              <w:rPr>
                <w:rFonts w:hAnsi="宋体"/>
                <w:sz w:val="24"/>
              </w:rPr>
            </w:pPr>
            <w:r>
              <w:rPr>
                <w:rFonts w:hint="eastAsia" w:hAnsi="宋体"/>
                <w:sz w:val="24"/>
              </w:rPr>
              <w:t>由表</w:t>
            </w:r>
            <w:r>
              <w:rPr>
                <w:rFonts w:hint="eastAsia"/>
                <w:sz w:val="24"/>
                <w:lang w:val="en-US" w:eastAsia="zh-CN"/>
              </w:rPr>
              <w:t>6</w:t>
            </w:r>
            <w:r>
              <w:rPr>
                <w:rFonts w:hint="eastAsia" w:hAnsi="宋体"/>
                <w:sz w:val="24"/>
              </w:rPr>
              <w:t>地表水监测统计可知，</w:t>
            </w:r>
            <w:r>
              <w:rPr>
                <w:rFonts w:hint="eastAsia"/>
                <w:sz w:val="24"/>
              </w:rPr>
              <w:t>淮河淮滨水文站</w:t>
            </w:r>
            <w:r>
              <w:rPr>
                <w:rFonts w:hint="eastAsia" w:hAnsi="宋体"/>
                <w:sz w:val="24"/>
              </w:rPr>
              <w:t>断面</w:t>
            </w:r>
            <w:r>
              <w:rPr>
                <w:rFonts w:hAnsi="宋体"/>
                <w:sz w:val="24"/>
              </w:rPr>
              <w:t>COD</w:t>
            </w:r>
            <w:r>
              <w:rPr>
                <w:rFonts w:hint="eastAsia" w:hAnsi="宋体"/>
                <w:sz w:val="24"/>
              </w:rPr>
              <w:t>、氨氮均能满足《地表水环境质量标准》（</w:t>
            </w:r>
            <w:r>
              <w:rPr>
                <w:rFonts w:hAnsi="宋体"/>
                <w:sz w:val="24"/>
              </w:rPr>
              <w:t>GB3838-2002</w:t>
            </w:r>
            <w:r>
              <w:rPr>
                <w:rFonts w:hint="eastAsia" w:hAnsi="宋体"/>
                <w:sz w:val="24"/>
              </w:rPr>
              <w:t>）Ⅲ类标准要求，</w:t>
            </w:r>
            <w:r>
              <w:rPr>
                <w:rFonts w:hint="eastAsia"/>
                <w:sz w:val="24"/>
              </w:rPr>
              <w:t>区域地表水环境质量状况良好。</w:t>
            </w:r>
          </w:p>
          <w:p>
            <w:pPr>
              <w:pStyle w:val="3"/>
              <w:pageBreakBefore w:val="0"/>
              <w:widowControl w:val="0"/>
              <w:kinsoku/>
              <w:wordWrap/>
              <w:overflowPunct/>
              <w:topLinePunct w:val="0"/>
              <w:autoSpaceDE/>
              <w:autoSpaceDN/>
              <w:bidi w:val="0"/>
              <w:snapToGrid w:val="0"/>
              <w:spacing w:before="0" w:beforeLines="0" w:after="0" w:afterLines="0" w:line="360" w:lineRule="auto"/>
              <w:outlineLvl w:val="2"/>
              <w:rPr>
                <w:color w:val="000000"/>
              </w:rPr>
            </w:pPr>
            <w:r>
              <w:rPr>
                <w:rFonts w:hint="eastAsia"/>
                <w:color w:val="000000"/>
              </w:rPr>
              <w:t xml:space="preserve">   </w:t>
            </w:r>
            <w:r>
              <w:rPr>
                <w:color w:val="000000"/>
              </w:rPr>
              <w:t xml:space="preserve"> </w:t>
            </w:r>
            <w:r>
              <w:rPr>
                <w:color w:val="000000"/>
                <w:sz w:val="24"/>
              </w:rPr>
              <w:t xml:space="preserve">3 </w:t>
            </w:r>
            <w:r>
              <w:rPr>
                <w:rFonts w:hint="eastAsia"/>
                <w:color w:val="000000"/>
                <w:sz w:val="24"/>
              </w:rPr>
              <w:t>声环境质量现状</w:t>
            </w:r>
          </w:p>
          <w:p>
            <w:pPr>
              <w:pageBreakBefore w:val="0"/>
              <w:widowControl w:val="0"/>
              <w:kinsoku/>
              <w:wordWrap/>
              <w:overflowPunct/>
              <w:topLinePunct w:val="0"/>
              <w:autoSpaceDE/>
              <w:autoSpaceDN/>
              <w:bidi w:val="0"/>
              <w:adjustRightInd w:val="0"/>
              <w:spacing w:line="360" w:lineRule="auto"/>
              <w:ind w:firstLine="482"/>
              <w:textAlignment w:val="baseline"/>
              <w:rPr>
                <w:rFonts w:hint="eastAsia"/>
                <w:sz w:val="24"/>
              </w:rPr>
            </w:pPr>
            <w:r>
              <w:rPr>
                <w:color w:val="000000"/>
                <w:spacing w:val="6"/>
                <w:sz w:val="24"/>
              </w:rPr>
              <w:t>为了解项目所在地的声环境质量现状，</w:t>
            </w:r>
            <w:r>
              <w:rPr>
                <w:rFonts w:hint="eastAsia"/>
                <w:kern w:val="0"/>
                <w:sz w:val="24"/>
                <w:highlight w:val="none"/>
                <w:lang w:val="en-US" w:eastAsia="zh-CN"/>
              </w:rPr>
              <w:t>建设单位委托检测单位</w:t>
            </w:r>
            <w:r>
              <w:rPr>
                <w:color w:val="000000"/>
                <w:spacing w:val="6"/>
                <w:sz w:val="24"/>
                <w:highlight w:val="none"/>
              </w:rPr>
              <w:t>于</w:t>
            </w:r>
            <w:r>
              <w:rPr>
                <w:sz w:val="24"/>
                <w:highlight w:val="none"/>
              </w:rPr>
              <w:t>20</w:t>
            </w:r>
            <w:r>
              <w:rPr>
                <w:rFonts w:hint="eastAsia" w:ascii="Times New Roman" w:hAnsi="Times New Roman" w:eastAsia="宋体" w:cs="Times New Roman"/>
                <w:sz w:val="24"/>
                <w:highlight w:val="none"/>
                <w:lang w:val="en-US" w:eastAsia="zh-CN"/>
              </w:rPr>
              <w:t>20</w:t>
            </w:r>
            <w:r>
              <w:rPr>
                <w:rFonts w:hint="default" w:ascii="Times New Roman" w:hAnsi="Times New Roman" w:cs="Times New Roman"/>
                <w:sz w:val="24"/>
                <w:highlight w:val="none"/>
              </w:rPr>
              <w:t>年</w:t>
            </w:r>
            <w:r>
              <w:rPr>
                <w:rFonts w:hint="eastAsia" w:ascii="Times New Roman" w:hAnsi="Times New Roman" w:cs="Times New Roman"/>
                <w:sz w:val="24"/>
                <w:highlight w:val="none"/>
                <w:lang w:val="en-US" w:eastAsia="zh-CN"/>
              </w:rPr>
              <w:t>7</w:t>
            </w:r>
            <w:r>
              <w:rPr>
                <w:rFonts w:hint="default" w:ascii="Times New Roman" w:hAnsi="Times New Roman" w:cs="Times New Roman"/>
                <w:sz w:val="24"/>
                <w:highlight w:val="none"/>
              </w:rPr>
              <w:t>月</w:t>
            </w:r>
            <w:r>
              <w:rPr>
                <w:rFonts w:hint="eastAsia" w:ascii="Times New Roman" w:hAnsi="Times New Roman" w:cs="Times New Roman"/>
                <w:sz w:val="24"/>
                <w:highlight w:val="none"/>
                <w:lang w:val="en-US" w:eastAsia="zh-CN"/>
              </w:rPr>
              <w:t>26</w:t>
            </w:r>
            <w:r>
              <w:rPr>
                <w:rFonts w:hint="default" w:ascii="Times New Roman" w:hAnsi="Times New Roman" w:cs="Times New Roman"/>
                <w:sz w:val="24"/>
                <w:highlight w:val="none"/>
              </w:rPr>
              <w:t>日</w:t>
            </w:r>
            <w:r>
              <w:rPr>
                <w:sz w:val="24"/>
              </w:rPr>
              <w:t>对</w:t>
            </w:r>
            <w:r>
              <w:rPr>
                <w:rFonts w:hint="eastAsia"/>
                <w:sz w:val="24"/>
              </w:rPr>
              <w:t>项目所在地声环境质量</w:t>
            </w:r>
            <w:r>
              <w:rPr>
                <w:sz w:val="24"/>
              </w:rPr>
              <w:t>进行了现状监测，监测结果见表</w:t>
            </w:r>
            <w:r>
              <w:rPr>
                <w:rFonts w:hint="eastAsia"/>
                <w:sz w:val="24"/>
                <w:lang w:val="en-US" w:eastAsia="zh-CN"/>
              </w:rPr>
              <w:t>7</w:t>
            </w:r>
            <w:r>
              <w:rPr>
                <w:sz w:val="24"/>
              </w:rPr>
              <w:t>。</w:t>
            </w:r>
          </w:p>
          <w:p>
            <w:pPr>
              <w:adjustRightInd w:val="0"/>
              <w:spacing w:line="520" w:lineRule="exact"/>
              <w:jc w:val="center"/>
              <w:textAlignment w:val="baseline"/>
              <w:rPr>
                <w:bCs/>
                <w:sz w:val="24"/>
              </w:rPr>
            </w:pPr>
            <w:r>
              <w:rPr>
                <w:b/>
                <w:sz w:val="24"/>
              </w:rPr>
              <w:t>表</w:t>
            </w:r>
            <w:r>
              <w:rPr>
                <w:rFonts w:hint="eastAsia"/>
                <w:b/>
                <w:sz w:val="24"/>
                <w:lang w:val="en-US" w:eastAsia="zh-CN"/>
              </w:rPr>
              <w:t>7</w:t>
            </w:r>
            <w:r>
              <w:rPr>
                <w:rFonts w:hint="eastAsia"/>
                <w:b/>
                <w:sz w:val="24"/>
              </w:rPr>
              <w:t xml:space="preserve">     </w:t>
            </w:r>
            <w:r>
              <w:rPr>
                <w:b/>
                <w:sz w:val="24"/>
              </w:rPr>
              <w:t xml:space="preserve">声环境现状监测  </w:t>
            </w:r>
            <w:r>
              <w:rPr>
                <w:bCs/>
                <w:sz w:val="24"/>
              </w:rPr>
              <w:t xml:space="preserve">          单位：dB(A)</w:t>
            </w:r>
          </w:p>
          <w:tbl>
            <w:tblPr>
              <w:tblStyle w:val="15"/>
              <w:tblW w:w="9016" w:type="dxa"/>
              <w:jc w:val="center"/>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1791"/>
              <w:gridCol w:w="1815"/>
              <w:gridCol w:w="965"/>
              <w:gridCol w:w="965"/>
              <w:gridCol w:w="1689"/>
            </w:tblGrid>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1" w:type="dxa"/>
                  <w:vMerge w:val="restart"/>
                  <w:noWrap w:val="0"/>
                  <w:vAlign w:val="center"/>
                </w:tcPr>
                <w:p>
                  <w:pPr>
                    <w:adjustRightInd w:val="0"/>
                    <w:spacing w:line="360" w:lineRule="exact"/>
                    <w:jc w:val="center"/>
                    <w:textAlignment w:val="baseline"/>
                    <w:rPr>
                      <w:rFonts w:hint="eastAsia"/>
                      <w:szCs w:val="21"/>
                    </w:rPr>
                  </w:pPr>
                  <w:r>
                    <w:rPr>
                      <w:rFonts w:hint="eastAsia"/>
                      <w:szCs w:val="21"/>
                    </w:rPr>
                    <w:t>日期</w:t>
                  </w:r>
                </w:p>
              </w:tc>
              <w:tc>
                <w:tcPr>
                  <w:tcW w:w="1791" w:type="dxa"/>
                  <w:vMerge w:val="restart"/>
                  <w:noWrap w:val="0"/>
                  <w:vAlign w:val="center"/>
                </w:tcPr>
                <w:p>
                  <w:pPr>
                    <w:adjustRightInd w:val="0"/>
                    <w:spacing w:line="360" w:lineRule="exact"/>
                    <w:jc w:val="center"/>
                    <w:textAlignment w:val="baseline"/>
                    <w:rPr>
                      <w:szCs w:val="21"/>
                    </w:rPr>
                  </w:pPr>
                  <w:r>
                    <w:rPr>
                      <w:szCs w:val="21"/>
                    </w:rPr>
                    <w:t>点位</w:t>
                  </w:r>
                </w:p>
              </w:tc>
              <w:tc>
                <w:tcPr>
                  <w:tcW w:w="1815" w:type="dxa"/>
                  <w:vMerge w:val="restart"/>
                  <w:noWrap w:val="0"/>
                  <w:vAlign w:val="center"/>
                </w:tcPr>
                <w:p>
                  <w:pPr>
                    <w:adjustRightInd w:val="0"/>
                    <w:spacing w:line="360" w:lineRule="exact"/>
                    <w:jc w:val="center"/>
                    <w:textAlignment w:val="baseline"/>
                    <w:rPr>
                      <w:szCs w:val="21"/>
                    </w:rPr>
                  </w:pPr>
                  <w:r>
                    <w:rPr>
                      <w:szCs w:val="21"/>
                    </w:rPr>
                    <w:t>昼间</w:t>
                  </w:r>
                  <w:r>
                    <w:rPr>
                      <w:rFonts w:hint="eastAsia"/>
                      <w:szCs w:val="21"/>
                    </w:rPr>
                    <w:t>/夜间</w:t>
                  </w:r>
                </w:p>
              </w:tc>
              <w:tc>
                <w:tcPr>
                  <w:tcW w:w="1930" w:type="dxa"/>
                  <w:gridSpan w:val="2"/>
                  <w:noWrap w:val="0"/>
                  <w:vAlign w:val="center"/>
                </w:tcPr>
                <w:p>
                  <w:pPr>
                    <w:adjustRightInd w:val="0"/>
                    <w:spacing w:line="360" w:lineRule="exact"/>
                    <w:jc w:val="center"/>
                    <w:textAlignment w:val="baseline"/>
                    <w:rPr>
                      <w:szCs w:val="21"/>
                    </w:rPr>
                  </w:pPr>
                  <w:r>
                    <w:rPr>
                      <w:szCs w:val="21"/>
                    </w:rPr>
                    <w:t>噪声标准</w:t>
                  </w:r>
                </w:p>
              </w:tc>
              <w:tc>
                <w:tcPr>
                  <w:tcW w:w="1689" w:type="dxa"/>
                  <w:vMerge w:val="restart"/>
                  <w:noWrap w:val="0"/>
                  <w:vAlign w:val="center"/>
                </w:tcPr>
                <w:p>
                  <w:pPr>
                    <w:adjustRightInd w:val="0"/>
                    <w:spacing w:line="360" w:lineRule="exact"/>
                    <w:jc w:val="center"/>
                    <w:textAlignment w:val="baseline"/>
                    <w:rPr>
                      <w:szCs w:val="21"/>
                    </w:rPr>
                  </w:pPr>
                  <w:r>
                    <w:rPr>
                      <w:szCs w:val="21"/>
                    </w:rPr>
                    <w:t>达标情况</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1" w:type="dxa"/>
                  <w:vMerge w:val="continue"/>
                  <w:noWrap w:val="0"/>
                  <w:vAlign w:val="center"/>
                </w:tcPr>
                <w:p>
                  <w:pPr>
                    <w:adjustRightInd w:val="0"/>
                    <w:spacing w:line="360" w:lineRule="exact"/>
                    <w:jc w:val="center"/>
                    <w:textAlignment w:val="baseline"/>
                    <w:rPr>
                      <w:rFonts w:hint="eastAsia"/>
                      <w:szCs w:val="21"/>
                    </w:rPr>
                  </w:pPr>
                </w:p>
              </w:tc>
              <w:tc>
                <w:tcPr>
                  <w:tcW w:w="1791" w:type="dxa"/>
                  <w:vMerge w:val="continue"/>
                  <w:noWrap w:val="0"/>
                  <w:vAlign w:val="center"/>
                </w:tcPr>
                <w:p>
                  <w:pPr>
                    <w:adjustRightInd w:val="0"/>
                    <w:spacing w:line="360" w:lineRule="exact"/>
                    <w:jc w:val="center"/>
                    <w:textAlignment w:val="baseline"/>
                    <w:rPr>
                      <w:szCs w:val="21"/>
                    </w:rPr>
                  </w:pPr>
                </w:p>
              </w:tc>
              <w:tc>
                <w:tcPr>
                  <w:tcW w:w="1815" w:type="dxa"/>
                  <w:vMerge w:val="continue"/>
                  <w:noWrap w:val="0"/>
                  <w:vAlign w:val="center"/>
                </w:tcPr>
                <w:p>
                  <w:pPr>
                    <w:adjustRightInd w:val="0"/>
                    <w:spacing w:line="360" w:lineRule="exact"/>
                    <w:jc w:val="center"/>
                    <w:textAlignment w:val="baseline"/>
                    <w:rPr>
                      <w:szCs w:val="21"/>
                    </w:rPr>
                  </w:pP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昼间</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夜间</w:t>
                  </w:r>
                </w:p>
              </w:tc>
              <w:tc>
                <w:tcPr>
                  <w:tcW w:w="1689" w:type="dxa"/>
                  <w:vMerge w:val="continue"/>
                  <w:noWrap w:val="0"/>
                  <w:vAlign w:val="center"/>
                </w:tcPr>
                <w:p>
                  <w:pPr>
                    <w:adjustRightInd w:val="0"/>
                    <w:spacing w:line="360" w:lineRule="exact"/>
                    <w:jc w:val="center"/>
                    <w:textAlignment w:val="baseline"/>
                    <w:rPr>
                      <w:szCs w:val="21"/>
                    </w:rPr>
                  </w:pP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91" w:type="dxa"/>
                  <w:vMerge w:val="restart"/>
                  <w:noWrap w:val="0"/>
                  <w:vAlign w:val="center"/>
                </w:tcPr>
                <w:p>
                  <w:pPr>
                    <w:widowControl/>
                    <w:jc w:val="center"/>
                    <w:rPr>
                      <w:rFonts w:hint="default" w:eastAsia="宋体"/>
                      <w:szCs w:val="21"/>
                      <w:lang w:val="en-US" w:eastAsia="zh-CN"/>
                    </w:rPr>
                  </w:pPr>
                  <w:r>
                    <w:rPr>
                      <w:rFonts w:hint="eastAsia"/>
                      <w:szCs w:val="21"/>
                    </w:rPr>
                    <w:t>20</w:t>
                  </w:r>
                  <w:r>
                    <w:rPr>
                      <w:rFonts w:hint="eastAsia" w:eastAsia="宋体"/>
                      <w:szCs w:val="21"/>
                      <w:lang w:val="en-US" w:eastAsia="zh-CN"/>
                    </w:rPr>
                    <w:t>20</w:t>
                  </w:r>
                  <w:r>
                    <w:rPr>
                      <w:rFonts w:hint="eastAsia"/>
                      <w:szCs w:val="21"/>
                    </w:rPr>
                    <w:t>.</w:t>
                  </w:r>
                  <w:r>
                    <w:rPr>
                      <w:rFonts w:hint="eastAsia"/>
                      <w:szCs w:val="21"/>
                      <w:lang w:val="en-US" w:eastAsia="zh-CN"/>
                    </w:rPr>
                    <w:t>7</w:t>
                  </w:r>
                  <w:r>
                    <w:rPr>
                      <w:rFonts w:hint="eastAsia"/>
                      <w:szCs w:val="21"/>
                    </w:rPr>
                    <w:t>.</w:t>
                  </w:r>
                  <w:r>
                    <w:rPr>
                      <w:rFonts w:hint="eastAsia"/>
                      <w:szCs w:val="21"/>
                      <w:lang w:val="en-US" w:eastAsia="zh-CN"/>
                    </w:rPr>
                    <w:t>26</w:t>
                  </w:r>
                </w:p>
              </w:tc>
              <w:tc>
                <w:tcPr>
                  <w:tcW w:w="1791" w:type="dxa"/>
                  <w:noWrap w:val="0"/>
                  <w:vAlign w:val="center"/>
                </w:tcPr>
                <w:p>
                  <w:pPr>
                    <w:spacing w:line="320" w:lineRule="exact"/>
                    <w:ind w:right="122"/>
                    <w:jc w:val="center"/>
                    <w:rPr>
                      <w:szCs w:val="21"/>
                    </w:rPr>
                  </w:pPr>
                  <w:r>
                    <w:rPr>
                      <w:rFonts w:hint="eastAsia" w:hAnsi="宋体"/>
                    </w:rPr>
                    <w:t>东</w:t>
                  </w:r>
                </w:p>
              </w:tc>
              <w:tc>
                <w:tcPr>
                  <w:tcW w:w="1815" w:type="dxa"/>
                  <w:noWrap w:val="0"/>
                  <w:vAlign w:val="center"/>
                </w:tcPr>
                <w:p>
                  <w:pPr>
                    <w:widowControl/>
                    <w:jc w:val="center"/>
                    <w:textAlignment w:val="center"/>
                    <w:rPr>
                      <w:rFonts w:hint="eastAsia" w:eastAsia="宋体"/>
                      <w:szCs w:val="21"/>
                      <w:highlight w:val="yellow"/>
                      <w:lang w:eastAsia="zh-CN"/>
                    </w:rPr>
                  </w:pPr>
                  <w:r>
                    <w:rPr>
                      <w:rFonts w:hint="eastAsia"/>
                      <w:color w:val="000000"/>
                      <w:kern w:val="0"/>
                      <w:szCs w:val="21"/>
                      <w:lang w:bidi="ar"/>
                    </w:rPr>
                    <w:t>5</w:t>
                  </w:r>
                  <w:r>
                    <w:rPr>
                      <w:rFonts w:hint="eastAsia"/>
                      <w:color w:val="000000"/>
                      <w:kern w:val="0"/>
                      <w:szCs w:val="21"/>
                      <w:lang w:val="en-US" w:eastAsia="zh-CN" w:bidi="ar"/>
                    </w:rPr>
                    <w:t>4</w:t>
                  </w:r>
                  <w:r>
                    <w:rPr>
                      <w:rFonts w:hint="eastAsia"/>
                      <w:color w:val="000000"/>
                      <w:kern w:val="0"/>
                      <w:szCs w:val="21"/>
                      <w:lang w:bidi="ar"/>
                    </w:rPr>
                    <w:t>/4</w:t>
                  </w:r>
                  <w:r>
                    <w:rPr>
                      <w:rFonts w:hint="eastAsia"/>
                      <w:color w:val="000000"/>
                      <w:kern w:val="0"/>
                      <w:szCs w:val="21"/>
                      <w:lang w:val="en-US" w:eastAsia="zh-CN" w:bidi="ar"/>
                    </w:rPr>
                    <w:t>2</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60</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50</w:t>
                  </w:r>
                </w:p>
              </w:tc>
              <w:tc>
                <w:tcPr>
                  <w:tcW w:w="1689" w:type="dxa"/>
                  <w:noWrap w:val="0"/>
                  <w:vAlign w:val="center"/>
                </w:tcPr>
                <w:p>
                  <w:pPr>
                    <w:adjustRightInd w:val="0"/>
                    <w:spacing w:line="360" w:lineRule="exact"/>
                    <w:jc w:val="center"/>
                    <w:textAlignment w:val="baseline"/>
                    <w:rPr>
                      <w:szCs w:val="21"/>
                    </w:rPr>
                  </w:pPr>
                  <w:r>
                    <w:rPr>
                      <w:szCs w:val="21"/>
                    </w:rPr>
                    <w:t>达标</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791" w:type="dxa"/>
                  <w:vMerge w:val="continue"/>
                  <w:noWrap w:val="0"/>
                  <w:vAlign w:val="center"/>
                </w:tcPr>
                <w:p>
                  <w:pPr>
                    <w:widowControl/>
                    <w:jc w:val="center"/>
                    <w:rPr>
                      <w:szCs w:val="21"/>
                    </w:rPr>
                  </w:pPr>
                </w:p>
              </w:tc>
              <w:tc>
                <w:tcPr>
                  <w:tcW w:w="1791" w:type="dxa"/>
                  <w:noWrap w:val="0"/>
                  <w:vAlign w:val="center"/>
                </w:tcPr>
                <w:p>
                  <w:pPr>
                    <w:spacing w:line="320" w:lineRule="exact"/>
                    <w:ind w:right="122"/>
                    <w:jc w:val="center"/>
                    <w:rPr>
                      <w:szCs w:val="21"/>
                    </w:rPr>
                  </w:pPr>
                  <w:r>
                    <w:rPr>
                      <w:rFonts w:hint="eastAsia" w:hAnsi="宋体"/>
                    </w:rPr>
                    <w:t>南</w:t>
                  </w:r>
                </w:p>
              </w:tc>
              <w:tc>
                <w:tcPr>
                  <w:tcW w:w="1815" w:type="dxa"/>
                  <w:noWrap w:val="0"/>
                  <w:vAlign w:val="center"/>
                </w:tcPr>
                <w:p>
                  <w:pPr>
                    <w:widowControl/>
                    <w:jc w:val="center"/>
                    <w:textAlignment w:val="center"/>
                    <w:rPr>
                      <w:szCs w:val="21"/>
                      <w:highlight w:val="yellow"/>
                    </w:rPr>
                  </w:pPr>
                  <w:r>
                    <w:rPr>
                      <w:rFonts w:hint="eastAsia"/>
                      <w:color w:val="000000"/>
                      <w:kern w:val="0"/>
                      <w:szCs w:val="21"/>
                      <w:lang w:bidi="ar"/>
                    </w:rPr>
                    <w:t>5</w:t>
                  </w:r>
                  <w:r>
                    <w:rPr>
                      <w:rFonts w:hint="eastAsia"/>
                      <w:color w:val="000000"/>
                      <w:kern w:val="0"/>
                      <w:szCs w:val="21"/>
                      <w:lang w:val="en-US" w:eastAsia="zh-CN" w:bidi="ar"/>
                    </w:rPr>
                    <w:t>4</w:t>
                  </w:r>
                  <w:r>
                    <w:rPr>
                      <w:rFonts w:hint="eastAsia"/>
                      <w:color w:val="000000"/>
                      <w:kern w:val="0"/>
                      <w:szCs w:val="21"/>
                      <w:lang w:bidi="ar"/>
                    </w:rPr>
                    <w:t>/4</w:t>
                  </w:r>
                  <w:r>
                    <w:rPr>
                      <w:rFonts w:hint="eastAsia"/>
                      <w:color w:val="000000"/>
                      <w:kern w:val="0"/>
                      <w:szCs w:val="21"/>
                      <w:lang w:val="en-US" w:eastAsia="zh-CN" w:bidi="ar"/>
                    </w:rPr>
                    <w:t>3</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60</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50</w:t>
                  </w:r>
                </w:p>
              </w:tc>
              <w:tc>
                <w:tcPr>
                  <w:tcW w:w="1689" w:type="dxa"/>
                  <w:noWrap w:val="0"/>
                  <w:vAlign w:val="center"/>
                </w:tcPr>
                <w:p>
                  <w:pPr>
                    <w:adjustRightInd w:val="0"/>
                    <w:spacing w:line="360" w:lineRule="exact"/>
                    <w:jc w:val="center"/>
                    <w:textAlignment w:val="baseline"/>
                    <w:rPr>
                      <w:szCs w:val="21"/>
                    </w:rPr>
                  </w:pPr>
                  <w:r>
                    <w:rPr>
                      <w:szCs w:val="21"/>
                    </w:rPr>
                    <w:t>达标</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791" w:type="dxa"/>
                  <w:vMerge w:val="continue"/>
                  <w:noWrap w:val="0"/>
                  <w:vAlign w:val="center"/>
                </w:tcPr>
                <w:p>
                  <w:pPr>
                    <w:widowControl/>
                    <w:jc w:val="center"/>
                    <w:rPr>
                      <w:szCs w:val="21"/>
                    </w:rPr>
                  </w:pPr>
                </w:p>
              </w:tc>
              <w:tc>
                <w:tcPr>
                  <w:tcW w:w="1791" w:type="dxa"/>
                  <w:noWrap w:val="0"/>
                  <w:vAlign w:val="center"/>
                </w:tcPr>
                <w:p>
                  <w:pPr>
                    <w:spacing w:line="320" w:lineRule="exact"/>
                    <w:ind w:right="122"/>
                    <w:jc w:val="center"/>
                    <w:rPr>
                      <w:szCs w:val="21"/>
                    </w:rPr>
                  </w:pPr>
                  <w:r>
                    <w:rPr>
                      <w:rFonts w:hint="eastAsia" w:hAnsi="宋体"/>
                    </w:rPr>
                    <w:t>西</w:t>
                  </w:r>
                </w:p>
              </w:tc>
              <w:tc>
                <w:tcPr>
                  <w:tcW w:w="1815" w:type="dxa"/>
                  <w:noWrap w:val="0"/>
                  <w:vAlign w:val="center"/>
                </w:tcPr>
                <w:p>
                  <w:pPr>
                    <w:widowControl/>
                    <w:jc w:val="center"/>
                    <w:textAlignment w:val="center"/>
                    <w:rPr>
                      <w:rFonts w:hint="eastAsia"/>
                      <w:szCs w:val="21"/>
                      <w:highlight w:val="yellow"/>
                    </w:rPr>
                  </w:pPr>
                  <w:r>
                    <w:rPr>
                      <w:rFonts w:hint="eastAsia"/>
                      <w:color w:val="000000"/>
                      <w:kern w:val="0"/>
                      <w:szCs w:val="21"/>
                      <w:lang w:bidi="ar"/>
                    </w:rPr>
                    <w:t>5</w:t>
                  </w:r>
                  <w:r>
                    <w:rPr>
                      <w:rFonts w:hint="eastAsia"/>
                      <w:color w:val="000000"/>
                      <w:kern w:val="0"/>
                      <w:szCs w:val="21"/>
                      <w:lang w:val="en-US" w:eastAsia="zh-CN" w:bidi="ar"/>
                    </w:rPr>
                    <w:t>4</w:t>
                  </w:r>
                  <w:r>
                    <w:rPr>
                      <w:rFonts w:hint="eastAsia"/>
                      <w:color w:val="000000"/>
                      <w:kern w:val="0"/>
                      <w:szCs w:val="21"/>
                      <w:lang w:bidi="ar"/>
                    </w:rPr>
                    <w:t>/4</w:t>
                  </w:r>
                  <w:r>
                    <w:rPr>
                      <w:rFonts w:hint="eastAsia"/>
                      <w:color w:val="000000"/>
                      <w:kern w:val="0"/>
                      <w:szCs w:val="21"/>
                      <w:lang w:val="en-US" w:eastAsia="zh-CN" w:bidi="ar"/>
                    </w:rPr>
                    <w:t>1</w:t>
                  </w:r>
                </w:p>
              </w:tc>
              <w:tc>
                <w:tcPr>
                  <w:tcW w:w="965" w:type="dxa"/>
                  <w:noWrap w:val="0"/>
                  <w:vAlign w:val="center"/>
                </w:tcPr>
                <w:p>
                  <w:pPr>
                    <w:adjustRightInd w:val="0"/>
                    <w:spacing w:line="360" w:lineRule="exact"/>
                    <w:jc w:val="center"/>
                    <w:textAlignment w:val="baseline"/>
                    <w:rPr>
                      <w:rFonts w:hint="eastAsia"/>
                      <w:szCs w:val="21"/>
                    </w:rPr>
                  </w:pPr>
                  <w:r>
                    <w:rPr>
                      <w:rFonts w:hint="eastAsia"/>
                      <w:szCs w:val="21"/>
                    </w:rPr>
                    <w:t>60</w:t>
                  </w:r>
                </w:p>
              </w:tc>
              <w:tc>
                <w:tcPr>
                  <w:tcW w:w="965" w:type="dxa"/>
                  <w:noWrap w:val="0"/>
                  <w:vAlign w:val="center"/>
                </w:tcPr>
                <w:p>
                  <w:pPr>
                    <w:adjustRightInd w:val="0"/>
                    <w:spacing w:line="360" w:lineRule="exact"/>
                    <w:jc w:val="center"/>
                    <w:textAlignment w:val="baseline"/>
                    <w:rPr>
                      <w:szCs w:val="21"/>
                    </w:rPr>
                  </w:pPr>
                  <w:r>
                    <w:rPr>
                      <w:rFonts w:hint="eastAsia"/>
                      <w:szCs w:val="21"/>
                    </w:rPr>
                    <w:t>50</w:t>
                  </w:r>
                </w:p>
              </w:tc>
              <w:tc>
                <w:tcPr>
                  <w:tcW w:w="1689" w:type="dxa"/>
                  <w:noWrap w:val="0"/>
                  <w:vAlign w:val="center"/>
                </w:tcPr>
                <w:p>
                  <w:pPr>
                    <w:adjustRightInd w:val="0"/>
                    <w:spacing w:line="360" w:lineRule="exact"/>
                    <w:jc w:val="center"/>
                    <w:textAlignment w:val="baseline"/>
                    <w:rPr>
                      <w:szCs w:val="21"/>
                    </w:rPr>
                  </w:pPr>
                  <w:r>
                    <w:rPr>
                      <w:szCs w:val="21"/>
                    </w:rPr>
                    <w:t>达标</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791" w:type="dxa"/>
                  <w:vMerge w:val="continue"/>
                  <w:noWrap w:val="0"/>
                  <w:vAlign w:val="center"/>
                </w:tcPr>
                <w:p>
                  <w:pPr>
                    <w:widowControl/>
                    <w:jc w:val="center"/>
                    <w:rPr>
                      <w:szCs w:val="21"/>
                    </w:rPr>
                  </w:pPr>
                </w:p>
              </w:tc>
              <w:tc>
                <w:tcPr>
                  <w:tcW w:w="1791" w:type="dxa"/>
                  <w:noWrap w:val="0"/>
                  <w:vAlign w:val="center"/>
                </w:tcPr>
                <w:p>
                  <w:pPr>
                    <w:spacing w:line="320" w:lineRule="exact"/>
                    <w:ind w:right="122"/>
                    <w:jc w:val="center"/>
                    <w:rPr>
                      <w:szCs w:val="21"/>
                    </w:rPr>
                  </w:pPr>
                  <w:r>
                    <w:rPr>
                      <w:rFonts w:hint="eastAsia" w:hAnsi="宋体"/>
                    </w:rPr>
                    <w:t>北</w:t>
                  </w:r>
                </w:p>
              </w:tc>
              <w:tc>
                <w:tcPr>
                  <w:tcW w:w="1815" w:type="dxa"/>
                  <w:noWrap w:val="0"/>
                  <w:vAlign w:val="center"/>
                </w:tcPr>
                <w:p>
                  <w:pPr>
                    <w:widowControl/>
                    <w:jc w:val="center"/>
                    <w:textAlignment w:val="center"/>
                    <w:rPr>
                      <w:rFonts w:hint="eastAsia"/>
                      <w:szCs w:val="21"/>
                      <w:highlight w:val="yellow"/>
                    </w:rPr>
                  </w:pPr>
                  <w:r>
                    <w:rPr>
                      <w:rFonts w:hint="eastAsia"/>
                      <w:color w:val="000000"/>
                      <w:kern w:val="0"/>
                      <w:szCs w:val="21"/>
                      <w:lang w:bidi="ar"/>
                    </w:rPr>
                    <w:t>5</w:t>
                  </w:r>
                  <w:r>
                    <w:rPr>
                      <w:rFonts w:hint="eastAsia"/>
                      <w:color w:val="000000"/>
                      <w:kern w:val="0"/>
                      <w:szCs w:val="21"/>
                      <w:lang w:val="en-US" w:eastAsia="zh-CN" w:bidi="ar"/>
                    </w:rPr>
                    <w:t>3</w:t>
                  </w:r>
                  <w:r>
                    <w:rPr>
                      <w:rFonts w:hint="eastAsia"/>
                      <w:color w:val="000000"/>
                      <w:kern w:val="0"/>
                      <w:szCs w:val="21"/>
                      <w:lang w:bidi="ar"/>
                    </w:rPr>
                    <w:t>/4</w:t>
                  </w:r>
                  <w:r>
                    <w:rPr>
                      <w:rFonts w:hint="eastAsia"/>
                      <w:color w:val="000000"/>
                      <w:kern w:val="0"/>
                      <w:szCs w:val="21"/>
                      <w:lang w:val="en-US" w:eastAsia="zh-CN" w:bidi="ar"/>
                    </w:rPr>
                    <w:t>1</w:t>
                  </w:r>
                </w:p>
              </w:tc>
              <w:tc>
                <w:tcPr>
                  <w:tcW w:w="965" w:type="dxa"/>
                  <w:noWrap w:val="0"/>
                  <w:vAlign w:val="center"/>
                </w:tcPr>
                <w:p>
                  <w:pPr>
                    <w:adjustRightInd w:val="0"/>
                    <w:spacing w:line="360" w:lineRule="exact"/>
                    <w:jc w:val="center"/>
                    <w:textAlignment w:val="baseline"/>
                    <w:rPr>
                      <w:szCs w:val="21"/>
                    </w:rPr>
                  </w:pPr>
                  <w:r>
                    <w:rPr>
                      <w:rFonts w:hint="eastAsia"/>
                      <w:szCs w:val="21"/>
                    </w:rPr>
                    <w:t>60</w:t>
                  </w:r>
                </w:p>
              </w:tc>
              <w:tc>
                <w:tcPr>
                  <w:tcW w:w="965" w:type="dxa"/>
                  <w:noWrap w:val="0"/>
                  <w:vAlign w:val="center"/>
                </w:tcPr>
                <w:p>
                  <w:pPr>
                    <w:adjustRightInd w:val="0"/>
                    <w:spacing w:line="360" w:lineRule="exact"/>
                    <w:jc w:val="center"/>
                    <w:textAlignment w:val="baseline"/>
                    <w:rPr>
                      <w:szCs w:val="21"/>
                    </w:rPr>
                  </w:pPr>
                  <w:r>
                    <w:rPr>
                      <w:rFonts w:hint="eastAsia"/>
                      <w:szCs w:val="21"/>
                    </w:rPr>
                    <w:t>50</w:t>
                  </w:r>
                </w:p>
              </w:tc>
              <w:tc>
                <w:tcPr>
                  <w:tcW w:w="1689" w:type="dxa"/>
                  <w:noWrap w:val="0"/>
                  <w:vAlign w:val="center"/>
                </w:tcPr>
                <w:p>
                  <w:pPr>
                    <w:adjustRightInd w:val="0"/>
                    <w:spacing w:line="360" w:lineRule="exact"/>
                    <w:jc w:val="center"/>
                    <w:textAlignment w:val="baseline"/>
                    <w:rPr>
                      <w:szCs w:val="21"/>
                    </w:rPr>
                  </w:pPr>
                  <w:r>
                    <w:rPr>
                      <w:szCs w:val="21"/>
                    </w:rPr>
                    <w:t>达标</w:t>
                  </w:r>
                </w:p>
              </w:tc>
            </w:tr>
          </w:tbl>
          <w:p>
            <w:pPr>
              <w:adjustRightInd w:val="0"/>
              <w:snapToGrid w:val="0"/>
              <w:spacing w:before="156" w:beforeLines="50" w:line="360" w:lineRule="auto"/>
              <w:ind w:firstLine="480" w:firstLineChars="200"/>
              <w:rPr>
                <w:rFonts w:hint="eastAsia"/>
                <w:sz w:val="24"/>
              </w:rPr>
            </w:pPr>
            <w:r>
              <w:rPr>
                <w:sz w:val="24"/>
              </w:rPr>
              <w:t>由以上监测数据可知，</w:t>
            </w:r>
            <w:r>
              <w:rPr>
                <w:rFonts w:hint="eastAsia"/>
                <w:sz w:val="24"/>
              </w:rPr>
              <w:t>项目各厂界</w:t>
            </w:r>
            <w:r>
              <w:rPr>
                <w:sz w:val="24"/>
              </w:rPr>
              <w:t>噪声均可达到</w:t>
            </w:r>
            <w:r>
              <w:rPr>
                <w:rFonts w:hint="eastAsia"/>
                <w:sz w:val="24"/>
              </w:rPr>
              <w:t>《声环境质量标准》（GB3096-2008）2类</w:t>
            </w:r>
            <w:r>
              <w:rPr>
                <w:sz w:val="24"/>
              </w:rPr>
              <w:t>标准的要求</w:t>
            </w:r>
            <w:r>
              <w:rPr>
                <w:rFonts w:hint="eastAsia"/>
                <w:sz w:val="24"/>
              </w:rPr>
              <w:t>。项目区域声环相关境质量良好。</w:t>
            </w:r>
          </w:p>
          <w:p>
            <w:pPr>
              <w:adjustRightInd w:val="0"/>
              <w:snapToGrid w:val="0"/>
              <w:spacing w:before="156" w:beforeLines="50" w:line="360" w:lineRule="auto"/>
              <w:ind w:firstLine="480" w:firstLineChars="200"/>
              <w:rPr>
                <w:sz w:val="24"/>
              </w:rPr>
            </w:pPr>
            <w:r>
              <w:rPr>
                <w:rFonts w:hint="eastAsia"/>
                <w:sz w:val="24"/>
                <w:lang w:val="en-US" w:eastAsia="zh-CN"/>
              </w:rPr>
              <w:t>5</w:t>
            </w:r>
            <w:r>
              <w:rPr>
                <w:sz w:val="24"/>
              </w:rPr>
              <w:t>、生态环境现状</w:t>
            </w:r>
          </w:p>
          <w:p>
            <w:pPr>
              <w:adjustRightInd w:val="0"/>
              <w:snapToGrid w:val="0"/>
              <w:spacing w:before="156" w:beforeLines="50" w:line="360" w:lineRule="auto"/>
              <w:ind w:firstLine="480" w:firstLineChars="200"/>
              <w:rPr>
                <w:sz w:val="24"/>
              </w:rPr>
            </w:pPr>
            <w:r>
              <w:rPr>
                <w:sz w:val="24"/>
              </w:rPr>
              <w:t>本项目位于</w:t>
            </w:r>
            <w:r>
              <w:rPr>
                <w:rFonts w:hint="eastAsia"/>
                <w:sz w:val="24"/>
              </w:rPr>
              <w:t>信阳市淮滨县</w:t>
            </w:r>
            <w:r>
              <w:rPr>
                <w:sz w:val="24"/>
              </w:rPr>
              <w:t>，区域生态系统现以人工生态系统为主，项目周围主要为</w:t>
            </w:r>
            <w:r>
              <w:rPr>
                <w:rFonts w:hint="eastAsia"/>
                <w:sz w:val="24"/>
              </w:rPr>
              <w:t>道路、农田等</w:t>
            </w:r>
            <w:r>
              <w:rPr>
                <w:sz w:val="24"/>
              </w:rPr>
              <w:t>，生态环境较好，区域内无珍惜动植物存在，无规划的自然生态保护区，无重点保护的野生动植物。</w:t>
            </w:r>
          </w:p>
          <w:p>
            <w:pPr>
              <w:spacing w:before="156" w:beforeLines="50" w:line="440" w:lineRule="exact"/>
              <w:rPr>
                <w:b/>
                <w:bCs/>
                <w:sz w:val="24"/>
              </w:rPr>
            </w:pPr>
            <w:r>
              <w:rPr>
                <w:b/>
                <w:bCs/>
                <w:sz w:val="24"/>
              </w:rPr>
              <w:t>主要环境保护目标（列出名单及保护级别）：</w:t>
            </w:r>
          </w:p>
          <w:p>
            <w:pPr>
              <w:spacing w:before="156" w:beforeLines="50" w:line="440" w:lineRule="exact"/>
              <w:ind w:firstLine="480" w:firstLineChars="200"/>
              <w:jc w:val="both"/>
              <w:rPr>
                <w:rFonts w:hint="eastAsia"/>
                <w:sz w:val="24"/>
              </w:rPr>
            </w:pPr>
            <w:r>
              <w:rPr>
                <w:rFonts w:hint="eastAsia"/>
                <w:sz w:val="24"/>
              </w:rPr>
              <w:t>根据项目周围环境情况，确定本次环评的环境保护目标。具体保护目标分布见下表。</w:t>
            </w:r>
          </w:p>
          <w:p>
            <w:pPr>
              <w:spacing w:before="156" w:beforeLines="50" w:line="440" w:lineRule="exact"/>
              <w:ind w:firstLine="482" w:firstLineChars="200"/>
              <w:jc w:val="center"/>
              <w:rPr>
                <w:rFonts w:hint="eastAsia"/>
                <w:b/>
                <w:bCs/>
                <w:sz w:val="24"/>
                <w:highlight w:val="none"/>
              </w:rPr>
            </w:pPr>
            <w:r>
              <w:rPr>
                <w:rFonts w:hint="eastAsia"/>
                <w:b/>
                <w:bCs/>
                <w:sz w:val="24"/>
                <w:highlight w:val="none"/>
              </w:rPr>
              <w:t>表</w:t>
            </w:r>
            <w:r>
              <w:rPr>
                <w:rFonts w:hint="eastAsia"/>
                <w:b/>
                <w:bCs/>
                <w:sz w:val="24"/>
                <w:highlight w:val="none"/>
                <w:lang w:val="en-US" w:eastAsia="zh-CN"/>
              </w:rPr>
              <w:t>8</w:t>
            </w:r>
            <w:r>
              <w:rPr>
                <w:b/>
                <w:bCs/>
                <w:sz w:val="24"/>
                <w:highlight w:val="none"/>
              </w:rPr>
              <w:t xml:space="preserve">   环境保护目标及保护级别一览表</w:t>
            </w:r>
          </w:p>
          <w:tbl>
            <w:tblPr>
              <w:tblStyle w:val="15"/>
              <w:tblW w:w="906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909"/>
              <w:gridCol w:w="876"/>
              <w:gridCol w:w="1448"/>
              <w:gridCol w:w="34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noWrap w:val="0"/>
                  <w:vAlign w:val="center"/>
                </w:tcPr>
                <w:p>
                  <w:pPr>
                    <w:jc w:val="center"/>
                    <w:rPr>
                      <w:rFonts w:hint="eastAsia"/>
                      <w:highlight w:val="none"/>
                    </w:rPr>
                  </w:pPr>
                  <w:r>
                    <w:rPr>
                      <w:rFonts w:hint="eastAsia"/>
                      <w:highlight w:val="none"/>
                    </w:rPr>
                    <w:t>环境要素</w:t>
                  </w:r>
                </w:p>
              </w:tc>
              <w:tc>
                <w:tcPr>
                  <w:tcW w:w="1909" w:type="dxa"/>
                  <w:noWrap w:val="0"/>
                  <w:vAlign w:val="center"/>
                </w:tcPr>
                <w:p>
                  <w:pPr>
                    <w:jc w:val="center"/>
                    <w:rPr>
                      <w:highlight w:val="none"/>
                    </w:rPr>
                  </w:pPr>
                  <w:r>
                    <w:rPr>
                      <w:rFonts w:hint="eastAsia"/>
                      <w:highlight w:val="none"/>
                    </w:rPr>
                    <w:t>保护</w:t>
                  </w:r>
                  <w:r>
                    <w:rPr>
                      <w:highlight w:val="none"/>
                    </w:rPr>
                    <w:t>目标</w:t>
                  </w:r>
                </w:p>
              </w:tc>
              <w:tc>
                <w:tcPr>
                  <w:tcW w:w="876" w:type="dxa"/>
                  <w:noWrap w:val="0"/>
                  <w:vAlign w:val="center"/>
                </w:tcPr>
                <w:p>
                  <w:pPr>
                    <w:jc w:val="center"/>
                    <w:rPr>
                      <w:rFonts w:hint="eastAsia"/>
                      <w:highlight w:val="none"/>
                    </w:rPr>
                  </w:pPr>
                  <w:r>
                    <w:rPr>
                      <w:rFonts w:hint="eastAsia"/>
                      <w:highlight w:val="none"/>
                    </w:rPr>
                    <w:t>方位</w:t>
                  </w:r>
                </w:p>
              </w:tc>
              <w:tc>
                <w:tcPr>
                  <w:tcW w:w="1448" w:type="dxa"/>
                  <w:noWrap w:val="0"/>
                  <w:vAlign w:val="center"/>
                </w:tcPr>
                <w:p>
                  <w:pPr>
                    <w:jc w:val="center"/>
                    <w:rPr>
                      <w:rFonts w:hint="eastAsia"/>
                      <w:highlight w:val="none"/>
                    </w:rPr>
                  </w:pPr>
                  <w:r>
                    <w:rPr>
                      <w:rFonts w:hint="eastAsia"/>
                      <w:highlight w:val="none"/>
                    </w:rPr>
                    <w:t>距离（m）</w:t>
                  </w:r>
                </w:p>
              </w:tc>
              <w:tc>
                <w:tcPr>
                  <w:tcW w:w="3446" w:type="dxa"/>
                  <w:noWrap w:val="0"/>
                  <w:vAlign w:val="center"/>
                </w:tcPr>
                <w:p>
                  <w:pPr>
                    <w:jc w:val="center"/>
                    <w:rPr>
                      <w:rFonts w:hint="eastAsia"/>
                      <w:highlight w:val="none"/>
                    </w:rPr>
                  </w:pPr>
                  <w:r>
                    <w:rPr>
                      <w:rFonts w:hint="eastAsia"/>
                      <w:highlight w:val="none"/>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noWrap w:val="0"/>
                  <w:vAlign w:val="center"/>
                </w:tcPr>
                <w:p>
                  <w:pPr>
                    <w:jc w:val="center"/>
                    <w:rPr>
                      <w:rFonts w:hint="eastAsia"/>
                      <w:highlight w:val="none"/>
                    </w:rPr>
                  </w:pPr>
                  <w:r>
                    <w:rPr>
                      <w:rFonts w:hint="eastAsia"/>
                      <w:highlight w:val="none"/>
                    </w:rPr>
                    <w:t>环境空气</w:t>
                  </w:r>
                </w:p>
              </w:tc>
              <w:tc>
                <w:tcPr>
                  <w:tcW w:w="1909" w:type="dxa"/>
                  <w:noWrap w:val="0"/>
                  <w:vAlign w:val="center"/>
                </w:tcPr>
                <w:p>
                  <w:pPr>
                    <w:jc w:val="center"/>
                    <w:rPr>
                      <w:rFonts w:hint="default" w:eastAsia="宋体"/>
                      <w:highlight w:val="none"/>
                      <w:lang w:val="en-US" w:eastAsia="zh-CN"/>
                    </w:rPr>
                  </w:pPr>
                  <w:r>
                    <w:rPr>
                      <w:rFonts w:hint="eastAsia" w:eastAsia="宋体"/>
                      <w:highlight w:val="none"/>
                      <w:lang w:eastAsia="zh-CN"/>
                    </w:rPr>
                    <w:t>淮滨县城区燃气管道</w:t>
                  </w:r>
                  <w:r>
                    <w:rPr>
                      <w:rFonts w:hint="eastAsia" w:eastAsia="宋体"/>
                      <w:highlight w:val="none"/>
                      <w:lang w:val="en-US" w:eastAsia="zh-CN"/>
                    </w:rPr>
                    <w:t>沿线居民</w:t>
                  </w:r>
                </w:p>
              </w:tc>
              <w:tc>
                <w:tcPr>
                  <w:tcW w:w="876" w:type="dxa"/>
                  <w:noWrap w:val="0"/>
                  <w:vAlign w:val="center"/>
                </w:tcPr>
                <w:p>
                  <w:pPr>
                    <w:jc w:val="center"/>
                    <w:rPr>
                      <w:rFonts w:hint="eastAsia" w:eastAsia="宋体"/>
                      <w:highlight w:val="none"/>
                      <w:lang w:eastAsia="zh-CN"/>
                    </w:rPr>
                  </w:pPr>
                  <w:r>
                    <w:rPr>
                      <w:rFonts w:hint="eastAsia"/>
                      <w:highlight w:val="none"/>
                      <w:lang w:val="en-US" w:eastAsia="zh-CN"/>
                    </w:rPr>
                    <w:t>/</w:t>
                  </w:r>
                </w:p>
              </w:tc>
              <w:tc>
                <w:tcPr>
                  <w:tcW w:w="1448" w:type="dxa"/>
                  <w:noWrap w:val="0"/>
                  <w:vAlign w:val="center"/>
                </w:tcPr>
                <w:p>
                  <w:pPr>
                    <w:jc w:val="center"/>
                    <w:rPr>
                      <w:highlight w:val="none"/>
                    </w:rPr>
                  </w:pPr>
                  <w:r>
                    <w:rPr>
                      <w:rFonts w:hint="eastAsia"/>
                      <w:highlight w:val="none"/>
                      <w:lang w:val="en-US" w:eastAsia="zh-CN"/>
                    </w:rPr>
                    <w:t>20</w:t>
                  </w:r>
                  <w:r>
                    <w:rPr>
                      <w:rFonts w:hint="eastAsia"/>
                      <w:highlight w:val="none"/>
                    </w:rPr>
                    <w:t>0</w:t>
                  </w:r>
                </w:p>
              </w:tc>
              <w:tc>
                <w:tcPr>
                  <w:tcW w:w="3446" w:type="dxa"/>
                  <w:noWrap w:val="0"/>
                  <w:vAlign w:val="center"/>
                </w:tcPr>
                <w:p>
                  <w:pPr>
                    <w:jc w:val="both"/>
                    <w:rPr>
                      <w:rFonts w:hint="eastAsia"/>
                      <w:highlight w:val="none"/>
                    </w:rPr>
                  </w:pPr>
                  <w:r>
                    <w:rPr>
                      <w:rFonts w:hint="eastAsia"/>
                      <w:highlight w:val="none"/>
                    </w:rPr>
                    <w:t>《环境空气质量标准》(GB3095</w:t>
                  </w:r>
                  <w:r>
                    <w:rPr>
                      <w:rFonts w:hint="eastAsia"/>
                      <w:highlight w:val="none"/>
                    </w:rPr>
                    <w:sym w:font="Symbol" w:char="F02D"/>
                  </w:r>
                  <w:r>
                    <w:rPr>
                      <w:rFonts w:hint="eastAsia"/>
                      <w:highlight w:val="none"/>
                    </w:rPr>
                    <w:t>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1" w:type="dxa"/>
                  <w:noWrap w:val="0"/>
                  <w:vAlign w:val="center"/>
                </w:tcPr>
                <w:p>
                  <w:pPr>
                    <w:jc w:val="center"/>
                    <w:rPr>
                      <w:rFonts w:hint="eastAsia"/>
                      <w:highlight w:val="none"/>
                    </w:rPr>
                  </w:pPr>
                  <w:r>
                    <w:rPr>
                      <w:rFonts w:hint="eastAsia"/>
                      <w:highlight w:val="none"/>
                    </w:rPr>
                    <w:t>地表水</w:t>
                  </w:r>
                </w:p>
              </w:tc>
              <w:tc>
                <w:tcPr>
                  <w:tcW w:w="1909" w:type="dxa"/>
                  <w:noWrap w:val="0"/>
                  <w:vAlign w:val="center"/>
                </w:tcPr>
                <w:p>
                  <w:pPr>
                    <w:jc w:val="center"/>
                    <w:rPr>
                      <w:rFonts w:hint="eastAsia"/>
                      <w:highlight w:val="none"/>
                    </w:rPr>
                  </w:pPr>
                  <w:r>
                    <w:rPr>
                      <w:rFonts w:hint="eastAsia"/>
                      <w:highlight w:val="none"/>
                    </w:rPr>
                    <w:t>淮河</w:t>
                  </w:r>
                </w:p>
              </w:tc>
              <w:tc>
                <w:tcPr>
                  <w:tcW w:w="876" w:type="dxa"/>
                  <w:noWrap w:val="0"/>
                  <w:vAlign w:val="center"/>
                </w:tcPr>
                <w:p>
                  <w:pPr>
                    <w:jc w:val="center"/>
                    <w:rPr>
                      <w:rFonts w:hint="eastAsia" w:eastAsia="宋体"/>
                      <w:highlight w:val="none"/>
                      <w:lang w:eastAsia="zh-CN"/>
                    </w:rPr>
                  </w:pPr>
                  <w:r>
                    <w:rPr>
                      <w:rFonts w:hint="eastAsia"/>
                      <w:highlight w:val="none"/>
                      <w:lang w:val="en-US" w:eastAsia="zh-CN"/>
                    </w:rPr>
                    <w:t>/</w:t>
                  </w:r>
                </w:p>
              </w:tc>
              <w:tc>
                <w:tcPr>
                  <w:tcW w:w="1448" w:type="dxa"/>
                  <w:noWrap w:val="0"/>
                  <w:vAlign w:val="center"/>
                </w:tcPr>
                <w:p>
                  <w:pPr>
                    <w:jc w:val="center"/>
                    <w:rPr>
                      <w:rFonts w:hint="default" w:eastAsia="宋体"/>
                      <w:highlight w:val="none"/>
                      <w:lang w:val="en-US" w:eastAsia="zh-CN"/>
                    </w:rPr>
                  </w:pPr>
                  <w:r>
                    <w:rPr>
                      <w:rFonts w:hint="eastAsia"/>
                      <w:highlight w:val="none"/>
                      <w:lang w:val="en-US" w:eastAsia="zh-CN"/>
                    </w:rPr>
                    <w:t>/</w:t>
                  </w:r>
                </w:p>
              </w:tc>
              <w:tc>
                <w:tcPr>
                  <w:tcW w:w="3446" w:type="dxa"/>
                  <w:noWrap w:val="0"/>
                  <w:vAlign w:val="center"/>
                </w:tcPr>
                <w:p>
                  <w:pPr>
                    <w:jc w:val="center"/>
                    <w:rPr>
                      <w:rFonts w:hint="eastAsia"/>
                      <w:highlight w:val="none"/>
                    </w:rPr>
                  </w:pPr>
                  <w:r>
                    <w:rPr>
                      <w:rFonts w:hint="eastAsia"/>
                      <w:highlight w:val="none"/>
                    </w:rPr>
                    <w:t>《地表水环境质量标准》</w:t>
                  </w:r>
                </w:p>
                <w:p>
                  <w:pPr>
                    <w:jc w:val="center"/>
                    <w:rPr>
                      <w:rFonts w:hint="eastAsia"/>
                      <w:highlight w:val="none"/>
                    </w:rPr>
                  </w:pPr>
                  <w:r>
                    <w:rPr>
                      <w:rFonts w:hint="eastAsia"/>
                      <w:highlight w:val="none"/>
                    </w:rPr>
                    <w:t>（GB3838</w:t>
                  </w:r>
                  <w:r>
                    <w:rPr>
                      <w:rFonts w:hint="eastAsia"/>
                      <w:highlight w:val="none"/>
                    </w:rPr>
                    <w:sym w:font="Symbol" w:char="F02D"/>
                  </w:r>
                  <w:r>
                    <w:rPr>
                      <w:rFonts w:hint="eastAsia"/>
                      <w:highlight w:val="none"/>
                    </w:rPr>
                    <w:t>2002）Ⅲ类</w:t>
                  </w:r>
                </w:p>
              </w:tc>
            </w:tr>
          </w:tbl>
          <w:p>
            <w:pPr>
              <w:bidi w:val="0"/>
              <w:rPr>
                <w:rFonts w:hint="eastAsia"/>
              </w:rPr>
            </w:pPr>
          </w:p>
        </w:tc>
      </w:tr>
    </w:tbl>
    <w:p>
      <w:pPr>
        <w:spacing w:before="156" w:beforeLines="50" w:line="480" w:lineRule="exact"/>
        <w:rPr>
          <w:rFonts w:eastAsia="黑体"/>
          <w:bCs/>
          <w:sz w:val="32"/>
        </w:rPr>
      </w:pPr>
      <w:r>
        <w:rPr>
          <w:rFonts w:eastAsia="黑体"/>
          <w:bCs/>
          <w:sz w:val="32"/>
        </w:rPr>
        <w:br w:type="page"/>
      </w:r>
      <w:r>
        <w:rPr>
          <w:rFonts w:eastAsia="黑体"/>
          <w:bCs/>
          <w:sz w:val="32"/>
        </w:rPr>
        <w:t>评价适用标准</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457" w:type="dxa"/>
            <w:noWrap w:val="0"/>
            <w:vAlign w:val="center"/>
          </w:tcPr>
          <w:p>
            <w:pPr>
              <w:spacing w:before="156" w:beforeLines="50" w:line="400" w:lineRule="exact"/>
              <w:jc w:val="center"/>
              <w:rPr>
                <w:sz w:val="24"/>
              </w:rPr>
            </w:pPr>
            <w:r>
              <w:rPr>
                <w:sz w:val="24"/>
              </w:rPr>
              <w:t>环</w:t>
            </w:r>
          </w:p>
          <w:p>
            <w:pPr>
              <w:spacing w:before="156" w:beforeLines="50" w:line="400" w:lineRule="exact"/>
              <w:jc w:val="center"/>
              <w:rPr>
                <w:sz w:val="24"/>
              </w:rPr>
            </w:pPr>
            <w:r>
              <w:rPr>
                <w:sz w:val="24"/>
              </w:rPr>
              <w:t>境</w:t>
            </w:r>
          </w:p>
          <w:p>
            <w:pPr>
              <w:spacing w:before="156" w:beforeLines="50" w:line="400" w:lineRule="exact"/>
              <w:jc w:val="center"/>
              <w:rPr>
                <w:sz w:val="24"/>
              </w:rPr>
            </w:pPr>
            <w:r>
              <w:rPr>
                <w:sz w:val="24"/>
              </w:rPr>
              <w:t>质</w:t>
            </w:r>
          </w:p>
          <w:p>
            <w:pPr>
              <w:spacing w:before="156" w:beforeLines="50" w:line="400" w:lineRule="exact"/>
              <w:jc w:val="center"/>
              <w:rPr>
                <w:sz w:val="24"/>
              </w:rPr>
            </w:pPr>
            <w:r>
              <w:rPr>
                <w:sz w:val="24"/>
              </w:rPr>
              <w:t>量</w:t>
            </w:r>
          </w:p>
          <w:p>
            <w:pPr>
              <w:spacing w:before="156" w:beforeLines="50" w:line="400" w:lineRule="exact"/>
              <w:jc w:val="center"/>
              <w:rPr>
                <w:sz w:val="24"/>
              </w:rPr>
            </w:pPr>
            <w:r>
              <w:rPr>
                <w:sz w:val="24"/>
              </w:rPr>
              <w:t>标</w:t>
            </w:r>
          </w:p>
          <w:p>
            <w:pPr>
              <w:spacing w:before="156" w:beforeLines="50" w:line="400" w:lineRule="exact"/>
              <w:jc w:val="center"/>
              <w:rPr>
                <w:sz w:val="24"/>
              </w:rPr>
            </w:pPr>
            <w:r>
              <w:rPr>
                <w:sz w:val="24"/>
              </w:rPr>
              <w:t>准</w:t>
            </w:r>
          </w:p>
        </w:tc>
        <w:tc>
          <w:tcPr>
            <w:tcW w:w="8829" w:type="dxa"/>
            <w:noWrap w:val="0"/>
            <w:vAlign w:val="center"/>
          </w:tcPr>
          <w:p>
            <w:pPr>
              <w:spacing w:before="156" w:beforeLines="50" w:line="440" w:lineRule="exact"/>
              <w:rPr>
                <w:rFonts w:hint="eastAsia"/>
                <w:sz w:val="24"/>
              </w:rPr>
            </w:pPr>
            <w:r>
              <w:rPr>
                <w:rFonts w:hint="eastAsia"/>
                <w:sz w:val="24"/>
              </w:rPr>
              <w:t>1、</w:t>
            </w:r>
            <w:r>
              <w:rPr>
                <w:sz w:val="24"/>
              </w:rPr>
              <w:t>环境空气</w:t>
            </w:r>
          </w:p>
          <w:p>
            <w:pPr>
              <w:spacing w:before="156" w:beforeLines="50" w:line="440" w:lineRule="exact"/>
              <w:ind w:firstLine="480" w:firstLineChars="200"/>
              <w:rPr>
                <w:rFonts w:hint="eastAsia"/>
                <w:sz w:val="24"/>
              </w:rPr>
            </w:pPr>
            <w:r>
              <w:rPr>
                <w:rFonts w:hint="eastAsia"/>
                <w:sz w:val="24"/>
              </w:rPr>
              <w:t>区域</w:t>
            </w:r>
            <w:r>
              <w:rPr>
                <w:sz w:val="24"/>
              </w:rPr>
              <w:t>大气环境执行《环境空气质量标准》（GB3095-</w:t>
            </w:r>
            <w:r>
              <w:rPr>
                <w:rFonts w:hint="eastAsia"/>
                <w:sz w:val="24"/>
              </w:rPr>
              <w:t>2012</w:t>
            </w:r>
            <w:r>
              <w:rPr>
                <w:sz w:val="24"/>
              </w:rPr>
              <w:t>）二级标准</w:t>
            </w:r>
            <w:r>
              <w:rPr>
                <w:rFonts w:hint="eastAsia"/>
                <w:sz w:val="24"/>
              </w:rPr>
              <w:t>、非甲烷总烃参照《大气污染物综合排放标准详解》，具体</w:t>
            </w:r>
            <w:r>
              <w:rPr>
                <w:sz w:val="24"/>
              </w:rPr>
              <w:t>标准值见</w:t>
            </w:r>
            <w:r>
              <w:rPr>
                <w:rFonts w:hint="eastAsia"/>
                <w:sz w:val="24"/>
              </w:rPr>
              <w:t>下</w:t>
            </w:r>
            <w:r>
              <w:rPr>
                <w:sz w:val="24"/>
              </w:rPr>
              <w:t>表。</w:t>
            </w:r>
          </w:p>
          <w:p>
            <w:pPr>
              <w:spacing w:line="520" w:lineRule="exact"/>
              <w:jc w:val="center"/>
              <w:rPr>
                <w:rFonts w:hint="eastAsia"/>
              </w:rPr>
            </w:pPr>
            <w:r>
              <w:rPr>
                <w:b/>
                <w:bCs/>
                <w:sz w:val="24"/>
              </w:rPr>
              <w:t>表</w:t>
            </w:r>
            <w:r>
              <w:rPr>
                <w:rFonts w:hint="eastAsia"/>
                <w:b/>
                <w:bCs/>
                <w:sz w:val="24"/>
                <w:lang w:val="en-US" w:eastAsia="zh-CN"/>
              </w:rPr>
              <w:t>9</w:t>
            </w:r>
            <w:r>
              <w:rPr>
                <w:b/>
                <w:bCs/>
                <w:sz w:val="24"/>
              </w:rPr>
              <w:t xml:space="preserve">   环境空气质量标准</w:t>
            </w:r>
            <w:r>
              <w:rPr>
                <w:rFonts w:hint="eastAsia"/>
                <w:sz w:val="24"/>
              </w:rPr>
              <w:t xml:space="preserve">   </w:t>
            </w:r>
            <w:r>
              <w:rPr>
                <w:rFonts w:hint="eastAsia"/>
              </w:rPr>
              <w:t xml:space="preserve"> </w:t>
            </w:r>
          </w:p>
          <w:tbl>
            <w:tblPr>
              <w:tblStyle w:val="15"/>
              <w:tblW w:w="874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2463"/>
              <w:gridCol w:w="2130"/>
              <w:gridCol w:w="2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noWrap w:val="0"/>
                  <w:vAlign w:val="top"/>
                </w:tcPr>
                <w:p>
                  <w:pPr>
                    <w:pStyle w:val="18"/>
                    <w:spacing w:before="1" w:line="251" w:lineRule="exact"/>
                    <w:ind w:left="259"/>
                    <w:rPr>
                      <w:sz w:val="21"/>
                    </w:rPr>
                  </w:pPr>
                  <w:r>
                    <w:rPr>
                      <w:sz w:val="21"/>
                    </w:rPr>
                    <w:t>污染物名称</w:t>
                  </w:r>
                </w:p>
              </w:tc>
              <w:tc>
                <w:tcPr>
                  <w:tcW w:w="2463" w:type="dxa"/>
                  <w:noWrap w:val="0"/>
                  <w:vAlign w:val="top"/>
                </w:tcPr>
                <w:p>
                  <w:pPr>
                    <w:pStyle w:val="18"/>
                    <w:spacing w:before="1" w:line="251" w:lineRule="exact"/>
                    <w:ind w:left="254" w:right="251"/>
                    <w:jc w:val="center"/>
                    <w:rPr>
                      <w:sz w:val="21"/>
                    </w:rPr>
                  </w:pPr>
                  <w:r>
                    <w:rPr>
                      <w:sz w:val="21"/>
                    </w:rPr>
                    <w:t>取值时间</w:t>
                  </w:r>
                </w:p>
              </w:tc>
              <w:tc>
                <w:tcPr>
                  <w:tcW w:w="2130" w:type="dxa"/>
                  <w:noWrap w:val="0"/>
                  <w:vAlign w:val="top"/>
                </w:tcPr>
                <w:p>
                  <w:pPr>
                    <w:pStyle w:val="18"/>
                    <w:spacing w:before="1" w:line="251" w:lineRule="exact"/>
                    <w:ind w:left="117" w:right="111"/>
                    <w:jc w:val="center"/>
                    <w:rPr>
                      <w:sz w:val="21"/>
                    </w:rPr>
                  </w:pPr>
                  <w:r>
                    <w:rPr>
                      <w:sz w:val="21"/>
                    </w:rPr>
                    <w:t>浓度限值（</w:t>
                  </w:r>
                  <w:r>
                    <w:rPr>
                      <w:rFonts w:ascii="Times New Roman" w:eastAsia="Times New Roman"/>
                      <w:sz w:val="21"/>
                    </w:rPr>
                    <w:t>ug/m</w:t>
                  </w:r>
                  <w:r>
                    <w:rPr>
                      <w:rFonts w:ascii="Times New Roman" w:eastAsia="Times New Roman"/>
                      <w:position w:val="7"/>
                      <w:sz w:val="13"/>
                    </w:rPr>
                    <w:t>3</w:t>
                  </w:r>
                  <w:r>
                    <w:rPr>
                      <w:sz w:val="21"/>
                    </w:rPr>
                    <w:t>）</w:t>
                  </w:r>
                </w:p>
              </w:tc>
              <w:tc>
                <w:tcPr>
                  <w:tcW w:w="2583" w:type="dxa"/>
                  <w:noWrap w:val="0"/>
                  <w:vAlign w:val="top"/>
                </w:tcPr>
                <w:p>
                  <w:pPr>
                    <w:pStyle w:val="18"/>
                    <w:spacing w:before="1" w:line="251" w:lineRule="exact"/>
                    <w:ind w:left="171" w:right="164"/>
                    <w:jc w:val="center"/>
                    <w:rPr>
                      <w:sz w:val="21"/>
                    </w:rPr>
                  </w:pPr>
                  <w:r>
                    <w:rPr>
                      <w:sz w:val="21"/>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restart"/>
                  <w:noWrap w:val="0"/>
                  <w:vAlign w:val="top"/>
                </w:tcPr>
                <w:p>
                  <w:pPr>
                    <w:pStyle w:val="18"/>
                    <w:spacing w:before="11"/>
                    <w:rPr>
                      <w:sz w:val="22"/>
                    </w:rPr>
                  </w:pPr>
                </w:p>
                <w:p>
                  <w:pPr>
                    <w:pStyle w:val="18"/>
                    <w:spacing w:before="1"/>
                    <w:ind w:left="517" w:right="508"/>
                    <w:jc w:val="center"/>
                    <w:rPr>
                      <w:rFonts w:ascii="Times New Roman"/>
                      <w:sz w:val="21"/>
                    </w:rPr>
                  </w:pPr>
                  <w:r>
                    <w:rPr>
                      <w:rFonts w:ascii="Times New Roman"/>
                      <w:position w:val="2"/>
                      <w:sz w:val="21"/>
                    </w:rPr>
                    <w:t>SO</w:t>
                  </w:r>
                  <w:r>
                    <w:rPr>
                      <w:rFonts w:ascii="Times New Roman"/>
                      <w:position w:val="2"/>
                      <w:sz w:val="21"/>
                      <w:vertAlign w:val="subscript"/>
                    </w:rPr>
                    <w:t>2</w:t>
                  </w:r>
                </w:p>
              </w:tc>
              <w:tc>
                <w:tcPr>
                  <w:tcW w:w="2463" w:type="dxa"/>
                  <w:noWrap w:val="0"/>
                  <w:vAlign w:val="top"/>
                </w:tcPr>
                <w:p>
                  <w:pPr>
                    <w:pStyle w:val="18"/>
                    <w:spacing w:line="252" w:lineRule="exact"/>
                    <w:ind w:left="257" w:right="251"/>
                    <w:jc w:val="center"/>
                    <w:rPr>
                      <w:sz w:val="21"/>
                    </w:rPr>
                  </w:pPr>
                  <w:r>
                    <w:rPr>
                      <w:sz w:val="21"/>
                    </w:rPr>
                    <w:t>年平均</w:t>
                  </w:r>
                </w:p>
              </w:tc>
              <w:tc>
                <w:tcPr>
                  <w:tcW w:w="2130" w:type="dxa"/>
                  <w:noWrap w:val="0"/>
                  <w:vAlign w:val="top"/>
                </w:tcPr>
                <w:p>
                  <w:pPr>
                    <w:pStyle w:val="18"/>
                    <w:spacing w:before="13" w:line="238" w:lineRule="exact"/>
                    <w:ind w:left="117" w:right="107"/>
                    <w:jc w:val="center"/>
                    <w:rPr>
                      <w:rFonts w:ascii="Times New Roman"/>
                      <w:sz w:val="21"/>
                    </w:rPr>
                  </w:pPr>
                  <w:r>
                    <w:rPr>
                      <w:rFonts w:ascii="Times New Roman"/>
                      <w:sz w:val="21"/>
                    </w:rPr>
                    <w:t>60</w:t>
                  </w:r>
                </w:p>
              </w:tc>
              <w:tc>
                <w:tcPr>
                  <w:tcW w:w="2583" w:type="dxa"/>
                  <w:vMerge w:val="restart"/>
                  <w:noWrap w:val="0"/>
                  <w:vAlign w:val="top"/>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61"/>
                    <w:ind w:left="169" w:right="164"/>
                    <w:jc w:val="center"/>
                    <w:rPr>
                      <w:sz w:val="21"/>
                    </w:rPr>
                  </w:pPr>
                  <w:r>
                    <w:rPr>
                      <w:sz w:val="21"/>
                    </w:rPr>
                    <w:t>《环境空气质量标准》</w:t>
                  </w:r>
                </w:p>
                <w:p>
                  <w:pPr>
                    <w:pStyle w:val="18"/>
                    <w:spacing w:before="2"/>
                    <w:ind w:left="171" w:right="164"/>
                    <w:jc w:val="center"/>
                    <w:rPr>
                      <w:sz w:val="21"/>
                    </w:rPr>
                  </w:pPr>
                  <w:r>
                    <w:rPr>
                      <w:sz w:val="21"/>
                    </w:rPr>
                    <w:t>（</w:t>
                  </w:r>
                  <w:r>
                    <w:rPr>
                      <w:rFonts w:ascii="Times New Roman" w:eastAsia="Times New Roman"/>
                      <w:sz w:val="21"/>
                    </w:rPr>
                    <w:t>GB3095-2012</w:t>
                  </w:r>
                  <w:r>
                    <w:rPr>
                      <w:sz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8"/>
                    <w:spacing w:before="1" w:line="252" w:lineRule="exact"/>
                    <w:ind w:left="257" w:right="251"/>
                    <w:jc w:val="center"/>
                    <w:rPr>
                      <w:sz w:val="21"/>
                    </w:rPr>
                  </w:pPr>
                  <w:r>
                    <w:rPr>
                      <w:sz w:val="21"/>
                    </w:rPr>
                    <w:t>日平均</w:t>
                  </w:r>
                </w:p>
              </w:tc>
              <w:tc>
                <w:tcPr>
                  <w:tcW w:w="2130" w:type="dxa"/>
                  <w:noWrap w:val="0"/>
                  <w:vAlign w:val="top"/>
                </w:tcPr>
                <w:p>
                  <w:pPr>
                    <w:pStyle w:val="18"/>
                    <w:spacing w:before="15" w:line="238" w:lineRule="exact"/>
                    <w:ind w:left="117" w:right="107"/>
                    <w:jc w:val="center"/>
                    <w:rPr>
                      <w:rFonts w:ascii="Times New Roman"/>
                      <w:sz w:val="21"/>
                    </w:rPr>
                  </w:pPr>
                  <w:r>
                    <w:rPr>
                      <w:rFonts w:ascii="Times New Roman"/>
                      <w:sz w:val="21"/>
                    </w:rPr>
                    <w:t>150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8"/>
                    <w:spacing w:before="1" w:line="251" w:lineRule="exact"/>
                    <w:ind w:left="257" w:right="251"/>
                    <w:jc w:val="center"/>
                    <w:rPr>
                      <w:sz w:val="21"/>
                    </w:rPr>
                  </w:pPr>
                  <w:r>
                    <w:rPr>
                      <w:rFonts w:ascii="Times New Roman" w:eastAsia="Times New Roman"/>
                      <w:sz w:val="21"/>
                    </w:rPr>
                    <w:t xml:space="preserve">1 </w:t>
                  </w:r>
                  <w:r>
                    <w:rPr>
                      <w:sz w:val="21"/>
                    </w:rPr>
                    <w:t>小时平均</w:t>
                  </w:r>
                </w:p>
              </w:tc>
              <w:tc>
                <w:tcPr>
                  <w:tcW w:w="2130" w:type="dxa"/>
                  <w:noWrap w:val="0"/>
                  <w:vAlign w:val="top"/>
                </w:tcPr>
                <w:p>
                  <w:pPr>
                    <w:pStyle w:val="18"/>
                    <w:spacing w:before="15" w:line="237" w:lineRule="exact"/>
                    <w:ind w:left="117" w:right="107"/>
                    <w:jc w:val="center"/>
                    <w:rPr>
                      <w:rFonts w:ascii="Times New Roman"/>
                      <w:sz w:val="21"/>
                    </w:rPr>
                  </w:pPr>
                  <w:r>
                    <w:rPr>
                      <w:rFonts w:ascii="Times New Roman"/>
                      <w:sz w:val="21"/>
                    </w:rPr>
                    <w:t>500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restart"/>
                  <w:noWrap w:val="0"/>
                  <w:vAlign w:val="top"/>
                </w:tcPr>
                <w:p>
                  <w:pPr>
                    <w:pStyle w:val="18"/>
                    <w:spacing w:before="12"/>
                    <w:rPr>
                      <w:sz w:val="22"/>
                    </w:rPr>
                  </w:pPr>
                </w:p>
                <w:p>
                  <w:pPr>
                    <w:pStyle w:val="18"/>
                    <w:ind w:left="517" w:right="508"/>
                    <w:jc w:val="center"/>
                    <w:rPr>
                      <w:rFonts w:ascii="Times New Roman"/>
                      <w:sz w:val="21"/>
                    </w:rPr>
                  </w:pPr>
                  <w:r>
                    <w:rPr>
                      <w:rFonts w:ascii="Times New Roman"/>
                      <w:position w:val="2"/>
                      <w:sz w:val="21"/>
                    </w:rPr>
                    <w:t>NO</w:t>
                  </w:r>
                  <w:r>
                    <w:rPr>
                      <w:rFonts w:ascii="Times New Roman"/>
                      <w:position w:val="2"/>
                      <w:sz w:val="21"/>
                      <w:vertAlign w:val="subscript"/>
                    </w:rPr>
                    <w:t>2</w:t>
                  </w:r>
                </w:p>
              </w:tc>
              <w:tc>
                <w:tcPr>
                  <w:tcW w:w="2463" w:type="dxa"/>
                  <w:noWrap w:val="0"/>
                  <w:vAlign w:val="top"/>
                </w:tcPr>
                <w:p>
                  <w:pPr>
                    <w:pStyle w:val="18"/>
                    <w:spacing w:line="252" w:lineRule="exact"/>
                    <w:ind w:left="257" w:right="251"/>
                    <w:jc w:val="center"/>
                    <w:rPr>
                      <w:sz w:val="21"/>
                    </w:rPr>
                  </w:pPr>
                  <w:r>
                    <w:rPr>
                      <w:sz w:val="21"/>
                    </w:rPr>
                    <w:t>年平均</w:t>
                  </w:r>
                </w:p>
              </w:tc>
              <w:tc>
                <w:tcPr>
                  <w:tcW w:w="2130" w:type="dxa"/>
                  <w:noWrap w:val="0"/>
                  <w:vAlign w:val="top"/>
                </w:tcPr>
                <w:p>
                  <w:pPr>
                    <w:pStyle w:val="18"/>
                    <w:spacing w:before="14" w:line="238" w:lineRule="exact"/>
                    <w:ind w:left="117" w:right="107"/>
                    <w:jc w:val="center"/>
                    <w:rPr>
                      <w:rFonts w:ascii="Times New Roman"/>
                      <w:sz w:val="21"/>
                    </w:rPr>
                  </w:pPr>
                  <w:r>
                    <w:rPr>
                      <w:rFonts w:ascii="Times New Roman"/>
                      <w:sz w:val="21"/>
                    </w:rPr>
                    <w:t>40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8"/>
                    <w:spacing w:before="1" w:line="252" w:lineRule="exact"/>
                    <w:ind w:left="257" w:right="251"/>
                    <w:jc w:val="center"/>
                    <w:rPr>
                      <w:sz w:val="21"/>
                    </w:rPr>
                  </w:pPr>
                  <w:r>
                    <w:rPr>
                      <w:sz w:val="21"/>
                    </w:rPr>
                    <w:t>日平均</w:t>
                  </w:r>
                </w:p>
              </w:tc>
              <w:tc>
                <w:tcPr>
                  <w:tcW w:w="2130" w:type="dxa"/>
                  <w:noWrap w:val="0"/>
                  <w:vAlign w:val="top"/>
                </w:tcPr>
                <w:p>
                  <w:pPr>
                    <w:pStyle w:val="18"/>
                    <w:spacing w:before="15" w:line="238" w:lineRule="exact"/>
                    <w:ind w:left="117" w:right="107"/>
                    <w:jc w:val="center"/>
                    <w:rPr>
                      <w:rFonts w:ascii="Times New Roman"/>
                      <w:sz w:val="21"/>
                    </w:rPr>
                  </w:pPr>
                  <w:r>
                    <w:rPr>
                      <w:rFonts w:ascii="Times New Roman"/>
                      <w:sz w:val="21"/>
                    </w:rPr>
                    <w:t>80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8"/>
                    <w:spacing w:line="252" w:lineRule="exact"/>
                    <w:ind w:left="257" w:right="251"/>
                    <w:jc w:val="center"/>
                    <w:rPr>
                      <w:sz w:val="21"/>
                    </w:rPr>
                  </w:pPr>
                  <w:r>
                    <w:rPr>
                      <w:rFonts w:ascii="Times New Roman" w:eastAsia="Times New Roman"/>
                      <w:sz w:val="21"/>
                    </w:rPr>
                    <w:t xml:space="preserve">1 </w:t>
                  </w:r>
                  <w:r>
                    <w:rPr>
                      <w:sz w:val="21"/>
                    </w:rPr>
                    <w:t>小时平均</w:t>
                  </w:r>
                </w:p>
              </w:tc>
              <w:tc>
                <w:tcPr>
                  <w:tcW w:w="2130" w:type="dxa"/>
                  <w:noWrap w:val="0"/>
                  <w:vAlign w:val="top"/>
                </w:tcPr>
                <w:p>
                  <w:pPr>
                    <w:pStyle w:val="18"/>
                    <w:spacing w:before="13" w:line="239" w:lineRule="exact"/>
                    <w:ind w:left="117" w:right="107"/>
                    <w:jc w:val="center"/>
                    <w:rPr>
                      <w:rFonts w:ascii="Times New Roman"/>
                      <w:sz w:val="21"/>
                    </w:rPr>
                  </w:pPr>
                  <w:r>
                    <w:rPr>
                      <w:rFonts w:ascii="Times New Roman"/>
                      <w:sz w:val="21"/>
                    </w:rPr>
                    <w:t>200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68" w:type="dxa"/>
                  <w:vMerge w:val="restart"/>
                  <w:noWrap w:val="0"/>
                  <w:vAlign w:val="top"/>
                </w:tcPr>
                <w:p>
                  <w:pPr>
                    <w:pStyle w:val="18"/>
                    <w:spacing w:before="155"/>
                    <w:ind w:left="513" w:right="508"/>
                    <w:jc w:val="center"/>
                    <w:rPr>
                      <w:rFonts w:ascii="Times New Roman"/>
                      <w:sz w:val="21"/>
                    </w:rPr>
                  </w:pPr>
                  <w:r>
                    <w:rPr>
                      <w:rFonts w:ascii="Times New Roman"/>
                      <w:sz w:val="21"/>
                    </w:rPr>
                    <w:t>CO</w:t>
                  </w:r>
                </w:p>
              </w:tc>
              <w:tc>
                <w:tcPr>
                  <w:tcW w:w="2463" w:type="dxa"/>
                  <w:noWrap w:val="0"/>
                  <w:vAlign w:val="top"/>
                </w:tcPr>
                <w:p>
                  <w:pPr>
                    <w:pStyle w:val="18"/>
                    <w:spacing w:line="252" w:lineRule="exact"/>
                    <w:ind w:left="257" w:right="251"/>
                    <w:jc w:val="center"/>
                    <w:rPr>
                      <w:sz w:val="21"/>
                    </w:rPr>
                  </w:pPr>
                  <w:r>
                    <w:rPr>
                      <w:rFonts w:ascii="Times New Roman" w:eastAsia="Times New Roman"/>
                      <w:sz w:val="21"/>
                    </w:rPr>
                    <w:t xml:space="preserve">24 </w:t>
                  </w:r>
                  <w:r>
                    <w:rPr>
                      <w:sz w:val="21"/>
                    </w:rPr>
                    <w:t>小时平均</w:t>
                  </w:r>
                </w:p>
              </w:tc>
              <w:tc>
                <w:tcPr>
                  <w:tcW w:w="2130" w:type="dxa"/>
                  <w:noWrap w:val="0"/>
                  <w:vAlign w:val="top"/>
                </w:tcPr>
                <w:p>
                  <w:pPr>
                    <w:pStyle w:val="18"/>
                    <w:spacing w:before="14" w:line="238" w:lineRule="exact"/>
                    <w:ind w:left="117" w:right="107"/>
                    <w:jc w:val="center"/>
                    <w:rPr>
                      <w:rFonts w:ascii="Times New Roman"/>
                      <w:sz w:val="21"/>
                    </w:rPr>
                  </w:pPr>
                  <w:r>
                    <w:rPr>
                      <w:rFonts w:ascii="Times New Roman"/>
                      <w:sz w:val="21"/>
                    </w:rPr>
                    <w:t>4000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8"/>
                    <w:spacing w:before="1" w:line="252" w:lineRule="exact"/>
                    <w:ind w:left="257" w:right="251"/>
                    <w:jc w:val="center"/>
                    <w:rPr>
                      <w:sz w:val="21"/>
                    </w:rPr>
                  </w:pPr>
                  <w:r>
                    <w:rPr>
                      <w:rFonts w:ascii="Times New Roman" w:eastAsia="Times New Roman"/>
                      <w:sz w:val="21"/>
                    </w:rPr>
                    <w:t xml:space="preserve">1 </w:t>
                  </w:r>
                  <w:r>
                    <w:rPr>
                      <w:sz w:val="21"/>
                    </w:rPr>
                    <w:t>小时平均</w:t>
                  </w:r>
                </w:p>
              </w:tc>
              <w:tc>
                <w:tcPr>
                  <w:tcW w:w="2130" w:type="dxa"/>
                  <w:noWrap w:val="0"/>
                  <w:vAlign w:val="top"/>
                </w:tcPr>
                <w:p>
                  <w:pPr>
                    <w:pStyle w:val="18"/>
                    <w:spacing w:before="15" w:line="238" w:lineRule="exact"/>
                    <w:ind w:left="117" w:right="109"/>
                    <w:jc w:val="center"/>
                    <w:rPr>
                      <w:rFonts w:ascii="Times New Roman"/>
                      <w:sz w:val="21"/>
                    </w:rPr>
                  </w:pPr>
                  <w:r>
                    <w:rPr>
                      <w:rFonts w:ascii="Times New Roman"/>
                      <w:sz w:val="21"/>
                    </w:rPr>
                    <w:t>10000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68" w:type="dxa"/>
                  <w:vMerge w:val="restart"/>
                  <w:noWrap w:val="0"/>
                  <w:vAlign w:val="top"/>
                </w:tcPr>
                <w:p>
                  <w:pPr>
                    <w:pStyle w:val="18"/>
                    <w:spacing w:before="151"/>
                    <w:ind w:left="514" w:right="508"/>
                    <w:jc w:val="center"/>
                    <w:rPr>
                      <w:rFonts w:ascii="Times New Roman"/>
                      <w:sz w:val="21"/>
                    </w:rPr>
                  </w:pPr>
                  <w:r>
                    <w:rPr>
                      <w:rFonts w:ascii="Times New Roman"/>
                      <w:position w:val="2"/>
                      <w:sz w:val="21"/>
                    </w:rPr>
                    <w:t>O</w:t>
                  </w:r>
                  <w:r>
                    <w:rPr>
                      <w:rFonts w:ascii="Times New Roman"/>
                      <w:position w:val="2"/>
                      <w:sz w:val="21"/>
                      <w:vertAlign w:val="subscript"/>
                    </w:rPr>
                    <w:t>3</w:t>
                  </w:r>
                </w:p>
              </w:tc>
              <w:tc>
                <w:tcPr>
                  <w:tcW w:w="2463" w:type="dxa"/>
                  <w:noWrap w:val="0"/>
                  <w:vAlign w:val="top"/>
                </w:tcPr>
                <w:p>
                  <w:pPr>
                    <w:pStyle w:val="18"/>
                    <w:spacing w:line="252" w:lineRule="exact"/>
                    <w:ind w:left="259" w:right="251"/>
                    <w:jc w:val="center"/>
                    <w:rPr>
                      <w:sz w:val="21"/>
                    </w:rPr>
                  </w:pPr>
                  <w:r>
                    <w:rPr>
                      <w:sz w:val="21"/>
                    </w:rPr>
                    <w:t xml:space="preserve">日最大 </w:t>
                  </w:r>
                  <w:r>
                    <w:rPr>
                      <w:rFonts w:ascii="Times New Roman" w:eastAsia="Times New Roman"/>
                      <w:sz w:val="21"/>
                    </w:rPr>
                    <w:t xml:space="preserve">8 </w:t>
                  </w:r>
                  <w:r>
                    <w:rPr>
                      <w:sz w:val="21"/>
                    </w:rPr>
                    <w:t>小时平均</w:t>
                  </w:r>
                </w:p>
              </w:tc>
              <w:tc>
                <w:tcPr>
                  <w:tcW w:w="2130" w:type="dxa"/>
                  <w:noWrap w:val="0"/>
                  <w:vAlign w:val="top"/>
                </w:tcPr>
                <w:p>
                  <w:pPr>
                    <w:pStyle w:val="18"/>
                    <w:spacing w:before="13" w:line="239" w:lineRule="exact"/>
                    <w:ind w:left="117" w:right="107"/>
                    <w:jc w:val="center"/>
                    <w:rPr>
                      <w:rFonts w:ascii="Times New Roman"/>
                      <w:sz w:val="21"/>
                    </w:rPr>
                  </w:pPr>
                  <w:r>
                    <w:rPr>
                      <w:rFonts w:ascii="Times New Roman"/>
                      <w:sz w:val="21"/>
                    </w:rPr>
                    <w:t>160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8"/>
                    <w:spacing w:line="252" w:lineRule="exact"/>
                    <w:ind w:left="257" w:right="251"/>
                    <w:jc w:val="center"/>
                    <w:rPr>
                      <w:sz w:val="21"/>
                    </w:rPr>
                  </w:pPr>
                  <w:r>
                    <w:rPr>
                      <w:rFonts w:ascii="Times New Roman" w:eastAsia="Times New Roman"/>
                      <w:sz w:val="21"/>
                    </w:rPr>
                    <w:t xml:space="preserve">1 </w:t>
                  </w:r>
                  <w:r>
                    <w:rPr>
                      <w:sz w:val="21"/>
                    </w:rPr>
                    <w:t>小时平均</w:t>
                  </w:r>
                </w:p>
              </w:tc>
              <w:tc>
                <w:tcPr>
                  <w:tcW w:w="2130" w:type="dxa"/>
                  <w:noWrap w:val="0"/>
                  <w:vAlign w:val="top"/>
                </w:tcPr>
                <w:p>
                  <w:pPr>
                    <w:pStyle w:val="18"/>
                    <w:spacing w:before="14" w:line="238" w:lineRule="exact"/>
                    <w:ind w:left="117" w:right="107"/>
                    <w:jc w:val="center"/>
                    <w:rPr>
                      <w:rFonts w:ascii="Times New Roman"/>
                      <w:sz w:val="21"/>
                    </w:rPr>
                  </w:pPr>
                  <w:r>
                    <w:rPr>
                      <w:rFonts w:ascii="Times New Roman"/>
                      <w:sz w:val="21"/>
                    </w:rPr>
                    <w:t>200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8" w:type="dxa"/>
                  <w:vMerge w:val="restart"/>
                  <w:noWrap w:val="0"/>
                  <w:vAlign w:val="top"/>
                </w:tcPr>
                <w:p>
                  <w:pPr>
                    <w:pStyle w:val="18"/>
                    <w:spacing w:before="154"/>
                    <w:ind w:left="519" w:right="508"/>
                    <w:jc w:val="center"/>
                    <w:rPr>
                      <w:rFonts w:ascii="Times New Roman"/>
                      <w:sz w:val="21"/>
                    </w:rPr>
                  </w:pPr>
                  <w:r>
                    <w:rPr>
                      <w:rFonts w:ascii="Times New Roman"/>
                      <w:position w:val="2"/>
                      <w:sz w:val="21"/>
                    </w:rPr>
                    <w:t>PM</w:t>
                  </w:r>
                  <w:r>
                    <w:rPr>
                      <w:rFonts w:ascii="Times New Roman"/>
                      <w:position w:val="2"/>
                      <w:sz w:val="21"/>
                      <w:vertAlign w:val="subscript"/>
                    </w:rPr>
                    <w:t>10</w:t>
                  </w:r>
                </w:p>
              </w:tc>
              <w:tc>
                <w:tcPr>
                  <w:tcW w:w="2463" w:type="dxa"/>
                  <w:noWrap w:val="0"/>
                  <w:vAlign w:val="top"/>
                </w:tcPr>
                <w:p>
                  <w:pPr>
                    <w:pStyle w:val="18"/>
                    <w:spacing w:before="1" w:line="251" w:lineRule="exact"/>
                    <w:ind w:left="257" w:right="251"/>
                    <w:jc w:val="center"/>
                    <w:rPr>
                      <w:sz w:val="21"/>
                    </w:rPr>
                  </w:pPr>
                  <w:r>
                    <w:rPr>
                      <w:sz w:val="21"/>
                    </w:rPr>
                    <w:t>年平均</w:t>
                  </w:r>
                </w:p>
              </w:tc>
              <w:tc>
                <w:tcPr>
                  <w:tcW w:w="2130" w:type="dxa"/>
                  <w:noWrap w:val="0"/>
                  <w:vAlign w:val="top"/>
                </w:tcPr>
                <w:p>
                  <w:pPr>
                    <w:pStyle w:val="18"/>
                    <w:spacing w:before="15" w:line="237" w:lineRule="exact"/>
                    <w:ind w:left="117" w:right="107"/>
                    <w:jc w:val="center"/>
                    <w:rPr>
                      <w:rFonts w:ascii="Times New Roman"/>
                      <w:sz w:val="21"/>
                    </w:rPr>
                  </w:pPr>
                  <w:r>
                    <w:rPr>
                      <w:rFonts w:ascii="Times New Roman"/>
                      <w:sz w:val="21"/>
                    </w:rPr>
                    <w:t>70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2"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8"/>
                    <w:spacing w:line="252" w:lineRule="exact"/>
                    <w:ind w:left="257" w:right="251"/>
                    <w:jc w:val="center"/>
                    <w:rPr>
                      <w:sz w:val="21"/>
                    </w:rPr>
                  </w:pPr>
                  <w:r>
                    <w:rPr>
                      <w:sz w:val="21"/>
                    </w:rPr>
                    <w:t>日平均</w:t>
                  </w:r>
                </w:p>
              </w:tc>
              <w:tc>
                <w:tcPr>
                  <w:tcW w:w="2130" w:type="dxa"/>
                  <w:noWrap w:val="0"/>
                  <w:vAlign w:val="top"/>
                </w:tcPr>
                <w:p>
                  <w:pPr>
                    <w:pStyle w:val="18"/>
                    <w:spacing w:before="13" w:line="239" w:lineRule="exact"/>
                    <w:ind w:left="117" w:right="107"/>
                    <w:jc w:val="center"/>
                    <w:rPr>
                      <w:rFonts w:ascii="Times New Roman"/>
                      <w:sz w:val="21"/>
                    </w:rPr>
                  </w:pPr>
                  <w:r>
                    <w:rPr>
                      <w:rFonts w:ascii="Times New Roman"/>
                      <w:sz w:val="21"/>
                    </w:rPr>
                    <w:t>150</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68" w:type="dxa"/>
                  <w:vMerge w:val="restart"/>
                  <w:noWrap w:val="0"/>
                  <w:vAlign w:val="top"/>
                </w:tcPr>
                <w:p>
                  <w:pPr>
                    <w:pStyle w:val="18"/>
                    <w:spacing w:before="153"/>
                    <w:ind w:left="519" w:right="508"/>
                    <w:jc w:val="center"/>
                    <w:rPr>
                      <w:rFonts w:ascii="Times New Roman"/>
                      <w:sz w:val="13"/>
                    </w:rPr>
                  </w:pPr>
                  <w:r>
                    <w:rPr>
                      <w:rFonts w:ascii="Times New Roman"/>
                      <w:w w:val="105"/>
                      <w:position w:val="2"/>
                      <w:sz w:val="21"/>
                    </w:rPr>
                    <w:t>PM</w:t>
                  </w:r>
                  <w:r>
                    <w:rPr>
                      <w:rFonts w:ascii="Times New Roman"/>
                      <w:w w:val="105"/>
                      <w:sz w:val="13"/>
                    </w:rPr>
                    <w:t>2.5</w:t>
                  </w:r>
                </w:p>
              </w:tc>
              <w:tc>
                <w:tcPr>
                  <w:tcW w:w="2463" w:type="dxa"/>
                  <w:noWrap w:val="0"/>
                  <w:vAlign w:val="top"/>
                </w:tcPr>
                <w:p>
                  <w:pPr>
                    <w:pStyle w:val="18"/>
                    <w:spacing w:line="251" w:lineRule="exact"/>
                    <w:ind w:left="257" w:right="251"/>
                    <w:jc w:val="center"/>
                    <w:rPr>
                      <w:sz w:val="21"/>
                    </w:rPr>
                  </w:pPr>
                  <w:r>
                    <w:rPr>
                      <w:sz w:val="21"/>
                    </w:rPr>
                    <w:t>年平均</w:t>
                  </w:r>
                </w:p>
              </w:tc>
              <w:tc>
                <w:tcPr>
                  <w:tcW w:w="2130" w:type="dxa"/>
                  <w:noWrap w:val="0"/>
                  <w:vAlign w:val="top"/>
                </w:tcPr>
                <w:p>
                  <w:pPr>
                    <w:pStyle w:val="18"/>
                    <w:spacing w:before="14" w:line="237" w:lineRule="exact"/>
                    <w:ind w:left="117" w:right="107"/>
                    <w:jc w:val="center"/>
                    <w:rPr>
                      <w:rFonts w:ascii="Times New Roman"/>
                      <w:sz w:val="21"/>
                    </w:rPr>
                  </w:pPr>
                  <w:r>
                    <w:rPr>
                      <w:rFonts w:ascii="Times New Roman"/>
                      <w:sz w:val="21"/>
                    </w:rPr>
                    <w:t>35</w:t>
                  </w:r>
                </w:p>
              </w:tc>
              <w:tc>
                <w:tcPr>
                  <w:tcW w:w="2583" w:type="dxa"/>
                  <w:vMerge w:val="continue"/>
                  <w:tcBorders>
                    <w:top w:val="nil"/>
                  </w:tcBorders>
                  <w:noWrap w:val="0"/>
                  <w:vAlign w:val="top"/>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568" w:type="dxa"/>
                  <w:vMerge w:val="continue"/>
                  <w:tcBorders>
                    <w:top w:val="nil"/>
                  </w:tcBorders>
                  <w:noWrap w:val="0"/>
                  <w:vAlign w:val="top"/>
                </w:tcPr>
                <w:p>
                  <w:pPr>
                    <w:rPr>
                      <w:sz w:val="2"/>
                      <w:szCs w:val="2"/>
                    </w:rPr>
                  </w:pPr>
                </w:p>
              </w:tc>
              <w:tc>
                <w:tcPr>
                  <w:tcW w:w="2463" w:type="dxa"/>
                  <w:noWrap w:val="0"/>
                  <w:vAlign w:val="top"/>
                </w:tcPr>
                <w:p>
                  <w:pPr>
                    <w:pStyle w:val="18"/>
                    <w:spacing w:before="1" w:line="251" w:lineRule="exact"/>
                    <w:ind w:left="257" w:right="251"/>
                    <w:jc w:val="center"/>
                    <w:rPr>
                      <w:sz w:val="21"/>
                    </w:rPr>
                  </w:pPr>
                  <w:r>
                    <w:rPr>
                      <w:sz w:val="21"/>
                    </w:rPr>
                    <w:t>日平均</w:t>
                  </w:r>
                </w:p>
              </w:tc>
              <w:tc>
                <w:tcPr>
                  <w:tcW w:w="2130" w:type="dxa"/>
                  <w:noWrap w:val="0"/>
                  <w:vAlign w:val="top"/>
                </w:tcPr>
                <w:p>
                  <w:pPr>
                    <w:pStyle w:val="18"/>
                    <w:spacing w:before="15" w:line="237" w:lineRule="exact"/>
                    <w:ind w:left="117" w:right="107"/>
                    <w:jc w:val="center"/>
                    <w:rPr>
                      <w:rFonts w:ascii="Times New Roman"/>
                      <w:sz w:val="21"/>
                    </w:rPr>
                  </w:pPr>
                  <w:r>
                    <w:rPr>
                      <w:rFonts w:ascii="Times New Roman"/>
                      <w:sz w:val="21"/>
                    </w:rPr>
                    <w:t>70</w:t>
                  </w:r>
                </w:p>
              </w:tc>
              <w:tc>
                <w:tcPr>
                  <w:tcW w:w="2583" w:type="dxa"/>
                  <w:vMerge w:val="continue"/>
                  <w:tcBorders>
                    <w:top w:val="nil"/>
                  </w:tcBorders>
                  <w:noWrap w:val="0"/>
                  <w:vAlign w:val="top"/>
                </w:tcPr>
                <w:p>
                  <w:pPr>
                    <w:rPr>
                      <w:sz w:val="2"/>
                      <w:szCs w:val="2"/>
                    </w:rPr>
                  </w:pPr>
                </w:p>
              </w:tc>
            </w:tr>
          </w:tbl>
          <w:p>
            <w:pPr>
              <w:spacing w:before="156" w:beforeLines="50" w:line="440" w:lineRule="exact"/>
              <w:rPr>
                <w:rFonts w:hint="eastAsia"/>
                <w:sz w:val="24"/>
              </w:rPr>
            </w:pPr>
            <w:r>
              <w:rPr>
                <w:rFonts w:hint="eastAsia"/>
                <w:sz w:val="24"/>
              </w:rPr>
              <w:t>2、地表水环境质量标准</w:t>
            </w:r>
          </w:p>
          <w:p>
            <w:pPr>
              <w:tabs>
                <w:tab w:val="left" w:pos="460"/>
              </w:tabs>
              <w:spacing w:before="156" w:beforeLines="50" w:line="440" w:lineRule="exact"/>
              <w:ind w:firstLine="480" w:firstLineChars="200"/>
              <w:jc w:val="left"/>
              <w:rPr>
                <w:rFonts w:hint="eastAsia"/>
                <w:sz w:val="24"/>
              </w:rPr>
            </w:pPr>
            <w:r>
              <w:rPr>
                <w:rFonts w:hint="eastAsia"/>
                <w:sz w:val="24"/>
              </w:rPr>
              <w:t>本项目附近地表水体为淮河，执行《地表水环境质量标准》（</w:t>
            </w:r>
            <w:r>
              <w:rPr>
                <w:sz w:val="24"/>
              </w:rPr>
              <w:t>GB3838-2002</w:t>
            </w:r>
            <w:r>
              <w:rPr>
                <w:rFonts w:hint="eastAsia"/>
                <w:sz w:val="24"/>
              </w:rPr>
              <w:t>）</w:t>
            </w:r>
            <w:r>
              <w:rPr>
                <w:rFonts w:hint="eastAsia"/>
                <w:sz w:val="24"/>
              </w:rPr>
              <w:fldChar w:fldCharType="begin"/>
            </w:r>
            <w:r>
              <w:rPr>
                <w:rFonts w:hint="eastAsia"/>
                <w:sz w:val="24"/>
              </w:rPr>
              <w:instrText xml:space="preserve"> = 4 \* ROMAN \* MERGEFORMAT </w:instrText>
            </w:r>
            <w:r>
              <w:rPr>
                <w:rFonts w:hint="eastAsia"/>
                <w:sz w:val="24"/>
              </w:rPr>
              <w:fldChar w:fldCharType="separate"/>
            </w:r>
            <w:r>
              <w:rPr>
                <w:sz w:val="24"/>
              </w:rPr>
              <w:fldChar w:fldCharType="begin"/>
            </w:r>
            <w:r>
              <w:rPr>
                <w:sz w:val="24"/>
              </w:rPr>
              <w:instrText xml:space="preserve"> = 3 \* ROMAN \* MERGEFORMAT </w:instrText>
            </w:r>
            <w:r>
              <w:rPr>
                <w:sz w:val="24"/>
              </w:rPr>
              <w:fldChar w:fldCharType="separate"/>
            </w:r>
            <w:r>
              <w:rPr>
                <w:sz w:val="24"/>
              </w:rPr>
              <w:t>III</w:t>
            </w:r>
            <w:r>
              <w:rPr>
                <w:sz w:val="24"/>
              </w:rPr>
              <w:fldChar w:fldCharType="end"/>
            </w:r>
            <w:r>
              <w:rPr>
                <w:rFonts w:hint="eastAsia"/>
                <w:sz w:val="24"/>
              </w:rPr>
              <w:fldChar w:fldCharType="end"/>
            </w:r>
            <w:r>
              <w:rPr>
                <w:rFonts w:hint="eastAsia"/>
                <w:sz w:val="24"/>
              </w:rPr>
              <w:t>类标准，相关标准限值见下表。</w:t>
            </w:r>
          </w:p>
          <w:p>
            <w:pPr>
              <w:spacing w:line="520" w:lineRule="exact"/>
              <w:jc w:val="center"/>
              <w:rPr>
                <w:rFonts w:hint="eastAsia"/>
                <w:sz w:val="24"/>
              </w:rPr>
            </w:pPr>
            <w:r>
              <w:rPr>
                <w:rFonts w:hint="eastAsia"/>
                <w:sz w:val="24"/>
              </w:rPr>
              <w:t xml:space="preserve"> </w:t>
            </w:r>
            <w:r>
              <w:rPr>
                <w:rFonts w:hint="eastAsia"/>
                <w:b/>
                <w:bCs/>
                <w:sz w:val="24"/>
              </w:rPr>
              <w:t xml:space="preserve"> </w:t>
            </w:r>
            <w:r>
              <w:rPr>
                <w:b/>
                <w:bCs/>
                <w:sz w:val="24"/>
              </w:rPr>
              <w:t>表</w:t>
            </w:r>
            <w:r>
              <w:rPr>
                <w:rFonts w:hint="eastAsia" w:eastAsia="宋体"/>
                <w:b/>
                <w:bCs/>
                <w:sz w:val="24"/>
                <w:lang w:val="en-US" w:eastAsia="zh-CN"/>
              </w:rPr>
              <w:t>10</w:t>
            </w:r>
            <w:r>
              <w:rPr>
                <w:rFonts w:hint="eastAsia"/>
                <w:b/>
                <w:bCs/>
                <w:sz w:val="24"/>
              </w:rPr>
              <w:t xml:space="preserve">  </w:t>
            </w:r>
            <w:r>
              <w:rPr>
                <w:b/>
                <w:bCs/>
                <w:sz w:val="24"/>
              </w:rPr>
              <w:t xml:space="preserve"> </w:t>
            </w:r>
            <w:r>
              <w:rPr>
                <w:rFonts w:hint="eastAsia"/>
                <w:b/>
                <w:bCs/>
                <w:sz w:val="24"/>
              </w:rPr>
              <w:t>地表水环境质量</w:t>
            </w:r>
            <w:r>
              <w:rPr>
                <w:b/>
                <w:bCs/>
                <w:sz w:val="24"/>
              </w:rPr>
              <w:t>标准    单位：</w:t>
            </w:r>
            <w:r>
              <w:rPr>
                <w:rFonts w:hint="eastAsia"/>
                <w:b/>
                <w:bCs/>
                <w:sz w:val="24"/>
              </w:rPr>
              <w:t>mg/L（除pH外）</w:t>
            </w:r>
          </w:p>
          <w:tbl>
            <w:tblPr>
              <w:tblStyle w:val="15"/>
              <w:tblW w:w="0" w:type="auto"/>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498"/>
              <w:gridCol w:w="1536"/>
              <w:gridCol w:w="1508"/>
              <w:gridCol w:w="1508"/>
              <w:gridCol w:w="153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498" w:type="dxa"/>
                  <w:tcBorders>
                    <w:top w:val="single" w:color="auto" w:sz="12" w:space="0"/>
                    <w:left w:val="single" w:color="auto" w:sz="12" w:space="0"/>
                    <w:bottom w:val="single" w:color="auto" w:sz="6" w:space="0"/>
                  </w:tcBorders>
                  <w:noWrap w:val="0"/>
                  <w:vAlign w:val="center"/>
                </w:tcPr>
                <w:p>
                  <w:pPr>
                    <w:pStyle w:val="13"/>
                    <w:ind w:firstLine="422"/>
                    <w:rPr>
                      <w:rFonts w:hint="eastAsia"/>
                    </w:rPr>
                  </w:pPr>
                  <w:r>
                    <w:rPr>
                      <w:rFonts w:hint="eastAsia"/>
                    </w:rPr>
                    <w:t>项目</w:t>
                  </w:r>
                </w:p>
              </w:tc>
              <w:tc>
                <w:tcPr>
                  <w:tcW w:w="1536" w:type="dxa"/>
                  <w:tcBorders>
                    <w:top w:val="single" w:color="auto" w:sz="12" w:space="0"/>
                    <w:bottom w:val="single" w:color="auto" w:sz="6" w:space="0"/>
                    <w:right w:val="single" w:color="auto" w:sz="4" w:space="0"/>
                  </w:tcBorders>
                  <w:noWrap w:val="0"/>
                  <w:vAlign w:val="center"/>
                </w:tcPr>
                <w:p>
                  <w:pPr>
                    <w:pStyle w:val="13"/>
                    <w:ind w:firstLine="422"/>
                    <w:jc w:val="both"/>
                  </w:pPr>
                  <w:r>
                    <w:rPr>
                      <w:rFonts w:hint="eastAsia"/>
                    </w:rPr>
                    <w:t>pH</w:t>
                  </w:r>
                </w:p>
              </w:tc>
              <w:tc>
                <w:tcPr>
                  <w:tcW w:w="1508" w:type="dxa"/>
                  <w:tcBorders>
                    <w:top w:val="single" w:color="auto" w:sz="12" w:space="0"/>
                    <w:bottom w:val="single" w:color="auto" w:sz="6" w:space="0"/>
                    <w:right w:val="single" w:color="auto" w:sz="4" w:space="0"/>
                  </w:tcBorders>
                  <w:noWrap w:val="0"/>
                  <w:vAlign w:val="center"/>
                </w:tcPr>
                <w:p>
                  <w:pPr>
                    <w:pStyle w:val="13"/>
                    <w:ind w:firstLine="422"/>
                    <w:jc w:val="both"/>
                    <w:rPr>
                      <w:rFonts w:hint="eastAsia"/>
                    </w:rPr>
                  </w:pPr>
                  <w:r>
                    <w:rPr>
                      <w:rFonts w:hint="eastAsia"/>
                    </w:rPr>
                    <w:t>COD</w:t>
                  </w:r>
                </w:p>
              </w:tc>
              <w:tc>
                <w:tcPr>
                  <w:tcW w:w="1508" w:type="dxa"/>
                  <w:tcBorders>
                    <w:top w:val="single" w:color="auto" w:sz="12" w:space="0"/>
                    <w:left w:val="single" w:color="auto" w:sz="4" w:space="0"/>
                    <w:bottom w:val="single" w:color="auto" w:sz="6" w:space="0"/>
                  </w:tcBorders>
                  <w:noWrap w:val="0"/>
                  <w:vAlign w:val="center"/>
                </w:tcPr>
                <w:p>
                  <w:pPr>
                    <w:pStyle w:val="13"/>
                    <w:ind w:firstLine="422"/>
                    <w:jc w:val="both"/>
                    <w:rPr>
                      <w:rFonts w:hint="eastAsia"/>
                    </w:rPr>
                  </w:pPr>
                  <w:r>
                    <w:rPr>
                      <w:rFonts w:hint="eastAsia"/>
                    </w:rPr>
                    <w:t>BOD5</w:t>
                  </w:r>
                </w:p>
              </w:tc>
              <w:tc>
                <w:tcPr>
                  <w:tcW w:w="1533" w:type="dxa"/>
                  <w:tcBorders>
                    <w:top w:val="single" w:color="auto" w:sz="12" w:space="0"/>
                    <w:bottom w:val="single" w:color="auto" w:sz="6" w:space="0"/>
                    <w:right w:val="single" w:color="auto" w:sz="12" w:space="0"/>
                  </w:tcBorders>
                  <w:noWrap w:val="0"/>
                  <w:vAlign w:val="center"/>
                </w:tcPr>
                <w:p>
                  <w:pPr>
                    <w:pStyle w:val="13"/>
                    <w:ind w:firstLine="422"/>
                    <w:jc w:val="both"/>
                    <w:rPr>
                      <w:rFonts w:hint="eastAsia"/>
                    </w:rPr>
                  </w:pPr>
                  <w:r>
                    <w:rPr>
                      <w:rFonts w:hint="eastAsia"/>
                    </w:rPr>
                    <w:t>氨氮</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498" w:type="dxa"/>
                  <w:tcBorders>
                    <w:top w:val="single" w:color="auto" w:sz="6" w:space="0"/>
                    <w:left w:val="single" w:color="auto" w:sz="12" w:space="0"/>
                    <w:bottom w:val="single" w:color="auto" w:sz="12" w:space="0"/>
                  </w:tcBorders>
                  <w:noWrap w:val="0"/>
                  <w:vAlign w:val="center"/>
                </w:tcPr>
                <w:p>
                  <w:pPr>
                    <w:pStyle w:val="13"/>
                    <w:ind w:firstLine="422"/>
                    <w:rPr>
                      <w:rFonts w:hint="eastAsia"/>
                    </w:rPr>
                  </w:pPr>
                  <w:r>
                    <w:rPr>
                      <w:rFonts w:hint="eastAsia"/>
                    </w:rPr>
                    <w:t>Ⅲ类标准限值</w:t>
                  </w:r>
                </w:p>
              </w:tc>
              <w:tc>
                <w:tcPr>
                  <w:tcW w:w="1536" w:type="dxa"/>
                  <w:tcBorders>
                    <w:top w:val="single" w:color="auto" w:sz="6" w:space="0"/>
                    <w:bottom w:val="single" w:color="auto" w:sz="12" w:space="0"/>
                    <w:right w:val="single" w:color="auto" w:sz="4" w:space="0"/>
                  </w:tcBorders>
                  <w:noWrap w:val="0"/>
                  <w:vAlign w:val="center"/>
                </w:tcPr>
                <w:p>
                  <w:pPr>
                    <w:pStyle w:val="13"/>
                    <w:ind w:firstLine="422"/>
                    <w:jc w:val="both"/>
                    <w:rPr>
                      <w:rFonts w:hint="eastAsia"/>
                    </w:rPr>
                  </w:pPr>
                  <w:r>
                    <w:rPr>
                      <w:rFonts w:hint="eastAsia"/>
                    </w:rPr>
                    <w:t>6-9</w:t>
                  </w:r>
                </w:p>
              </w:tc>
              <w:tc>
                <w:tcPr>
                  <w:tcW w:w="1508" w:type="dxa"/>
                  <w:tcBorders>
                    <w:top w:val="single" w:color="auto" w:sz="6" w:space="0"/>
                    <w:bottom w:val="single" w:color="auto" w:sz="12" w:space="0"/>
                    <w:right w:val="single" w:color="auto" w:sz="4" w:space="0"/>
                  </w:tcBorders>
                  <w:noWrap w:val="0"/>
                  <w:vAlign w:val="center"/>
                </w:tcPr>
                <w:p>
                  <w:pPr>
                    <w:pStyle w:val="13"/>
                    <w:ind w:firstLine="422"/>
                    <w:jc w:val="both"/>
                    <w:rPr>
                      <w:rFonts w:hint="eastAsia"/>
                    </w:rPr>
                  </w:pPr>
                  <w:r>
                    <w:rPr>
                      <w:rFonts w:hint="eastAsia"/>
                    </w:rPr>
                    <w:t>≤20</w:t>
                  </w:r>
                </w:p>
              </w:tc>
              <w:tc>
                <w:tcPr>
                  <w:tcW w:w="1508" w:type="dxa"/>
                  <w:tcBorders>
                    <w:top w:val="single" w:color="auto" w:sz="6" w:space="0"/>
                    <w:left w:val="single" w:color="auto" w:sz="4" w:space="0"/>
                    <w:bottom w:val="single" w:color="auto" w:sz="12" w:space="0"/>
                  </w:tcBorders>
                  <w:noWrap w:val="0"/>
                  <w:vAlign w:val="center"/>
                </w:tcPr>
                <w:p>
                  <w:pPr>
                    <w:pStyle w:val="13"/>
                    <w:ind w:firstLine="422"/>
                    <w:jc w:val="both"/>
                    <w:rPr>
                      <w:rFonts w:hint="eastAsia"/>
                    </w:rPr>
                  </w:pPr>
                  <w:r>
                    <w:rPr>
                      <w:rFonts w:hint="eastAsia"/>
                    </w:rPr>
                    <w:t>≤4</w:t>
                  </w:r>
                </w:p>
              </w:tc>
              <w:tc>
                <w:tcPr>
                  <w:tcW w:w="1533" w:type="dxa"/>
                  <w:tcBorders>
                    <w:top w:val="single" w:color="auto" w:sz="6" w:space="0"/>
                    <w:bottom w:val="single" w:color="auto" w:sz="12" w:space="0"/>
                    <w:right w:val="single" w:color="auto" w:sz="12" w:space="0"/>
                  </w:tcBorders>
                  <w:noWrap w:val="0"/>
                  <w:vAlign w:val="center"/>
                </w:tcPr>
                <w:p>
                  <w:pPr>
                    <w:pStyle w:val="13"/>
                    <w:ind w:firstLine="422"/>
                    <w:jc w:val="both"/>
                    <w:rPr>
                      <w:rFonts w:hint="eastAsia"/>
                    </w:rPr>
                  </w:pPr>
                  <w:r>
                    <w:rPr>
                      <w:rFonts w:hint="eastAsia"/>
                    </w:rPr>
                    <w:t>≤1.0</w:t>
                  </w:r>
                </w:p>
              </w:tc>
            </w:tr>
          </w:tbl>
          <w:p>
            <w:pPr>
              <w:snapToGrid w:val="0"/>
              <w:spacing w:before="156" w:beforeLines="50" w:line="440" w:lineRule="exact"/>
              <w:rPr>
                <w:rFonts w:hint="eastAsia"/>
                <w:sz w:val="24"/>
              </w:rPr>
            </w:pPr>
            <w:r>
              <w:rPr>
                <w:rFonts w:hint="eastAsia"/>
                <w:sz w:val="24"/>
              </w:rPr>
              <w:t>3</w:t>
            </w:r>
            <w:r>
              <w:rPr>
                <w:sz w:val="24"/>
              </w:rPr>
              <w:t>、</w:t>
            </w:r>
            <w:r>
              <w:rPr>
                <w:rFonts w:hint="eastAsia"/>
                <w:sz w:val="24"/>
              </w:rPr>
              <w:t>声环境</w:t>
            </w:r>
          </w:p>
          <w:p>
            <w:pPr>
              <w:spacing w:before="156" w:beforeLines="50" w:line="440" w:lineRule="exact"/>
              <w:ind w:firstLine="480" w:firstLineChars="200"/>
              <w:rPr>
                <w:rFonts w:hint="eastAsia"/>
                <w:sz w:val="24"/>
              </w:rPr>
            </w:pPr>
            <w:r>
              <w:rPr>
                <w:rFonts w:hint="eastAsia"/>
                <w:sz w:val="24"/>
              </w:rPr>
              <w:t>区域环境噪声</w:t>
            </w:r>
            <w:r>
              <w:rPr>
                <w:sz w:val="24"/>
              </w:rPr>
              <w:t>执行《声环境质量标准》（GB3096-2008）</w:t>
            </w:r>
            <w:r>
              <w:rPr>
                <w:rFonts w:hint="eastAsia"/>
                <w:sz w:val="24"/>
              </w:rPr>
              <w:t>2</w:t>
            </w:r>
            <w:r>
              <w:rPr>
                <w:sz w:val="24"/>
              </w:rPr>
              <w:t>类标准</w:t>
            </w:r>
            <w:r>
              <w:rPr>
                <w:rFonts w:hint="eastAsia"/>
                <w:sz w:val="24"/>
              </w:rPr>
              <w:t>，标准值见表1</w:t>
            </w:r>
            <w:r>
              <w:rPr>
                <w:rFonts w:hint="eastAsia"/>
                <w:sz w:val="24"/>
                <w:lang w:val="en-US" w:eastAsia="zh-CN"/>
              </w:rPr>
              <w:t>1</w:t>
            </w:r>
            <w:r>
              <w:rPr>
                <w:sz w:val="24"/>
              </w:rPr>
              <w:t>。</w:t>
            </w:r>
          </w:p>
          <w:p>
            <w:pPr>
              <w:spacing w:before="50" w:line="460" w:lineRule="exact"/>
              <w:jc w:val="center"/>
              <w:rPr>
                <w:rFonts w:hint="eastAsia"/>
                <w:b/>
                <w:bCs/>
                <w:sz w:val="24"/>
              </w:rPr>
            </w:pPr>
            <w:r>
              <w:rPr>
                <w:b/>
                <w:bCs/>
                <w:sz w:val="24"/>
              </w:rPr>
              <w:t>表</w:t>
            </w:r>
            <w:r>
              <w:rPr>
                <w:rFonts w:hint="eastAsia"/>
                <w:b/>
                <w:bCs/>
                <w:sz w:val="24"/>
              </w:rPr>
              <w:t>1</w:t>
            </w:r>
            <w:r>
              <w:rPr>
                <w:rFonts w:hint="eastAsia"/>
                <w:b/>
                <w:bCs/>
                <w:sz w:val="24"/>
                <w:lang w:val="en-US" w:eastAsia="zh-CN"/>
              </w:rPr>
              <w:t>1</w:t>
            </w:r>
            <w:r>
              <w:rPr>
                <w:rFonts w:hint="eastAsia"/>
                <w:b/>
                <w:bCs/>
                <w:sz w:val="24"/>
              </w:rPr>
              <w:t xml:space="preserve"> </w:t>
            </w:r>
            <w:r>
              <w:rPr>
                <w:b/>
                <w:bCs/>
                <w:sz w:val="24"/>
              </w:rPr>
              <w:t xml:space="preserve">  声环境质量标准    单位：dB(A)</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2860"/>
              <w:gridCol w:w="2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61" w:type="dxa"/>
                  <w:noWrap w:val="0"/>
                  <w:vAlign w:val="center"/>
                </w:tcPr>
                <w:p>
                  <w:pPr>
                    <w:pStyle w:val="13"/>
                  </w:pPr>
                  <w:r>
                    <w:t>类别</w:t>
                  </w:r>
                </w:p>
              </w:tc>
              <w:tc>
                <w:tcPr>
                  <w:tcW w:w="2860" w:type="dxa"/>
                  <w:noWrap w:val="0"/>
                  <w:vAlign w:val="center"/>
                </w:tcPr>
                <w:p>
                  <w:pPr>
                    <w:pStyle w:val="13"/>
                  </w:pPr>
                  <w:r>
                    <w:t>昼间</w:t>
                  </w:r>
                </w:p>
              </w:tc>
              <w:tc>
                <w:tcPr>
                  <w:tcW w:w="2862" w:type="dxa"/>
                  <w:noWrap w:val="0"/>
                  <w:vAlign w:val="center"/>
                </w:tcPr>
                <w:p>
                  <w:pPr>
                    <w:pStyle w:val="13"/>
                  </w:pPr>
                  <w: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861" w:type="dxa"/>
                  <w:noWrap w:val="0"/>
                  <w:vAlign w:val="center"/>
                </w:tcPr>
                <w:p>
                  <w:pPr>
                    <w:pStyle w:val="13"/>
                    <w:rPr>
                      <w:rFonts w:hint="eastAsia"/>
                    </w:rPr>
                  </w:pPr>
                  <w:r>
                    <w:rPr>
                      <w:rFonts w:hint="eastAsia"/>
                    </w:rPr>
                    <w:t>2</w:t>
                  </w:r>
                </w:p>
              </w:tc>
              <w:tc>
                <w:tcPr>
                  <w:tcW w:w="2860" w:type="dxa"/>
                  <w:noWrap w:val="0"/>
                  <w:vAlign w:val="center"/>
                </w:tcPr>
                <w:p>
                  <w:pPr>
                    <w:pStyle w:val="13"/>
                    <w:rPr>
                      <w:rFonts w:hint="eastAsia"/>
                    </w:rPr>
                  </w:pPr>
                  <w:r>
                    <w:rPr>
                      <w:rFonts w:hint="eastAsia"/>
                    </w:rPr>
                    <w:t>60</w:t>
                  </w:r>
                </w:p>
              </w:tc>
              <w:tc>
                <w:tcPr>
                  <w:tcW w:w="2862" w:type="dxa"/>
                  <w:noWrap w:val="0"/>
                  <w:vAlign w:val="center"/>
                </w:tcPr>
                <w:p>
                  <w:pPr>
                    <w:pStyle w:val="13"/>
                    <w:rPr>
                      <w:rFonts w:hint="eastAsia"/>
                    </w:rPr>
                  </w:pPr>
                  <w:r>
                    <w:rPr>
                      <w:rFonts w:hint="eastAsia"/>
                    </w:rPr>
                    <w:t>50</w:t>
                  </w:r>
                  <w:r>
                    <w:rPr>
                      <w:rFonts w:hint="eastAsia"/>
                    </w:rPr>
                    <w:cr/>
                  </w:r>
                  <w:r>
                    <w:rPr>
                      <w:rFonts w:hint="eastAsia"/>
                    </w:rPr>
                    <w:t>0</w:t>
                  </w:r>
                </w:p>
              </w:tc>
            </w:tr>
          </w:tbl>
          <w:p>
            <w:pPr>
              <w:keepNext w:val="0"/>
              <w:keepLines w:val="0"/>
              <w:pageBreakBefore w:val="0"/>
              <w:widowControl w:val="0"/>
              <w:kinsoku/>
              <w:wordWrap/>
              <w:overflowPunct/>
              <w:topLinePunct w:val="0"/>
              <w:autoSpaceDE/>
              <w:autoSpaceDN/>
              <w:bidi w:val="0"/>
              <w:adjustRightInd w:val="0"/>
              <w:snapToGrid w:val="0"/>
              <w:spacing w:line="480" w:lineRule="exact"/>
              <w:ind w:right="0" w:rightChars="0"/>
              <w:jc w:val="both"/>
              <w:textAlignment w:val="auto"/>
              <w:outlineLvl w:val="9"/>
              <w:rPr>
                <w:rFonts w:hint="default"/>
                <w:sz w:val="24"/>
                <w:szCs w:val="24"/>
                <w:lang w:val="en-US" w:eastAsia="zh-CN"/>
              </w:rPr>
            </w:pPr>
            <w:r>
              <w:rPr>
                <w:rFonts w:hint="eastAsia"/>
                <w:sz w:val="24"/>
                <w:szCs w:val="24"/>
                <w:lang w:val="en-US" w:eastAsia="zh-CN"/>
              </w:rPr>
              <w:t>4、土壤环境</w:t>
            </w:r>
          </w:p>
          <w:p>
            <w:pPr>
              <w:keepNext w:val="0"/>
              <w:keepLines w:val="0"/>
              <w:pageBreakBefore w:val="0"/>
              <w:widowControl w:val="0"/>
              <w:kinsoku/>
              <w:wordWrap/>
              <w:overflowPunct/>
              <w:topLinePunct w:val="0"/>
              <w:autoSpaceDE/>
              <w:autoSpaceDN/>
              <w:bidi w:val="0"/>
              <w:adjustRightInd w:val="0"/>
              <w:snapToGrid w:val="0"/>
              <w:spacing w:line="480" w:lineRule="exact"/>
              <w:ind w:right="0" w:rightChars="0" w:firstLine="480" w:firstLineChars="200"/>
              <w:jc w:val="both"/>
              <w:textAlignment w:val="auto"/>
              <w:outlineLvl w:val="9"/>
              <w:rPr>
                <w:rFonts w:hint="default"/>
                <w:sz w:val="24"/>
                <w:szCs w:val="24"/>
                <w:lang w:val="en-US"/>
              </w:rPr>
            </w:pPr>
            <w:r>
              <w:rPr>
                <w:rFonts w:hint="eastAsia"/>
                <w:sz w:val="24"/>
                <w:szCs w:val="24"/>
                <w:lang w:val="en-US" w:eastAsia="zh-CN"/>
              </w:rPr>
              <w:t>《土壤环境质量  建设用地土壤污染风险管控标准（试行）》（GB36600--2018）筛选值第二类地标准限值，标准值见表12。</w:t>
            </w:r>
          </w:p>
          <w:p>
            <w:pPr>
              <w:pStyle w:val="20"/>
              <w:spacing w:line="520" w:lineRule="exact"/>
              <w:jc w:val="center"/>
              <w:rPr>
                <w:rFonts w:ascii="Times New Roman" w:eastAsia="宋体" w:cs="Times New Roman"/>
                <w:b/>
                <w:bCs/>
              </w:rPr>
            </w:pPr>
            <w:bookmarkStart w:id="3" w:name="_Toc6511"/>
            <w:r>
              <w:rPr>
                <w:rFonts w:hint="eastAsia" w:ascii="Times New Roman" w:eastAsia="宋体" w:cs="Times New Roman"/>
                <w:b/>
                <w:bCs/>
                <w:color w:val="auto"/>
                <w:kern w:val="2"/>
                <w:sz w:val="24"/>
                <w:szCs w:val="24"/>
                <w:lang w:val="en-US" w:eastAsia="zh-CN" w:bidi="ar-SA"/>
              </w:rPr>
              <w:t>表12    土壤检测项目执行标准</w:t>
            </w:r>
            <w:bookmarkEnd w:id="3"/>
            <w:r>
              <w:rPr>
                <w:rFonts w:hint="eastAsia" w:ascii="黑体" w:hAnsi="黑体" w:eastAsia="黑体" w:cs="黑体"/>
                <w:b w:val="0"/>
                <w:bCs w:val="0"/>
                <w:sz w:val="24"/>
                <w:szCs w:val="22"/>
                <w:lang w:val="en-US" w:eastAsia="zh-CN" w:bidi="ar-SA"/>
              </w:rPr>
              <w:t xml:space="preserve"> </w:t>
            </w:r>
            <w:r>
              <w:rPr>
                <w:rFonts w:hint="eastAsia" w:ascii="Times New Roman" w:hAnsi="Times New Roman" w:eastAsia="黑体" w:cs="Times New Roman"/>
                <w:sz w:val="24"/>
                <w:szCs w:val="22"/>
                <w:lang w:val="en-US" w:eastAsia="zh-CN" w:bidi="ar-SA"/>
              </w:rPr>
              <w:t xml:space="preserve"> </w:t>
            </w:r>
            <w:r>
              <w:rPr>
                <w:rFonts w:hint="eastAsia" w:ascii="Times New Roman" w:eastAsia="宋体" w:cs="Times New Roman"/>
                <w:b/>
                <w:bCs/>
              </w:rPr>
              <w:t xml:space="preserve">     单位：mg/kg</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609"/>
              <w:gridCol w:w="1701"/>
              <w:gridCol w:w="1183"/>
              <w:gridCol w:w="1112"/>
              <w:gridCol w:w="1107"/>
              <w:gridCol w:w="33"/>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noWrap w:val="0"/>
                  <w:vAlign w:val="top"/>
                </w:tcPr>
                <w:p>
                  <w:pPr>
                    <w:pStyle w:val="20"/>
                    <w:spacing w:line="520" w:lineRule="exact"/>
                    <w:rPr>
                      <w:rFonts w:ascii="Times New Roman" w:eastAsia="宋体" w:cs="Times New Roman"/>
                      <w:sz w:val="21"/>
                      <w:szCs w:val="21"/>
                    </w:rPr>
                  </w:pPr>
                  <w:r>
                    <w:rPr>
                      <w:rFonts w:ascii="Times New Roman" w:hAnsi="宋体" w:eastAsia="宋体" w:cs="Times New Roman"/>
                      <w:sz w:val="21"/>
                      <w:szCs w:val="21"/>
                    </w:rPr>
                    <w:t>序号</w:t>
                  </w:r>
                </w:p>
              </w:tc>
              <w:tc>
                <w:tcPr>
                  <w:tcW w:w="1609" w:type="dxa"/>
                  <w:vMerge w:val="restart"/>
                  <w:noWrap w:val="0"/>
                  <w:vAlign w:val="top"/>
                </w:tcPr>
                <w:p>
                  <w:pPr>
                    <w:pStyle w:val="20"/>
                    <w:spacing w:line="520" w:lineRule="exact"/>
                    <w:rPr>
                      <w:rFonts w:ascii="Times New Roman" w:eastAsia="宋体" w:cs="Times New Roman"/>
                      <w:sz w:val="21"/>
                      <w:szCs w:val="21"/>
                    </w:rPr>
                  </w:pPr>
                  <w:r>
                    <w:rPr>
                      <w:rFonts w:ascii="Times New Roman" w:hAnsi="宋体" w:eastAsia="宋体" w:cs="Times New Roman"/>
                      <w:sz w:val="21"/>
                      <w:szCs w:val="21"/>
                    </w:rPr>
                    <w:t>污染物项目</w:t>
                  </w:r>
                </w:p>
              </w:tc>
              <w:tc>
                <w:tcPr>
                  <w:tcW w:w="1701" w:type="dxa"/>
                  <w:vMerge w:val="restart"/>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CAS</w:t>
                  </w:r>
                  <w:r>
                    <w:rPr>
                      <w:rFonts w:ascii="Times New Roman" w:hAnsi="宋体" w:eastAsia="宋体" w:cs="Times New Roman"/>
                      <w:sz w:val="21"/>
                      <w:szCs w:val="21"/>
                    </w:rPr>
                    <w:t>编号</w:t>
                  </w:r>
                </w:p>
              </w:tc>
              <w:tc>
                <w:tcPr>
                  <w:tcW w:w="2295" w:type="dxa"/>
                  <w:gridSpan w:val="2"/>
                  <w:noWrap w:val="0"/>
                  <w:vAlign w:val="top"/>
                </w:tcPr>
                <w:p>
                  <w:pPr>
                    <w:pStyle w:val="20"/>
                    <w:spacing w:line="520" w:lineRule="exact"/>
                    <w:rPr>
                      <w:rFonts w:ascii="Times New Roman" w:eastAsia="宋体" w:cs="Times New Roman"/>
                      <w:sz w:val="21"/>
                      <w:szCs w:val="21"/>
                    </w:rPr>
                  </w:pPr>
                  <w:r>
                    <w:rPr>
                      <w:rFonts w:ascii="Times New Roman" w:hAnsi="宋体" w:eastAsia="宋体" w:cs="Times New Roman"/>
                      <w:sz w:val="21"/>
                      <w:szCs w:val="21"/>
                    </w:rPr>
                    <w:t>筛选值</w:t>
                  </w:r>
                </w:p>
              </w:tc>
              <w:tc>
                <w:tcPr>
                  <w:tcW w:w="2280" w:type="dxa"/>
                  <w:gridSpan w:val="3"/>
                  <w:noWrap w:val="0"/>
                  <w:vAlign w:val="top"/>
                </w:tcPr>
                <w:p>
                  <w:pPr>
                    <w:pStyle w:val="20"/>
                    <w:spacing w:line="520" w:lineRule="exact"/>
                    <w:rPr>
                      <w:rFonts w:ascii="Times New Roman" w:eastAsia="宋体" w:cs="Times New Roman"/>
                      <w:sz w:val="21"/>
                      <w:szCs w:val="21"/>
                    </w:rPr>
                  </w:pPr>
                  <w:r>
                    <w:rPr>
                      <w:rFonts w:ascii="Times New Roman" w:hAnsi="宋体" w:eastAsia="宋体" w:cs="Times New Roman"/>
                      <w:sz w:val="21"/>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continue"/>
                  <w:noWrap w:val="0"/>
                  <w:vAlign w:val="top"/>
                </w:tcPr>
                <w:p>
                  <w:pPr>
                    <w:pStyle w:val="20"/>
                    <w:spacing w:line="520" w:lineRule="exact"/>
                    <w:jc w:val="both"/>
                    <w:rPr>
                      <w:rFonts w:ascii="Times New Roman" w:eastAsia="宋体" w:cs="Times New Roman"/>
                      <w:sz w:val="21"/>
                      <w:szCs w:val="21"/>
                    </w:rPr>
                  </w:pPr>
                </w:p>
              </w:tc>
              <w:tc>
                <w:tcPr>
                  <w:tcW w:w="1609" w:type="dxa"/>
                  <w:vMerge w:val="continue"/>
                  <w:noWrap w:val="0"/>
                  <w:vAlign w:val="top"/>
                </w:tcPr>
                <w:p>
                  <w:pPr>
                    <w:pStyle w:val="20"/>
                    <w:spacing w:line="520" w:lineRule="exact"/>
                    <w:jc w:val="both"/>
                    <w:rPr>
                      <w:rFonts w:ascii="Times New Roman" w:eastAsia="宋体" w:cs="Times New Roman"/>
                      <w:sz w:val="21"/>
                      <w:szCs w:val="21"/>
                    </w:rPr>
                  </w:pPr>
                </w:p>
              </w:tc>
              <w:tc>
                <w:tcPr>
                  <w:tcW w:w="1701" w:type="dxa"/>
                  <w:vMerge w:val="continue"/>
                  <w:noWrap w:val="0"/>
                  <w:vAlign w:val="top"/>
                </w:tcPr>
                <w:p>
                  <w:pPr>
                    <w:pStyle w:val="20"/>
                    <w:spacing w:line="520" w:lineRule="exact"/>
                    <w:jc w:val="both"/>
                    <w:rPr>
                      <w:rFonts w:ascii="Times New Roman" w:eastAsia="宋体" w:cs="Times New Roman"/>
                      <w:sz w:val="21"/>
                      <w:szCs w:val="21"/>
                    </w:rPr>
                  </w:pPr>
                </w:p>
              </w:tc>
              <w:tc>
                <w:tcPr>
                  <w:tcW w:w="1183" w:type="dxa"/>
                  <w:noWrap w:val="0"/>
                  <w:vAlign w:val="top"/>
                </w:tcPr>
                <w:p>
                  <w:pPr>
                    <w:pStyle w:val="20"/>
                    <w:spacing w:line="520" w:lineRule="exact"/>
                    <w:jc w:val="both"/>
                    <w:rPr>
                      <w:rFonts w:ascii="Times New Roman" w:eastAsia="宋体" w:cs="Times New Roman"/>
                      <w:sz w:val="21"/>
                      <w:szCs w:val="21"/>
                    </w:rPr>
                  </w:pPr>
                  <w:r>
                    <w:rPr>
                      <w:rFonts w:ascii="Times New Roman" w:hAnsi="宋体" w:eastAsia="宋体" w:cs="Times New Roman"/>
                      <w:sz w:val="21"/>
                      <w:szCs w:val="21"/>
                    </w:rPr>
                    <w:t>第一类地</w:t>
                  </w:r>
                </w:p>
              </w:tc>
              <w:tc>
                <w:tcPr>
                  <w:tcW w:w="1112" w:type="dxa"/>
                  <w:noWrap w:val="0"/>
                  <w:vAlign w:val="top"/>
                </w:tcPr>
                <w:p>
                  <w:pPr>
                    <w:pStyle w:val="20"/>
                    <w:spacing w:line="520" w:lineRule="exact"/>
                    <w:jc w:val="both"/>
                    <w:rPr>
                      <w:rFonts w:ascii="Times New Roman" w:eastAsia="宋体" w:cs="Times New Roman"/>
                      <w:sz w:val="21"/>
                      <w:szCs w:val="21"/>
                    </w:rPr>
                  </w:pPr>
                  <w:r>
                    <w:rPr>
                      <w:rFonts w:ascii="Times New Roman" w:hAnsi="宋体" w:eastAsia="宋体" w:cs="Times New Roman"/>
                      <w:sz w:val="21"/>
                      <w:szCs w:val="21"/>
                    </w:rPr>
                    <w:t>第二类地</w:t>
                  </w:r>
                </w:p>
              </w:tc>
              <w:tc>
                <w:tcPr>
                  <w:tcW w:w="1140" w:type="dxa"/>
                  <w:gridSpan w:val="2"/>
                  <w:noWrap w:val="0"/>
                  <w:vAlign w:val="top"/>
                </w:tcPr>
                <w:p>
                  <w:pPr>
                    <w:pStyle w:val="20"/>
                    <w:spacing w:line="520" w:lineRule="exact"/>
                    <w:jc w:val="both"/>
                    <w:rPr>
                      <w:rFonts w:ascii="Times New Roman" w:eastAsia="宋体" w:cs="Times New Roman"/>
                      <w:sz w:val="21"/>
                      <w:szCs w:val="21"/>
                    </w:rPr>
                  </w:pPr>
                  <w:r>
                    <w:rPr>
                      <w:rFonts w:ascii="Times New Roman" w:hAnsi="宋体" w:eastAsia="宋体" w:cs="Times New Roman"/>
                      <w:sz w:val="21"/>
                      <w:szCs w:val="21"/>
                    </w:rPr>
                    <w:t>第一类地</w:t>
                  </w:r>
                </w:p>
              </w:tc>
              <w:tc>
                <w:tcPr>
                  <w:tcW w:w="1140" w:type="dxa"/>
                  <w:noWrap w:val="0"/>
                  <w:vAlign w:val="top"/>
                </w:tcPr>
                <w:p>
                  <w:pPr>
                    <w:pStyle w:val="20"/>
                    <w:spacing w:line="520" w:lineRule="exact"/>
                    <w:jc w:val="both"/>
                    <w:rPr>
                      <w:rFonts w:ascii="Times New Roman" w:eastAsia="宋体" w:cs="Times New Roman"/>
                      <w:sz w:val="21"/>
                      <w:szCs w:val="21"/>
                    </w:rPr>
                  </w:pPr>
                  <w:r>
                    <w:rPr>
                      <w:rFonts w:ascii="Times New Roman" w:hAnsi="宋体" w:eastAsia="宋体" w:cs="Times New Roman"/>
                      <w:sz w:val="21"/>
                      <w:szCs w:val="21"/>
                    </w:rPr>
                    <w:t>第二类地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2" w:type="dxa"/>
                  <w:gridSpan w:val="8"/>
                  <w:noWrap w:val="0"/>
                  <w:vAlign w:val="top"/>
                </w:tcPr>
                <w:p>
                  <w:pPr>
                    <w:pStyle w:val="20"/>
                    <w:spacing w:line="520" w:lineRule="exact"/>
                    <w:rPr>
                      <w:rFonts w:ascii="Times New Roman" w:eastAsia="宋体" w:cs="Times New Roman"/>
                      <w:sz w:val="21"/>
                      <w:szCs w:val="21"/>
                    </w:rPr>
                  </w:pPr>
                  <w:r>
                    <w:rPr>
                      <w:rFonts w:ascii="Times New Roman" w:hAnsi="宋体" w:eastAsia="宋体" w:cs="Times New Roman"/>
                      <w:sz w:val="21"/>
                      <w:szCs w:val="21"/>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w:t>
                  </w:r>
                </w:p>
              </w:tc>
              <w:tc>
                <w:tcPr>
                  <w:tcW w:w="1609" w:type="dxa"/>
                  <w:noWrap w:val="0"/>
                  <w:vAlign w:val="top"/>
                </w:tcPr>
                <w:p>
                  <w:pPr>
                    <w:pStyle w:val="20"/>
                    <w:spacing w:line="520" w:lineRule="exact"/>
                    <w:rPr>
                      <w:rFonts w:ascii="Times New Roman" w:eastAsia="宋体" w:cs="Times New Roman"/>
                      <w:sz w:val="21"/>
                      <w:szCs w:val="21"/>
                    </w:rPr>
                  </w:pPr>
                  <w:r>
                    <w:rPr>
                      <w:rFonts w:ascii="Times New Roman" w:hAnsi="宋体" w:eastAsia="宋体" w:cs="Times New Roman"/>
                      <w:sz w:val="21"/>
                      <w:szCs w:val="21"/>
                    </w:rPr>
                    <w:t>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7440-38-2</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120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镉</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7440-43-9</w:t>
                  </w:r>
                </w:p>
              </w:tc>
              <w:tc>
                <w:tcPr>
                  <w:tcW w:w="1183" w:type="dxa"/>
                  <w:noWrap w:val="0"/>
                  <w:vAlign w:val="top"/>
                </w:tcPr>
                <w:p>
                  <w:pPr>
                    <w:pStyle w:val="20"/>
                    <w:spacing w:line="520" w:lineRule="exact"/>
                    <w:rPr>
                      <w:rFonts w:ascii="Times New Roman" w:eastAsia="宋体" w:cs="Times New Roman"/>
                      <w:sz w:val="21"/>
                      <w:szCs w:val="21"/>
                    </w:rPr>
                  </w:pPr>
                  <w:r>
                    <w:rPr>
                      <w:rFonts w:hint="eastAsia" w:ascii="Times New Roman" w:eastAsia="宋体" w:cs="Times New Roman"/>
                      <w:sz w:val="21"/>
                      <w:szCs w:val="21"/>
                      <w:lang w:val="en-US" w:eastAsia="zh-CN"/>
                    </w:rPr>
                    <w:t>2</w:t>
                  </w:r>
                  <w:r>
                    <w:rPr>
                      <w:rFonts w:ascii="Times New Roman" w:eastAsia="宋体" w:cs="Times New Roman"/>
                      <w:sz w:val="21"/>
                      <w:szCs w:val="21"/>
                    </w:rPr>
                    <w:t>0</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65</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47</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铬（六价）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28540-29-9</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3.0</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5.7</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铜</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7440-50-8</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2000</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18000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8000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铅</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7439-92-1</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400</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800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800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汞</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7439-97-6</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8</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38</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33</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w:t>
                  </w:r>
                </w:p>
              </w:tc>
              <w:tc>
                <w:tcPr>
                  <w:tcW w:w="1609" w:type="dxa"/>
                  <w:noWrap w:val="0"/>
                  <w:vAlign w:val="top"/>
                </w:tcPr>
                <w:p>
                  <w:pPr>
                    <w:pStyle w:val="20"/>
                    <w:spacing w:line="520" w:lineRule="exact"/>
                    <w:rPr>
                      <w:rFonts w:ascii="Times New Roman" w:eastAsia="宋体" w:cs="Times New Roman"/>
                      <w:sz w:val="21"/>
                      <w:szCs w:val="21"/>
                    </w:rPr>
                  </w:pPr>
                  <w:r>
                    <w:rPr>
                      <w:rFonts w:ascii="Times New Roman" w:hAnsi="宋体" w:eastAsia="宋体" w:cs="Times New Roman"/>
                      <w:sz w:val="21"/>
                      <w:szCs w:val="21"/>
                    </w:rPr>
                    <w:t>镍</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7440-02-0</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150</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900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600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2" w:type="dxa"/>
                  <w:gridSpan w:val="8"/>
                  <w:noWrap w:val="0"/>
                  <w:vAlign w:val="top"/>
                </w:tcPr>
                <w:p>
                  <w:pPr>
                    <w:pStyle w:val="20"/>
                    <w:spacing w:line="520" w:lineRule="exact"/>
                    <w:rPr>
                      <w:rFonts w:ascii="Times New Roman" w:eastAsia="宋体" w:cs="Times New Roman"/>
                      <w:sz w:val="21"/>
                      <w:szCs w:val="21"/>
                    </w:rPr>
                  </w:pPr>
                  <w:r>
                    <w:rPr>
                      <w:rFonts w:ascii="Times New Roman" w:hAnsi="宋体" w:eastAsia="宋体" w:cs="Times New Roman"/>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8</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四氯化碳</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56-23-5</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0.9</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2.8</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氯仿</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67-66-3</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0.3</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0.9</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氯甲烷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74-87-3</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12</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37</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21</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11</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1,1-</w:t>
                  </w:r>
                  <w:r>
                    <w:rPr>
                      <w:rFonts w:ascii="Times New Roman" w:hAnsi="宋体"/>
                      <w:color w:val="000000"/>
                      <w:sz w:val="21"/>
                      <w:szCs w:val="21"/>
                    </w:rPr>
                    <w:t>二氯乙烷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75-34-3</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12</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1,2-</w:t>
                  </w:r>
                  <w:r>
                    <w:rPr>
                      <w:rFonts w:ascii="Times New Roman" w:hAnsi="宋体"/>
                      <w:color w:val="000000"/>
                      <w:sz w:val="21"/>
                      <w:szCs w:val="21"/>
                    </w:rPr>
                    <w:t>二氯乙烷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107-06-2</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0.52</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13</w:t>
                  </w:r>
                </w:p>
              </w:tc>
              <w:tc>
                <w:tcPr>
                  <w:tcW w:w="1609" w:type="dxa"/>
                  <w:noWrap w:val="0"/>
                  <w:vAlign w:val="top"/>
                </w:tcPr>
                <w:p>
                  <w:pPr>
                    <w:widowControl w:val="0"/>
                    <w:autoSpaceDE w:val="0"/>
                    <w:autoSpaceDN w:val="0"/>
                    <w:adjustRightInd w:val="0"/>
                    <w:spacing w:line="520" w:lineRule="exact"/>
                    <w:rPr>
                      <w:rFonts w:ascii="Times New Roman" w:hAnsi="Times New Roman"/>
                      <w:color w:val="000000"/>
                      <w:sz w:val="21"/>
                      <w:szCs w:val="21"/>
                    </w:rPr>
                  </w:pPr>
                  <w:r>
                    <w:rPr>
                      <w:rFonts w:ascii="Times New Roman" w:hAnsi="Times New Roman"/>
                      <w:color w:val="000000"/>
                      <w:sz w:val="21"/>
                      <w:szCs w:val="21"/>
                    </w:rPr>
                    <w:t>1,1-</w:t>
                  </w:r>
                  <w:r>
                    <w:rPr>
                      <w:rFonts w:ascii="Times New Roman" w:hAnsi="宋体"/>
                      <w:color w:val="000000"/>
                      <w:sz w:val="21"/>
                      <w:szCs w:val="21"/>
                    </w:rPr>
                    <w:t>二氯乙烯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75-35-4</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12</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66</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14</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顺</w:t>
                  </w:r>
                  <w:r>
                    <w:rPr>
                      <w:rFonts w:ascii="Times New Roman" w:hAnsi="Times New Roman"/>
                      <w:color w:val="000000"/>
                      <w:sz w:val="21"/>
                      <w:szCs w:val="21"/>
                    </w:rPr>
                    <w:t>1,2-</w:t>
                  </w:r>
                  <w:r>
                    <w:rPr>
                      <w:rFonts w:ascii="Times New Roman" w:hAnsi="宋体"/>
                      <w:color w:val="000000"/>
                      <w:sz w:val="21"/>
                      <w:szCs w:val="21"/>
                    </w:rPr>
                    <w:t>二氯乙烯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156-59-2</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66</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596</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反</w:t>
                  </w:r>
                  <w:r>
                    <w:rPr>
                      <w:rFonts w:ascii="Times New Roman" w:hAnsi="Times New Roman"/>
                      <w:color w:val="000000"/>
                      <w:sz w:val="21"/>
                      <w:szCs w:val="21"/>
                    </w:rPr>
                    <w:t>1,2-</w:t>
                  </w:r>
                  <w:r>
                    <w:rPr>
                      <w:rFonts w:ascii="Times New Roman" w:hAnsi="宋体"/>
                      <w:color w:val="000000"/>
                      <w:sz w:val="21"/>
                      <w:szCs w:val="21"/>
                    </w:rPr>
                    <w:t>二氯乙烯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156-60-5</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54</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31</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16</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二氯甲烷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75-09-2</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94</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616</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300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17</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1,2-</w:t>
                  </w:r>
                  <w:r>
                    <w:rPr>
                      <w:rFonts w:ascii="Times New Roman" w:hAnsi="宋体"/>
                      <w:color w:val="000000"/>
                      <w:sz w:val="21"/>
                      <w:szCs w:val="21"/>
                    </w:rPr>
                    <w:t>二氯丙烷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78-87-5</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18</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1,1,1-2</w:t>
                  </w:r>
                  <w:r>
                    <w:rPr>
                      <w:rFonts w:ascii="Times New Roman" w:hAnsi="宋体"/>
                      <w:color w:val="000000"/>
                      <w:sz w:val="21"/>
                      <w:szCs w:val="21"/>
                    </w:rPr>
                    <w:t>四氯乙烷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630-20-6</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2.6</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26</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19</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1,1,2-2</w:t>
                  </w:r>
                  <w:r>
                    <w:rPr>
                      <w:rFonts w:ascii="Times New Roman" w:hAnsi="宋体"/>
                      <w:color w:val="000000"/>
                      <w:sz w:val="21"/>
                      <w:szCs w:val="21"/>
                    </w:rPr>
                    <w:t>四氯乙烷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79-34-5</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1.6</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6.8</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14</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四氯乙烯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127-18-4</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11</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53</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34</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21</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1,1,1-</w:t>
                  </w:r>
                  <w:r>
                    <w:rPr>
                      <w:rFonts w:ascii="Times New Roman" w:hAnsi="宋体"/>
                      <w:color w:val="000000"/>
                      <w:sz w:val="21"/>
                      <w:szCs w:val="21"/>
                    </w:rPr>
                    <w:t>三氯乙烷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71-55-6</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701</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840</w:t>
                  </w:r>
                </w:p>
              </w:tc>
              <w:tc>
                <w:tcPr>
                  <w:tcW w:w="1107" w:type="dxa"/>
                  <w:noWrap w:val="0"/>
                  <w:vAlign w:val="top"/>
                </w:tcPr>
                <w:p>
                  <w:pPr>
                    <w:widowControl w:val="0"/>
                    <w:jc w:val="both"/>
                    <w:rPr>
                      <w:rFonts w:ascii="Times New Roman" w:hAnsi="Times New Roman"/>
                      <w:sz w:val="21"/>
                      <w:szCs w:val="21"/>
                    </w:rPr>
                  </w:pPr>
                  <w:r>
                    <w:rPr>
                      <w:rFonts w:ascii="Times New Roman" w:hAnsi="Times New Roman"/>
                      <w:sz w:val="21"/>
                      <w:szCs w:val="21"/>
                    </w:rPr>
                    <w:t>840</w:t>
                  </w:r>
                </w:p>
              </w:tc>
              <w:tc>
                <w:tcPr>
                  <w:tcW w:w="1173" w:type="dxa"/>
                  <w:gridSpan w:val="2"/>
                  <w:noWrap w:val="0"/>
                  <w:vAlign w:val="top"/>
                </w:tcPr>
                <w:p>
                  <w:pPr>
                    <w:widowControl w:val="0"/>
                    <w:jc w:val="both"/>
                    <w:rPr>
                      <w:rFonts w:ascii="Times New Roman" w:hAnsi="Times New Roman"/>
                      <w:sz w:val="21"/>
                      <w:szCs w:val="21"/>
                    </w:rPr>
                  </w:pPr>
                  <w:r>
                    <w:rPr>
                      <w:rFonts w:ascii="Times New Roman" w:hAnsi="Times New Roman"/>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22</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1,1,2-</w:t>
                  </w:r>
                  <w:r>
                    <w:rPr>
                      <w:rFonts w:ascii="Times New Roman" w:hAnsi="宋体"/>
                      <w:color w:val="000000"/>
                      <w:sz w:val="21"/>
                      <w:szCs w:val="21"/>
                    </w:rPr>
                    <w:t>三氯乙烷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79-00-5</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0.6</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2.8</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23</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三氯乙烯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79-01-6</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0.7</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2.8</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24</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1,2,3-</w:t>
                  </w:r>
                  <w:r>
                    <w:rPr>
                      <w:rFonts w:ascii="Times New Roman" w:hAnsi="宋体"/>
                      <w:color w:val="000000"/>
                      <w:sz w:val="21"/>
                      <w:szCs w:val="21"/>
                    </w:rPr>
                    <w:t>三氯丙烷</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96-18-4</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0.05</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0.5</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0.5</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25</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氯乙烯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75-01-4</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0.12</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0.43</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1.2</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26</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71-43-2</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27</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氯苯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108-90-7</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68</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270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28</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1,2-</w:t>
                  </w:r>
                  <w:r>
                    <w:rPr>
                      <w:rFonts w:ascii="Times New Roman" w:hAnsi="宋体"/>
                      <w:color w:val="000000"/>
                      <w:sz w:val="21"/>
                      <w:szCs w:val="21"/>
                    </w:rPr>
                    <w:t>二氯苯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95-50-1</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560</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560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560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29</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1,4-</w:t>
                  </w:r>
                  <w:r>
                    <w:rPr>
                      <w:rFonts w:ascii="Times New Roman" w:hAnsi="宋体"/>
                      <w:color w:val="000000"/>
                      <w:sz w:val="21"/>
                      <w:szCs w:val="21"/>
                    </w:rPr>
                    <w:t>二氯苯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106-46-7</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5.6</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56</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30</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乙苯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100-41-4</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7.2</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28</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72</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31</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苯乙烯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100-42-5</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1290</w:t>
                  </w:r>
                </w:p>
              </w:tc>
              <w:tc>
                <w:tcPr>
                  <w:tcW w:w="1112" w:type="dxa"/>
                  <w:noWrap w:val="0"/>
                  <w:vAlign w:val="top"/>
                </w:tcPr>
                <w:p>
                  <w:pPr>
                    <w:widowControl w:val="0"/>
                    <w:jc w:val="both"/>
                    <w:rPr>
                      <w:rFonts w:ascii="Times New Roman" w:hAnsi="Times New Roman"/>
                      <w:sz w:val="21"/>
                      <w:szCs w:val="21"/>
                    </w:rPr>
                  </w:pPr>
                  <w:r>
                    <w:rPr>
                      <w:rFonts w:ascii="Times New Roman" w:hAnsi="Times New Roman"/>
                      <w:sz w:val="21"/>
                      <w:szCs w:val="21"/>
                    </w:rPr>
                    <w:t>1290</w:t>
                  </w:r>
                </w:p>
              </w:tc>
              <w:tc>
                <w:tcPr>
                  <w:tcW w:w="1107" w:type="dxa"/>
                  <w:noWrap w:val="0"/>
                  <w:vAlign w:val="top"/>
                </w:tcPr>
                <w:p>
                  <w:pPr>
                    <w:widowControl w:val="0"/>
                    <w:jc w:val="both"/>
                    <w:rPr>
                      <w:rFonts w:ascii="Times New Roman" w:hAnsi="Times New Roman"/>
                      <w:sz w:val="21"/>
                      <w:szCs w:val="21"/>
                    </w:rPr>
                  </w:pPr>
                  <w:r>
                    <w:rPr>
                      <w:rFonts w:ascii="Times New Roman" w:hAnsi="Times New Roman"/>
                      <w:sz w:val="21"/>
                      <w:szCs w:val="21"/>
                    </w:rPr>
                    <w:t>1290</w:t>
                  </w:r>
                </w:p>
              </w:tc>
              <w:tc>
                <w:tcPr>
                  <w:tcW w:w="1173" w:type="dxa"/>
                  <w:gridSpan w:val="2"/>
                  <w:noWrap w:val="0"/>
                  <w:vAlign w:val="top"/>
                </w:tcPr>
                <w:p>
                  <w:pPr>
                    <w:widowControl w:val="0"/>
                    <w:jc w:val="both"/>
                    <w:rPr>
                      <w:rFonts w:ascii="Times New Roman" w:hAnsi="Times New Roman"/>
                      <w:sz w:val="21"/>
                      <w:szCs w:val="21"/>
                    </w:rPr>
                  </w:pPr>
                  <w:r>
                    <w:rPr>
                      <w:rFonts w:ascii="Times New Roman" w:hAnsi="Times New Roman"/>
                      <w:sz w:val="21"/>
                      <w:szCs w:val="21"/>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32</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甲苯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108-88-3</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1200</w:t>
                  </w:r>
                </w:p>
              </w:tc>
              <w:tc>
                <w:tcPr>
                  <w:tcW w:w="1112" w:type="dxa"/>
                  <w:noWrap w:val="0"/>
                  <w:vAlign w:val="top"/>
                </w:tcPr>
                <w:p>
                  <w:pPr>
                    <w:widowControl w:val="0"/>
                    <w:jc w:val="both"/>
                    <w:rPr>
                      <w:rFonts w:ascii="Times New Roman" w:hAnsi="Times New Roman"/>
                      <w:sz w:val="21"/>
                      <w:szCs w:val="21"/>
                    </w:rPr>
                  </w:pPr>
                  <w:r>
                    <w:rPr>
                      <w:rFonts w:ascii="Times New Roman" w:hAnsi="Times New Roman"/>
                      <w:sz w:val="21"/>
                      <w:szCs w:val="21"/>
                    </w:rPr>
                    <w:t>1200</w:t>
                  </w:r>
                </w:p>
              </w:tc>
              <w:tc>
                <w:tcPr>
                  <w:tcW w:w="1107" w:type="dxa"/>
                  <w:noWrap w:val="0"/>
                  <w:vAlign w:val="top"/>
                </w:tcPr>
                <w:p>
                  <w:pPr>
                    <w:widowControl w:val="0"/>
                    <w:jc w:val="both"/>
                    <w:rPr>
                      <w:rFonts w:ascii="Times New Roman" w:hAnsi="Times New Roman"/>
                      <w:sz w:val="21"/>
                      <w:szCs w:val="21"/>
                    </w:rPr>
                  </w:pPr>
                  <w:r>
                    <w:rPr>
                      <w:rFonts w:ascii="Times New Roman" w:hAnsi="Times New Roman"/>
                      <w:sz w:val="21"/>
                      <w:szCs w:val="21"/>
                    </w:rPr>
                    <w:t>1200</w:t>
                  </w:r>
                </w:p>
              </w:tc>
              <w:tc>
                <w:tcPr>
                  <w:tcW w:w="1173" w:type="dxa"/>
                  <w:gridSpan w:val="2"/>
                  <w:noWrap w:val="0"/>
                  <w:vAlign w:val="top"/>
                </w:tcPr>
                <w:p>
                  <w:pPr>
                    <w:widowControl w:val="0"/>
                    <w:jc w:val="both"/>
                    <w:rPr>
                      <w:rFonts w:ascii="Times New Roman" w:hAnsi="Times New Roman"/>
                      <w:sz w:val="21"/>
                      <w:szCs w:val="21"/>
                    </w:rPr>
                  </w:pPr>
                  <w:r>
                    <w:rPr>
                      <w:rFonts w:ascii="Times New Roman" w:hAnsi="Times New Roman"/>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33</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间二甲苯</w:t>
                  </w:r>
                  <w:r>
                    <w:rPr>
                      <w:rFonts w:ascii="Times New Roman" w:hAnsi="Times New Roman"/>
                      <w:color w:val="000000"/>
                      <w:sz w:val="21"/>
                      <w:szCs w:val="21"/>
                    </w:rPr>
                    <w:t>+</w:t>
                  </w:r>
                  <w:r>
                    <w:rPr>
                      <w:rFonts w:ascii="Times New Roman" w:hAnsi="宋体"/>
                      <w:color w:val="000000"/>
                      <w:sz w:val="21"/>
                      <w:szCs w:val="21"/>
                    </w:rPr>
                    <w:t>对二甲苯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108-38-3</w:t>
                  </w:r>
                  <w:r>
                    <w:rPr>
                      <w:rFonts w:ascii="Times New Roman" w:hAnsi="宋体" w:eastAsia="宋体" w:cs="Times New Roman"/>
                      <w:sz w:val="21"/>
                      <w:szCs w:val="21"/>
                    </w:rPr>
                    <w:t>，</w:t>
                  </w:r>
                  <w:r>
                    <w:rPr>
                      <w:rFonts w:ascii="Times New Roman" w:eastAsia="宋体" w:cs="Times New Roman"/>
                      <w:sz w:val="21"/>
                      <w:szCs w:val="21"/>
                    </w:rPr>
                    <w:t>106-42-3</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163</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570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500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34</w:t>
                  </w:r>
                </w:p>
              </w:tc>
              <w:tc>
                <w:tcPr>
                  <w:tcW w:w="1609" w:type="dxa"/>
                  <w:noWrap w:val="0"/>
                  <w:vAlign w:val="top"/>
                </w:tcPr>
                <w:p>
                  <w:pPr>
                    <w:pStyle w:val="20"/>
                    <w:spacing w:line="520" w:lineRule="exact"/>
                    <w:rPr>
                      <w:rFonts w:ascii="Times New Roman" w:eastAsia="宋体" w:cs="Times New Roman"/>
                      <w:sz w:val="21"/>
                      <w:szCs w:val="21"/>
                    </w:rPr>
                  </w:pPr>
                  <w:r>
                    <w:rPr>
                      <w:rFonts w:ascii="Times New Roman" w:hAnsi="宋体" w:eastAsia="宋体" w:cs="Times New Roman"/>
                      <w:sz w:val="21"/>
                      <w:szCs w:val="21"/>
                    </w:rPr>
                    <w:t>邻二甲苯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95-47-6</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222</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640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640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2" w:type="dxa"/>
                  <w:gridSpan w:val="8"/>
                  <w:noWrap w:val="0"/>
                  <w:vAlign w:val="top"/>
                </w:tcPr>
                <w:p>
                  <w:pPr>
                    <w:pStyle w:val="20"/>
                    <w:spacing w:line="520" w:lineRule="exact"/>
                    <w:rPr>
                      <w:rFonts w:ascii="Times New Roman" w:eastAsia="宋体" w:cs="Times New Roman"/>
                      <w:sz w:val="21"/>
                      <w:szCs w:val="21"/>
                    </w:rPr>
                  </w:pPr>
                  <w:r>
                    <w:rPr>
                      <w:rFonts w:ascii="Times New Roman" w:hAnsi="宋体" w:eastAsia="宋体" w:cs="Times New Roman"/>
                      <w:sz w:val="21"/>
                      <w:szCs w:val="21"/>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35</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硝基苯</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98-95-3</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34</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76</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190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36</w:t>
                  </w:r>
                </w:p>
              </w:tc>
              <w:tc>
                <w:tcPr>
                  <w:tcW w:w="1609" w:type="dxa"/>
                  <w:noWrap w:val="0"/>
                  <w:vAlign w:val="top"/>
                </w:tcPr>
                <w:p>
                  <w:pPr>
                    <w:widowControl w:val="0"/>
                    <w:autoSpaceDE w:val="0"/>
                    <w:autoSpaceDN w:val="0"/>
                    <w:adjustRightInd w:val="0"/>
                    <w:spacing w:line="520" w:lineRule="exact"/>
                    <w:rPr>
                      <w:rFonts w:ascii="Times New Roman" w:hAnsi="Times New Roman"/>
                      <w:color w:val="000000"/>
                      <w:sz w:val="21"/>
                      <w:szCs w:val="21"/>
                    </w:rPr>
                  </w:pPr>
                  <w:r>
                    <w:rPr>
                      <w:rFonts w:ascii="Times New Roman" w:hAnsi="宋体"/>
                      <w:color w:val="000000"/>
                      <w:sz w:val="21"/>
                      <w:szCs w:val="21"/>
                    </w:rPr>
                    <w:t>苯胺</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62-53-3</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92</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260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211</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37</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Times New Roman"/>
                      <w:color w:val="000000"/>
                      <w:sz w:val="21"/>
                      <w:szCs w:val="21"/>
                    </w:rPr>
                    <w:t>2-</w:t>
                  </w:r>
                  <w:r>
                    <w:rPr>
                      <w:rFonts w:ascii="Times New Roman" w:hAnsi="宋体"/>
                      <w:color w:val="000000"/>
                      <w:sz w:val="21"/>
                      <w:szCs w:val="21"/>
                    </w:rPr>
                    <w:t>氯酚</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95-57-8</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250</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2256</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500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38</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苯并</w:t>
                  </w:r>
                  <w:r>
                    <w:rPr>
                      <w:rFonts w:ascii="Times New Roman" w:hAnsi="Times New Roman"/>
                      <w:color w:val="000000"/>
                      <w:sz w:val="21"/>
                      <w:szCs w:val="21"/>
                    </w:rPr>
                    <w:t>[α]</w:t>
                  </w:r>
                  <w:r>
                    <w:rPr>
                      <w:rFonts w:ascii="Times New Roman" w:hAnsi="宋体"/>
                      <w:color w:val="000000"/>
                      <w:sz w:val="21"/>
                      <w:szCs w:val="21"/>
                    </w:rPr>
                    <w:t>蒽</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56-55-3</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5.5</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55</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39</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苯并</w:t>
                  </w:r>
                  <w:r>
                    <w:rPr>
                      <w:rFonts w:ascii="Times New Roman" w:hAnsi="Times New Roman"/>
                      <w:color w:val="000000"/>
                      <w:sz w:val="21"/>
                      <w:szCs w:val="21"/>
                    </w:rPr>
                    <w:t>[α]</w:t>
                  </w:r>
                  <w:r>
                    <w:rPr>
                      <w:rFonts w:ascii="Times New Roman" w:hAnsi="宋体"/>
                      <w:color w:val="000000"/>
                      <w:sz w:val="21"/>
                      <w:szCs w:val="21"/>
                    </w:rPr>
                    <w:t>芘</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50-32-8</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0.55</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5.5</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40</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苯并</w:t>
                  </w:r>
                  <w:r>
                    <w:rPr>
                      <w:rFonts w:ascii="Times New Roman" w:hAnsi="Times New Roman"/>
                      <w:color w:val="000000"/>
                      <w:sz w:val="21"/>
                      <w:szCs w:val="21"/>
                    </w:rPr>
                    <w:t>[b]</w:t>
                  </w:r>
                  <w:r>
                    <w:rPr>
                      <w:rFonts w:ascii="Times New Roman" w:hAnsi="宋体"/>
                      <w:color w:val="000000"/>
                      <w:sz w:val="21"/>
                      <w:szCs w:val="21"/>
                    </w:rPr>
                    <w:t>荧蒽</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205-99-2</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5.5</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55</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41</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苯并</w:t>
                  </w:r>
                  <w:r>
                    <w:rPr>
                      <w:rFonts w:ascii="Times New Roman" w:hAnsi="Times New Roman"/>
                      <w:color w:val="000000"/>
                      <w:sz w:val="21"/>
                      <w:szCs w:val="21"/>
                    </w:rPr>
                    <w:t>[k]</w:t>
                  </w:r>
                  <w:r>
                    <w:rPr>
                      <w:rFonts w:ascii="Times New Roman" w:hAnsi="宋体"/>
                      <w:color w:val="000000"/>
                      <w:sz w:val="21"/>
                      <w:szCs w:val="21"/>
                    </w:rPr>
                    <w:t>荧蒽</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207-08-9</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55</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151</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550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42</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䓛</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218-01-9</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490</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1293</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4900</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43</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二苯并</w:t>
                  </w:r>
                  <w:r>
                    <w:rPr>
                      <w:rFonts w:ascii="Times New Roman" w:hAnsi="Times New Roman"/>
                      <w:color w:val="000000"/>
                      <w:sz w:val="21"/>
                      <w:szCs w:val="21"/>
                    </w:rPr>
                    <w:t>[α</w:t>
                  </w:r>
                  <w:r>
                    <w:rPr>
                      <w:rFonts w:ascii="Times New Roman" w:hAnsi="宋体"/>
                      <w:color w:val="000000"/>
                      <w:sz w:val="21"/>
                      <w:szCs w:val="21"/>
                    </w:rPr>
                    <w:t>，</w:t>
                  </w:r>
                  <w:r>
                    <w:rPr>
                      <w:rFonts w:ascii="Times New Roman" w:hAnsi="Times New Roman"/>
                      <w:color w:val="000000"/>
                      <w:sz w:val="21"/>
                      <w:szCs w:val="21"/>
                    </w:rPr>
                    <w:t>h]</w:t>
                  </w:r>
                  <w:r>
                    <w:rPr>
                      <w:rFonts w:ascii="Times New Roman" w:hAnsi="宋体"/>
                      <w:color w:val="000000"/>
                      <w:sz w:val="21"/>
                      <w:szCs w:val="21"/>
                    </w:rPr>
                    <w:t>蒽</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53-70-3</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0.55</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5.5</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44</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茚并</w:t>
                  </w:r>
                  <w:r>
                    <w:rPr>
                      <w:rFonts w:ascii="Times New Roman" w:hAnsi="Times New Roman"/>
                      <w:color w:val="000000"/>
                      <w:sz w:val="21"/>
                      <w:szCs w:val="21"/>
                    </w:rPr>
                    <w:t>[1,2,3-cd]</w:t>
                  </w:r>
                  <w:r>
                    <w:rPr>
                      <w:rFonts w:ascii="Times New Roman" w:hAnsi="宋体"/>
                      <w:color w:val="000000"/>
                      <w:sz w:val="21"/>
                      <w:szCs w:val="21"/>
                    </w:rPr>
                    <w:t>芘</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193-39-5</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5.5</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55</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45</w:t>
                  </w:r>
                </w:p>
              </w:tc>
              <w:tc>
                <w:tcPr>
                  <w:tcW w:w="1609" w:type="dxa"/>
                  <w:noWrap w:val="0"/>
                  <w:vAlign w:val="top"/>
                </w:tcPr>
                <w:p>
                  <w:pPr>
                    <w:widowControl w:val="0"/>
                    <w:autoSpaceDE w:val="0"/>
                    <w:autoSpaceDN w:val="0"/>
                    <w:adjustRightInd w:val="0"/>
                    <w:spacing w:line="520" w:lineRule="exact"/>
                    <w:rPr>
                      <w:rFonts w:ascii="Times New Roman" w:hAnsi="Times New Roman"/>
                      <w:sz w:val="21"/>
                      <w:szCs w:val="21"/>
                    </w:rPr>
                  </w:pPr>
                  <w:r>
                    <w:rPr>
                      <w:rFonts w:ascii="Times New Roman" w:hAnsi="宋体"/>
                      <w:color w:val="000000"/>
                      <w:sz w:val="21"/>
                      <w:szCs w:val="21"/>
                    </w:rPr>
                    <w:t>萘</w:t>
                  </w:r>
                </w:p>
              </w:tc>
              <w:tc>
                <w:tcPr>
                  <w:tcW w:w="1701"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91-20-3</w:t>
                  </w:r>
                </w:p>
              </w:tc>
              <w:tc>
                <w:tcPr>
                  <w:tcW w:w="1183"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25</w:t>
                  </w:r>
                </w:p>
              </w:tc>
              <w:tc>
                <w:tcPr>
                  <w:tcW w:w="1112"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70</w:t>
                  </w:r>
                </w:p>
              </w:tc>
              <w:tc>
                <w:tcPr>
                  <w:tcW w:w="1107" w:type="dxa"/>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255</w:t>
                  </w:r>
                </w:p>
              </w:tc>
              <w:tc>
                <w:tcPr>
                  <w:tcW w:w="1173" w:type="dxa"/>
                  <w:gridSpan w:val="2"/>
                  <w:noWrap w:val="0"/>
                  <w:vAlign w:val="top"/>
                </w:tcPr>
                <w:p>
                  <w:pPr>
                    <w:pStyle w:val="20"/>
                    <w:spacing w:line="520" w:lineRule="exact"/>
                    <w:rPr>
                      <w:rFonts w:ascii="Times New Roman" w:eastAsia="宋体" w:cs="Times New Roman"/>
                      <w:sz w:val="21"/>
                      <w:szCs w:val="21"/>
                    </w:rPr>
                  </w:pPr>
                  <w:r>
                    <w:rPr>
                      <w:rFonts w:ascii="Times New Roman" w:eastAsia="宋体" w:cs="Times New Roman"/>
                      <w:sz w:val="21"/>
                      <w:szCs w:val="21"/>
                    </w:rPr>
                    <w:t>700</w:t>
                  </w:r>
                </w:p>
              </w:tc>
            </w:tr>
          </w:tbl>
          <w:p>
            <w:pPr>
              <w:rPr>
                <w:rFonts w:hint="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457" w:type="dxa"/>
            <w:noWrap w:val="0"/>
            <w:vAlign w:val="center"/>
          </w:tcPr>
          <w:p>
            <w:pPr>
              <w:spacing w:before="156" w:beforeLines="50" w:line="400" w:lineRule="exact"/>
              <w:jc w:val="center"/>
              <w:rPr>
                <w:sz w:val="24"/>
              </w:rPr>
            </w:pPr>
            <w:r>
              <w:rPr>
                <w:sz w:val="24"/>
              </w:rPr>
              <w:t>污</w:t>
            </w:r>
          </w:p>
          <w:p>
            <w:pPr>
              <w:spacing w:before="156" w:beforeLines="50" w:line="400" w:lineRule="exact"/>
              <w:jc w:val="center"/>
              <w:rPr>
                <w:sz w:val="24"/>
              </w:rPr>
            </w:pPr>
            <w:r>
              <w:rPr>
                <w:sz w:val="24"/>
              </w:rPr>
              <w:t>染</w:t>
            </w:r>
          </w:p>
          <w:p>
            <w:pPr>
              <w:spacing w:before="156" w:beforeLines="50" w:line="400" w:lineRule="exact"/>
              <w:jc w:val="center"/>
              <w:rPr>
                <w:sz w:val="24"/>
              </w:rPr>
            </w:pPr>
            <w:r>
              <w:rPr>
                <w:sz w:val="24"/>
              </w:rPr>
              <w:t>物</w:t>
            </w:r>
          </w:p>
          <w:p>
            <w:pPr>
              <w:spacing w:before="156" w:beforeLines="50" w:line="400" w:lineRule="exact"/>
              <w:jc w:val="center"/>
              <w:rPr>
                <w:sz w:val="24"/>
              </w:rPr>
            </w:pPr>
            <w:r>
              <w:rPr>
                <w:sz w:val="24"/>
              </w:rPr>
              <w:t>排</w:t>
            </w:r>
          </w:p>
          <w:p>
            <w:pPr>
              <w:spacing w:before="156" w:beforeLines="50" w:line="400" w:lineRule="exact"/>
              <w:jc w:val="center"/>
              <w:rPr>
                <w:sz w:val="24"/>
              </w:rPr>
            </w:pPr>
            <w:r>
              <w:rPr>
                <w:sz w:val="24"/>
              </w:rPr>
              <w:t>放</w:t>
            </w:r>
          </w:p>
          <w:p>
            <w:pPr>
              <w:spacing w:before="156" w:beforeLines="50" w:line="400" w:lineRule="exact"/>
              <w:jc w:val="center"/>
              <w:rPr>
                <w:sz w:val="24"/>
              </w:rPr>
            </w:pPr>
            <w:r>
              <w:rPr>
                <w:sz w:val="24"/>
              </w:rPr>
              <w:t>标</w:t>
            </w:r>
          </w:p>
          <w:p>
            <w:pPr>
              <w:spacing w:before="156" w:beforeLines="50" w:line="400" w:lineRule="exact"/>
              <w:jc w:val="center"/>
              <w:rPr>
                <w:sz w:val="24"/>
              </w:rPr>
            </w:pPr>
            <w:r>
              <w:rPr>
                <w:sz w:val="24"/>
              </w:rPr>
              <w:t>准</w:t>
            </w:r>
          </w:p>
        </w:tc>
        <w:tc>
          <w:tcPr>
            <w:tcW w:w="8829" w:type="dxa"/>
            <w:noWrap w:val="0"/>
            <w:vAlign w:val="center"/>
          </w:tcPr>
          <w:p>
            <w:pPr>
              <w:snapToGrid w:val="0"/>
              <w:spacing w:before="156" w:beforeLines="50" w:line="440" w:lineRule="exact"/>
              <w:rPr>
                <w:rFonts w:hint="eastAsia"/>
                <w:b/>
                <w:bCs/>
                <w:sz w:val="24"/>
              </w:rPr>
            </w:pPr>
            <w:r>
              <w:rPr>
                <w:rFonts w:hint="eastAsia"/>
                <w:b/>
                <w:bCs/>
                <w:sz w:val="24"/>
              </w:rPr>
              <w:t>1、噪声</w:t>
            </w:r>
          </w:p>
          <w:p>
            <w:pPr>
              <w:snapToGrid w:val="0"/>
              <w:spacing w:line="440" w:lineRule="exact"/>
              <w:ind w:firstLine="480" w:firstLineChars="200"/>
              <w:rPr>
                <w:rFonts w:hint="eastAsia"/>
                <w:bCs/>
                <w:sz w:val="24"/>
              </w:rPr>
            </w:pPr>
            <w:r>
              <w:rPr>
                <w:rFonts w:hint="eastAsia"/>
                <w:bCs/>
                <w:sz w:val="24"/>
              </w:rPr>
              <w:t>施工期噪声执行《建筑施工场界环境噪声排放标准》(GB12523-2011)中表 1 建筑施工场界环境噪声排放限值。标准具体限值见表1</w:t>
            </w:r>
            <w:r>
              <w:rPr>
                <w:rFonts w:hint="eastAsia"/>
                <w:bCs/>
                <w:sz w:val="24"/>
                <w:lang w:val="en-US" w:eastAsia="zh-CN"/>
              </w:rPr>
              <w:t>3</w:t>
            </w:r>
            <w:r>
              <w:rPr>
                <w:rFonts w:hint="eastAsia"/>
                <w:bCs/>
                <w:sz w:val="24"/>
              </w:rPr>
              <w:t>。</w:t>
            </w:r>
          </w:p>
          <w:p>
            <w:pPr>
              <w:pStyle w:val="4"/>
              <w:spacing w:before="156" w:beforeLines="50" w:line="440" w:lineRule="exact"/>
              <w:ind w:firstLine="0" w:firstLineChars="0"/>
              <w:rPr>
                <w:rFonts w:hint="eastAsia"/>
                <w:b/>
                <w:bCs/>
                <w:sz w:val="24"/>
                <w:szCs w:val="24"/>
              </w:rPr>
            </w:pPr>
            <w:r>
              <w:rPr>
                <w:rFonts w:hAnsi="宋体"/>
                <w:b/>
                <w:sz w:val="24"/>
                <w:szCs w:val="24"/>
              </w:rPr>
              <w:t>表</w:t>
            </w:r>
            <w:r>
              <w:rPr>
                <w:rFonts w:hint="eastAsia" w:hAnsi="宋体"/>
                <w:b/>
                <w:sz w:val="24"/>
                <w:szCs w:val="24"/>
              </w:rPr>
              <w:t>1</w:t>
            </w:r>
            <w:r>
              <w:rPr>
                <w:rFonts w:hint="eastAsia" w:hAnsi="宋体"/>
                <w:b/>
                <w:sz w:val="24"/>
                <w:szCs w:val="24"/>
                <w:lang w:val="en-US" w:eastAsia="zh-CN"/>
              </w:rPr>
              <w:t>3</w:t>
            </w:r>
            <w:r>
              <w:rPr>
                <w:rFonts w:hint="eastAsia" w:hAnsi="宋体"/>
                <w:b/>
                <w:sz w:val="24"/>
                <w:szCs w:val="24"/>
              </w:rPr>
              <w:t xml:space="preserve">  </w:t>
            </w:r>
            <w:r>
              <w:rPr>
                <w:rFonts w:hAnsi="宋体"/>
                <w:b/>
                <w:sz w:val="24"/>
                <w:szCs w:val="24"/>
              </w:rPr>
              <w:t xml:space="preserve"> </w:t>
            </w:r>
            <w:r>
              <w:rPr>
                <w:rFonts w:hint="eastAsia" w:hAnsi="宋体"/>
                <w:b/>
                <w:sz w:val="24"/>
                <w:szCs w:val="24"/>
              </w:rPr>
              <w:t>《建筑施工场界环境噪声排放标准》（GB12523-2011）</w:t>
            </w:r>
            <w:r>
              <w:rPr>
                <w:rFonts w:hAnsi="宋体"/>
                <w:b/>
                <w:sz w:val="24"/>
                <w:szCs w:val="24"/>
              </w:rPr>
              <w:t xml:space="preserve">  单位：dB(A)</w:t>
            </w:r>
          </w:p>
          <w:tbl>
            <w:tblPr>
              <w:tblStyle w:val="1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72"/>
              <w:gridCol w:w="43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372" w:type="dxa"/>
                  <w:noWrap w:val="0"/>
                  <w:vAlign w:val="top"/>
                </w:tcPr>
                <w:p>
                  <w:pPr>
                    <w:pStyle w:val="18"/>
                    <w:spacing w:before="1"/>
                    <w:ind w:left="1170" w:right="741"/>
                    <w:jc w:val="center"/>
                    <w:rPr>
                      <w:sz w:val="24"/>
                    </w:rPr>
                  </w:pPr>
                  <w:r>
                    <w:rPr>
                      <w:sz w:val="24"/>
                    </w:rPr>
                    <w:t>昼间（</w:t>
                  </w:r>
                  <w:r>
                    <w:rPr>
                      <w:rFonts w:ascii="Times New Roman" w:eastAsia="Times New Roman"/>
                      <w:sz w:val="24"/>
                    </w:rPr>
                    <w:t>6</w:t>
                  </w:r>
                  <w:r>
                    <w:rPr>
                      <w:sz w:val="24"/>
                    </w:rPr>
                    <w:t>：</w:t>
                  </w:r>
                  <w:r>
                    <w:rPr>
                      <w:rFonts w:ascii="Times New Roman" w:eastAsia="Times New Roman"/>
                      <w:sz w:val="24"/>
                    </w:rPr>
                    <w:t>00~22</w:t>
                  </w:r>
                  <w:r>
                    <w:rPr>
                      <w:sz w:val="24"/>
                    </w:rPr>
                    <w:t>：</w:t>
                  </w:r>
                  <w:r>
                    <w:rPr>
                      <w:rFonts w:ascii="Times New Roman" w:eastAsia="Times New Roman"/>
                      <w:sz w:val="24"/>
                    </w:rPr>
                    <w:t>00</w:t>
                  </w:r>
                  <w:r>
                    <w:rPr>
                      <w:sz w:val="24"/>
                    </w:rPr>
                    <w:t>）</w:t>
                  </w:r>
                </w:p>
              </w:tc>
              <w:tc>
                <w:tcPr>
                  <w:tcW w:w="4372" w:type="dxa"/>
                  <w:noWrap w:val="0"/>
                  <w:vAlign w:val="top"/>
                </w:tcPr>
                <w:p>
                  <w:pPr>
                    <w:pStyle w:val="18"/>
                    <w:spacing w:before="1"/>
                    <w:ind w:left="1169" w:right="741"/>
                    <w:jc w:val="center"/>
                    <w:rPr>
                      <w:sz w:val="24"/>
                    </w:rPr>
                  </w:pPr>
                  <w:r>
                    <w:rPr>
                      <w:sz w:val="24"/>
                    </w:rPr>
                    <w:t>夜间（</w:t>
                  </w:r>
                  <w:r>
                    <w:rPr>
                      <w:rFonts w:ascii="Times New Roman" w:eastAsia="Times New Roman"/>
                      <w:sz w:val="24"/>
                    </w:rPr>
                    <w:t>22</w:t>
                  </w:r>
                  <w:r>
                    <w:rPr>
                      <w:sz w:val="24"/>
                    </w:rPr>
                    <w:t>：</w:t>
                  </w:r>
                  <w:r>
                    <w:rPr>
                      <w:rFonts w:ascii="Times New Roman" w:eastAsia="Times New Roman"/>
                      <w:sz w:val="24"/>
                    </w:rPr>
                    <w:t>00~6:00</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4372" w:type="dxa"/>
                  <w:noWrap w:val="0"/>
                  <w:vAlign w:val="top"/>
                </w:tcPr>
                <w:p>
                  <w:pPr>
                    <w:pStyle w:val="18"/>
                    <w:ind w:left="1168" w:right="741"/>
                    <w:jc w:val="center"/>
                    <w:rPr>
                      <w:sz w:val="24"/>
                    </w:rPr>
                  </w:pPr>
                  <w:r>
                    <w:rPr>
                      <w:rFonts w:ascii="Times New Roman" w:eastAsia="Times New Roman"/>
                      <w:sz w:val="24"/>
                    </w:rPr>
                    <w:t>70dB</w:t>
                  </w:r>
                  <w:r>
                    <w:rPr>
                      <w:sz w:val="24"/>
                    </w:rPr>
                    <w:t>（</w:t>
                  </w:r>
                  <w:r>
                    <w:rPr>
                      <w:rFonts w:ascii="Times New Roman" w:eastAsia="Times New Roman"/>
                      <w:sz w:val="24"/>
                    </w:rPr>
                    <w:t>A</w:t>
                  </w:r>
                  <w:r>
                    <w:rPr>
                      <w:sz w:val="24"/>
                    </w:rPr>
                    <w:t>）</w:t>
                  </w:r>
                </w:p>
              </w:tc>
              <w:tc>
                <w:tcPr>
                  <w:tcW w:w="4372" w:type="dxa"/>
                  <w:noWrap w:val="0"/>
                  <w:vAlign w:val="top"/>
                </w:tcPr>
                <w:p>
                  <w:pPr>
                    <w:pStyle w:val="18"/>
                    <w:ind w:left="1169" w:right="741"/>
                    <w:jc w:val="center"/>
                    <w:rPr>
                      <w:sz w:val="24"/>
                    </w:rPr>
                  </w:pPr>
                  <w:r>
                    <w:rPr>
                      <w:rFonts w:ascii="Times New Roman" w:eastAsia="Times New Roman"/>
                      <w:sz w:val="24"/>
                    </w:rPr>
                    <w:t>55dB</w:t>
                  </w:r>
                  <w:r>
                    <w:rPr>
                      <w:sz w:val="24"/>
                    </w:rPr>
                    <w:t>（</w:t>
                  </w:r>
                  <w:r>
                    <w:rPr>
                      <w:rFonts w:ascii="Times New Roman" w:eastAsia="Times New Roman"/>
                      <w:sz w:val="24"/>
                    </w:rPr>
                    <w:t>A</w:t>
                  </w:r>
                  <w:r>
                    <w:rPr>
                      <w:sz w:val="24"/>
                    </w:rPr>
                    <w:t>）</w:t>
                  </w:r>
                </w:p>
              </w:tc>
            </w:tr>
          </w:tbl>
          <w:p>
            <w:pPr>
              <w:pStyle w:val="4"/>
              <w:spacing w:before="156" w:beforeLines="50" w:line="440" w:lineRule="exact"/>
              <w:ind w:firstLine="0" w:firstLineChars="0"/>
              <w:rPr>
                <w:rFonts w:hint="eastAsia"/>
                <w:b/>
                <w:bCs/>
                <w:sz w:val="24"/>
                <w:szCs w:val="24"/>
              </w:rPr>
            </w:pPr>
            <w:r>
              <w:rPr>
                <w:rFonts w:hint="eastAsia"/>
                <w:b/>
                <w:bCs/>
                <w:sz w:val="24"/>
                <w:szCs w:val="24"/>
              </w:rPr>
              <w:t>2、废气</w:t>
            </w:r>
          </w:p>
          <w:p>
            <w:pPr>
              <w:tabs>
                <w:tab w:val="left" w:pos="460"/>
              </w:tabs>
              <w:spacing w:before="50" w:line="440" w:lineRule="exact"/>
              <w:ind w:firstLine="480" w:firstLineChars="200"/>
              <w:jc w:val="left"/>
              <w:rPr>
                <w:rFonts w:hint="eastAsia"/>
                <w:sz w:val="24"/>
              </w:rPr>
            </w:pPr>
            <w:r>
              <w:rPr>
                <w:rFonts w:hint="eastAsia"/>
                <w:sz w:val="24"/>
              </w:rPr>
              <w:t>本项目</w:t>
            </w:r>
            <w:r>
              <w:rPr>
                <w:rFonts w:hint="eastAsia" w:eastAsia="宋体"/>
                <w:sz w:val="24"/>
                <w:lang w:val="en-US" w:eastAsia="zh-CN"/>
              </w:rPr>
              <w:t>施工期</w:t>
            </w:r>
            <w:r>
              <w:rPr>
                <w:rFonts w:hint="eastAsia"/>
                <w:sz w:val="24"/>
              </w:rPr>
              <w:t>颗粒物执行</w:t>
            </w:r>
            <w:r>
              <w:rPr>
                <w:sz w:val="24"/>
              </w:rPr>
              <w:t>《大气污染物综合排放标准》（GB16297-1996）</w:t>
            </w:r>
            <w:r>
              <w:rPr>
                <w:rFonts w:hint="eastAsia"/>
                <w:sz w:val="24"/>
              </w:rPr>
              <w:t>二级</w:t>
            </w:r>
            <w:r>
              <w:rPr>
                <w:sz w:val="24"/>
              </w:rPr>
              <w:t>标准要求</w:t>
            </w:r>
            <w:r>
              <w:rPr>
                <w:rFonts w:hint="eastAsia"/>
                <w:sz w:val="24"/>
              </w:rPr>
              <w:t>。</w:t>
            </w:r>
          </w:p>
          <w:p>
            <w:pPr>
              <w:spacing w:before="50" w:line="440" w:lineRule="exact"/>
              <w:ind w:firstLine="2159" w:firstLineChars="896"/>
              <w:rPr>
                <w:b/>
                <w:sz w:val="24"/>
              </w:rPr>
            </w:pPr>
            <w:r>
              <w:rPr>
                <w:rFonts w:hint="eastAsia"/>
                <w:b/>
                <w:sz w:val="24"/>
              </w:rPr>
              <w:t>表1</w:t>
            </w:r>
            <w:r>
              <w:rPr>
                <w:rFonts w:hint="eastAsia"/>
                <w:b/>
                <w:sz w:val="24"/>
                <w:lang w:val="en-US" w:eastAsia="zh-CN"/>
              </w:rPr>
              <w:t>4</w:t>
            </w:r>
            <w:r>
              <w:rPr>
                <w:rFonts w:hint="eastAsia"/>
                <w:b/>
                <w:sz w:val="24"/>
              </w:rPr>
              <w:t xml:space="preserve">   </w:t>
            </w:r>
            <w:r>
              <w:rPr>
                <w:b/>
                <w:sz w:val="24"/>
              </w:rPr>
              <w:t>大气污染物综合排放标准</w:t>
            </w:r>
          </w:p>
          <w:tbl>
            <w:tblPr>
              <w:tblStyle w:val="15"/>
              <w:tblW w:w="0" w:type="auto"/>
              <w:jc w:val="center"/>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84"/>
              <w:gridCol w:w="1909"/>
              <w:gridCol w:w="446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4" w:type="dxa"/>
                  <w:vMerge w:val="restart"/>
                  <w:tcBorders>
                    <w:top w:val="single" w:color="000000" w:sz="12" w:space="0"/>
                    <w:left w:val="single" w:color="000000" w:sz="12" w:space="0"/>
                  </w:tcBorders>
                  <w:noWrap w:val="0"/>
                  <w:vAlign w:val="center"/>
                </w:tcPr>
                <w:p>
                  <w:pPr>
                    <w:pStyle w:val="21"/>
                    <w:spacing w:before="0" w:line="240" w:lineRule="atLeast"/>
                    <w:rPr>
                      <w:rFonts w:hint="eastAsia" w:ascii="Times New Roman"/>
                      <w:b/>
                      <w:sz w:val="21"/>
                    </w:rPr>
                  </w:pPr>
                  <w:r>
                    <w:rPr>
                      <w:rFonts w:hint="eastAsia" w:ascii="Times New Roman"/>
                      <w:b/>
                      <w:sz w:val="21"/>
                    </w:rPr>
                    <w:t>污染物</w:t>
                  </w:r>
                </w:p>
              </w:tc>
              <w:tc>
                <w:tcPr>
                  <w:tcW w:w="6378" w:type="dxa"/>
                  <w:gridSpan w:val="2"/>
                  <w:tcBorders>
                    <w:top w:val="single" w:color="000000" w:sz="12" w:space="0"/>
                    <w:left w:val="single" w:color="auto" w:sz="4" w:space="0"/>
                    <w:bottom w:val="single" w:color="auto" w:sz="4" w:space="0"/>
                    <w:right w:val="single" w:color="000000" w:sz="12" w:space="0"/>
                  </w:tcBorders>
                  <w:noWrap w:val="0"/>
                  <w:vAlign w:val="center"/>
                </w:tcPr>
                <w:p>
                  <w:pPr>
                    <w:pStyle w:val="21"/>
                    <w:spacing w:before="0" w:line="240" w:lineRule="atLeast"/>
                    <w:rPr>
                      <w:rFonts w:hint="eastAsia" w:ascii="Times New Roman"/>
                      <w:b/>
                      <w:sz w:val="21"/>
                    </w:rPr>
                  </w:pPr>
                  <w:r>
                    <w:rPr>
                      <w:rFonts w:hint="eastAsia" w:ascii="Times New Roman"/>
                      <w:b/>
                      <w:sz w:val="21"/>
                    </w:rPr>
                    <w:t>无组织排放监控</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84" w:type="dxa"/>
                  <w:vMerge w:val="continue"/>
                  <w:tcBorders>
                    <w:left w:val="single" w:color="000000" w:sz="12" w:space="0"/>
                    <w:bottom w:val="single" w:color="000000" w:sz="6" w:space="0"/>
                  </w:tcBorders>
                  <w:noWrap w:val="0"/>
                  <w:vAlign w:val="center"/>
                </w:tcPr>
                <w:p>
                  <w:pPr>
                    <w:pStyle w:val="21"/>
                    <w:spacing w:before="0" w:line="240" w:lineRule="atLeast"/>
                    <w:rPr>
                      <w:rFonts w:hint="eastAsia" w:ascii="Times New Roman"/>
                      <w:b/>
                      <w:sz w:val="21"/>
                    </w:rPr>
                  </w:pPr>
                </w:p>
              </w:tc>
              <w:tc>
                <w:tcPr>
                  <w:tcW w:w="1909" w:type="dxa"/>
                  <w:tcBorders>
                    <w:top w:val="single" w:color="auto" w:sz="4" w:space="0"/>
                    <w:left w:val="single" w:color="auto" w:sz="4" w:space="0"/>
                    <w:right w:val="single" w:color="auto" w:sz="4" w:space="0"/>
                  </w:tcBorders>
                  <w:noWrap w:val="0"/>
                  <w:vAlign w:val="center"/>
                </w:tcPr>
                <w:p>
                  <w:pPr>
                    <w:pStyle w:val="21"/>
                    <w:spacing w:before="0" w:line="240" w:lineRule="atLeast"/>
                    <w:rPr>
                      <w:rFonts w:hint="eastAsia" w:ascii="Times New Roman"/>
                      <w:b/>
                      <w:sz w:val="21"/>
                    </w:rPr>
                  </w:pPr>
                  <w:r>
                    <w:rPr>
                      <w:rFonts w:hint="eastAsia" w:ascii="Times New Roman"/>
                      <w:b/>
                      <w:sz w:val="21"/>
                    </w:rPr>
                    <w:t>监测点</w:t>
                  </w:r>
                </w:p>
              </w:tc>
              <w:tc>
                <w:tcPr>
                  <w:tcW w:w="4469" w:type="dxa"/>
                  <w:tcBorders>
                    <w:top w:val="single" w:color="auto" w:sz="4" w:space="0"/>
                    <w:left w:val="single" w:color="auto" w:sz="4" w:space="0"/>
                    <w:right w:val="single" w:color="000000" w:sz="12" w:space="0"/>
                  </w:tcBorders>
                  <w:noWrap w:val="0"/>
                  <w:vAlign w:val="center"/>
                </w:tcPr>
                <w:p>
                  <w:pPr>
                    <w:pStyle w:val="21"/>
                    <w:spacing w:before="0" w:line="240" w:lineRule="atLeast"/>
                    <w:rPr>
                      <w:rFonts w:hint="eastAsia" w:ascii="Times New Roman"/>
                      <w:b/>
                      <w:sz w:val="21"/>
                    </w:rPr>
                  </w:pPr>
                  <w:r>
                    <w:rPr>
                      <w:rFonts w:hint="eastAsia" w:ascii="Times New Roman"/>
                      <w:b/>
                      <w:sz w:val="21"/>
                    </w:rPr>
                    <w:t>浓度（mg/m</w:t>
                  </w:r>
                  <w:r>
                    <w:rPr>
                      <w:rFonts w:hint="eastAsia" w:ascii="Times New Roman"/>
                      <w:b/>
                      <w:sz w:val="21"/>
                      <w:vertAlign w:val="superscript"/>
                    </w:rPr>
                    <w:t>3</w:t>
                  </w:r>
                  <w:r>
                    <w:rPr>
                      <w:rFonts w:hint="eastAsia" w:ascii="Times New Roman"/>
                      <w:b/>
                      <w:sz w:val="21"/>
                    </w:rPr>
                    <w:t>）</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PrEx>
              <w:trPr>
                <w:trHeight w:val="465" w:hRule="atLeast"/>
                <w:jc w:val="center"/>
              </w:trPr>
              <w:tc>
                <w:tcPr>
                  <w:tcW w:w="1584" w:type="dxa"/>
                  <w:tcBorders>
                    <w:top w:val="single" w:color="000000" w:sz="6" w:space="0"/>
                    <w:left w:val="single" w:color="000000" w:sz="12" w:space="0"/>
                  </w:tcBorders>
                  <w:noWrap w:val="0"/>
                  <w:vAlign w:val="center"/>
                </w:tcPr>
                <w:p>
                  <w:pPr>
                    <w:pStyle w:val="21"/>
                    <w:spacing w:before="0" w:line="240" w:lineRule="atLeast"/>
                    <w:rPr>
                      <w:rFonts w:hint="eastAsia" w:ascii="Times New Roman"/>
                      <w:sz w:val="21"/>
                    </w:rPr>
                  </w:pPr>
                  <w:r>
                    <w:rPr>
                      <w:rFonts w:hint="eastAsia" w:ascii="Times New Roman"/>
                      <w:sz w:val="21"/>
                    </w:rPr>
                    <w:t>颗粒物</w:t>
                  </w:r>
                </w:p>
              </w:tc>
              <w:tc>
                <w:tcPr>
                  <w:tcW w:w="1909" w:type="dxa"/>
                  <w:tcBorders>
                    <w:top w:val="single" w:color="000000" w:sz="6" w:space="0"/>
                    <w:left w:val="single" w:color="auto" w:sz="4" w:space="0"/>
                    <w:right w:val="single" w:color="auto" w:sz="4" w:space="0"/>
                  </w:tcBorders>
                  <w:noWrap w:val="0"/>
                  <w:vAlign w:val="center"/>
                </w:tcPr>
                <w:p>
                  <w:pPr>
                    <w:pStyle w:val="21"/>
                    <w:spacing w:before="0" w:line="240" w:lineRule="atLeast"/>
                    <w:jc w:val="both"/>
                    <w:rPr>
                      <w:rFonts w:hint="eastAsia" w:ascii="Times New Roman"/>
                      <w:sz w:val="21"/>
                    </w:rPr>
                  </w:pPr>
                  <w:r>
                    <w:rPr>
                      <w:rFonts w:hint="eastAsia" w:ascii="Times New Roman"/>
                      <w:sz w:val="21"/>
                    </w:rPr>
                    <w:t>周界外浓度最高点</w:t>
                  </w:r>
                </w:p>
              </w:tc>
              <w:tc>
                <w:tcPr>
                  <w:tcW w:w="4469" w:type="dxa"/>
                  <w:tcBorders>
                    <w:top w:val="single" w:color="000000" w:sz="6" w:space="0"/>
                    <w:left w:val="single" w:color="auto" w:sz="4" w:space="0"/>
                    <w:right w:val="single" w:color="000000" w:sz="12" w:space="0"/>
                  </w:tcBorders>
                  <w:noWrap w:val="0"/>
                  <w:vAlign w:val="center"/>
                </w:tcPr>
                <w:p>
                  <w:pPr>
                    <w:pStyle w:val="21"/>
                    <w:spacing w:before="0"/>
                    <w:rPr>
                      <w:rFonts w:hint="eastAsia" w:ascii="Times New Roman"/>
                      <w:sz w:val="21"/>
                    </w:rPr>
                  </w:pPr>
                  <w:r>
                    <w:rPr>
                      <w:rFonts w:hint="eastAsia" w:ascii="Times New Roman"/>
                      <w:sz w:val="21"/>
                    </w:rPr>
                    <w:t>1.0</w:t>
                  </w:r>
                </w:p>
              </w:tc>
            </w:tr>
          </w:tbl>
          <w:p>
            <w:pPr>
              <w:pStyle w:val="4"/>
              <w:spacing w:before="156" w:beforeLines="50" w:line="440" w:lineRule="exact"/>
              <w:ind w:firstLine="0" w:firstLineChars="0"/>
              <w:rPr>
                <w:rFonts w:hint="eastAsia"/>
                <w:b/>
                <w:bCs/>
                <w:sz w:val="24"/>
                <w:szCs w:val="24"/>
              </w:rPr>
            </w:pPr>
            <w:r>
              <w:rPr>
                <w:rFonts w:hint="eastAsia"/>
                <w:b/>
                <w:bCs/>
                <w:sz w:val="24"/>
                <w:szCs w:val="24"/>
              </w:rPr>
              <w:t>3、固体废物</w:t>
            </w:r>
          </w:p>
          <w:p>
            <w:pPr>
              <w:snapToGrid w:val="0"/>
              <w:spacing w:line="440" w:lineRule="exact"/>
              <w:ind w:firstLine="480" w:firstLineChars="200"/>
              <w:rPr>
                <w:rFonts w:hint="eastAsia" w:eastAsia="宋体"/>
                <w:color w:val="000000"/>
                <w:sz w:val="24"/>
                <w:lang w:eastAsia="zh-CN"/>
              </w:rPr>
            </w:pPr>
            <w:r>
              <w:rPr>
                <w:rFonts w:hint="eastAsia"/>
                <w:bCs/>
                <w:sz w:val="24"/>
              </w:rPr>
              <w:t>固体废弃物排放执行《一般工业固体废物贮存、处置场污染控制标准》（GB18599—2001）</w:t>
            </w:r>
            <w:r>
              <w:rPr>
                <w:rFonts w:hint="eastAsia"/>
                <w:color w:val="000000"/>
                <w:sz w:val="24"/>
              </w:rPr>
              <w:t>（2013修改版）</w:t>
            </w:r>
            <w:r>
              <w:rPr>
                <w:rFonts w:hint="eastAsia" w:eastAsia="宋体"/>
                <w:bCs/>
                <w:sz w:val="24"/>
                <w:lang w:eastAsia="zh-CN"/>
              </w:rPr>
              <w:t>。</w:t>
            </w:r>
          </w:p>
          <w:p>
            <w:pPr>
              <w:pStyle w:val="4"/>
              <w:spacing w:before="156" w:beforeLines="50" w:line="440" w:lineRule="exact"/>
              <w:ind w:firstLine="0" w:firstLineChars="0"/>
              <w:rPr>
                <w:rFonts w:hint="eastAsia"/>
                <w:b/>
                <w:bCs/>
                <w:sz w:val="24"/>
                <w:szCs w:val="24"/>
              </w:rPr>
            </w:pPr>
            <w:r>
              <w:rPr>
                <w:rFonts w:hint="eastAsia"/>
                <w:b/>
                <w:bCs/>
                <w:sz w:val="24"/>
                <w:szCs w:val="24"/>
              </w:rPr>
              <w:t>4、废水</w:t>
            </w:r>
          </w:p>
          <w:p>
            <w:pPr>
              <w:snapToGrid w:val="0"/>
              <w:spacing w:line="440" w:lineRule="exact"/>
              <w:ind w:firstLine="480" w:firstLineChars="200"/>
              <w:rPr>
                <w:rFonts w:hint="eastAsia"/>
                <w:bCs/>
                <w:sz w:val="24"/>
              </w:rPr>
            </w:pPr>
            <w:r>
              <w:rPr>
                <w:rFonts w:hint="eastAsia"/>
                <w:sz w:val="24"/>
                <w:highlight w:val="none"/>
              </w:rPr>
              <w:t>项目产生的污水仅为员工生活污水，经化粪池处理后</w:t>
            </w:r>
            <w:r>
              <w:rPr>
                <w:rFonts w:hint="eastAsia"/>
                <w:sz w:val="24"/>
                <w:highlight w:val="none"/>
                <w:lang w:val="en-US" w:eastAsia="zh-CN"/>
              </w:rPr>
              <w:t>排入市政污水管网，执行</w:t>
            </w:r>
            <w:r>
              <w:rPr>
                <w:rFonts w:hint="eastAsia"/>
                <w:bCs/>
                <w:sz w:val="24"/>
                <w:highlight w:val="none"/>
              </w:rPr>
              <w:t>污水综合排放标准》（GB8978-1996）</w:t>
            </w:r>
            <w:r>
              <w:rPr>
                <w:rFonts w:hint="eastAsia"/>
                <w:bCs/>
                <w:sz w:val="24"/>
                <w:highlight w:val="none"/>
                <w:lang w:val="en-US" w:eastAsia="zh-CN"/>
              </w:rPr>
              <w:t>表4</w:t>
            </w:r>
            <w:r>
              <w:rPr>
                <w:rFonts w:hint="eastAsia"/>
                <w:bCs/>
                <w:sz w:val="24"/>
                <w:highlight w:val="none"/>
              </w:rPr>
              <w:t>三级标准</w:t>
            </w:r>
            <w:r>
              <w:rPr>
                <w:rFonts w:hint="eastAsia"/>
                <w:sz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5" w:hRule="atLeast"/>
          <w:jc w:val="center"/>
        </w:trPr>
        <w:tc>
          <w:tcPr>
            <w:tcW w:w="457" w:type="dxa"/>
            <w:noWrap w:val="0"/>
            <w:vAlign w:val="center"/>
          </w:tcPr>
          <w:p>
            <w:pPr>
              <w:spacing w:line="240" w:lineRule="atLeast"/>
              <w:rPr>
                <w:sz w:val="24"/>
              </w:rPr>
            </w:pPr>
            <w:r>
              <w:rPr>
                <w:sz w:val="24"/>
              </w:rPr>
              <w:t>总</w:t>
            </w:r>
          </w:p>
          <w:p>
            <w:pPr>
              <w:spacing w:line="240" w:lineRule="atLeast"/>
              <w:jc w:val="center"/>
              <w:rPr>
                <w:sz w:val="24"/>
              </w:rPr>
            </w:pPr>
            <w:r>
              <w:rPr>
                <w:sz w:val="24"/>
              </w:rPr>
              <w:t>量</w:t>
            </w:r>
          </w:p>
          <w:p>
            <w:pPr>
              <w:spacing w:line="240" w:lineRule="atLeast"/>
              <w:jc w:val="center"/>
              <w:rPr>
                <w:sz w:val="24"/>
              </w:rPr>
            </w:pPr>
            <w:r>
              <w:rPr>
                <w:sz w:val="24"/>
              </w:rPr>
              <w:t>控</w:t>
            </w:r>
          </w:p>
          <w:p>
            <w:pPr>
              <w:spacing w:line="240" w:lineRule="atLeast"/>
              <w:jc w:val="center"/>
              <w:rPr>
                <w:sz w:val="24"/>
              </w:rPr>
            </w:pPr>
            <w:r>
              <w:rPr>
                <w:sz w:val="24"/>
              </w:rPr>
              <w:t>制</w:t>
            </w:r>
          </w:p>
          <w:p>
            <w:pPr>
              <w:spacing w:line="240" w:lineRule="atLeast"/>
              <w:jc w:val="center"/>
              <w:rPr>
                <w:sz w:val="24"/>
              </w:rPr>
            </w:pPr>
            <w:r>
              <w:rPr>
                <w:sz w:val="24"/>
              </w:rPr>
              <w:t>指</w:t>
            </w:r>
          </w:p>
          <w:p>
            <w:pPr>
              <w:spacing w:line="240" w:lineRule="atLeast"/>
              <w:jc w:val="center"/>
              <w:rPr>
                <w:sz w:val="24"/>
              </w:rPr>
            </w:pPr>
            <w:r>
              <w:rPr>
                <w:sz w:val="24"/>
              </w:rPr>
              <w:t>标</w:t>
            </w:r>
          </w:p>
        </w:tc>
        <w:tc>
          <w:tcPr>
            <w:tcW w:w="8829" w:type="dxa"/>
            <w:noWrap w:val="0"/>
            <w:vAlign w:val="center"/>
          </w:tcPr>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pStyle w:val="6"/>
              <w:spacing w:line="440" w:lineRule="exact"/>
              <w:ind w:firstLine="420" w:firstLineChars="200"/>
              <w:rPr>
                <w:rFonts w:hint="eastAsia"/>
              </w:rPr>
            </w:pPr>
          </w:p>
          <w:p>
            <w:pPr>
              <w:keepNext w:val="0"/>
              <w:keepLines w:val="0"/>
              <w:pageBreakBefore w:val="0"/>
              <w:widowControl w:val="0"/>
              <w:kinsoku/>
              <w:wordWrap/>
              <w:overflowPunct/>
              <w:topLinePunct w:val="0"/>
              <w:autoSpaceDE/>
              <w:autoSpaceDN/>
              <w:bidi w:val="0"/>
              <w:spacing w:line="520" w:lineRule="exact"/>
              <w:ind w:firstLine="480" w:firstLineChars="200"/>
              <w:textAlignment w:val="auto"/>
              <w:outlineLvl w:val="9"/>
              <w:rPr>
                <w:rFonts w:hint="eastAsia"/>
                <w:sz w:val="24"/>
                <w:szCs w:val="24"/>
              </w:rPr>
            </w:pPr>
            <w:r>
              <w:rPr>
                <w:rFonts w:hint="eastAsia"/>
                <w:sz w:val="24"/>
                <w:szCs w:val="24"/>
              </w:rPr>
              <w:t>本项目营运期正常情况下不产生废水，不需分配水污染物总量控制指标；</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outlineLvl w:val="9"/>
              <w:rPr>
                <w:rFonts w:hint="eastAsia"/>
                <w:sz w:val="24"/>
                <w:szCs w:val="24"/>
              </w:rPr>
            </w:pPr>
            <w:r>
              <w:rPr>
                <w:rFonts w:hint="eastAsia"/>
                <w:sz w:val="24"/>
                <w:szCs w:val="24"/>
              </w:rPr>
              <w:t xml:space="preserve">维修管道时会产生少量天然气放散，由于放散量很少，不建议分配大气污染物总量控制指标。 </w:t>
            </w: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bidi w:val="0"/>
              <w:rPr>
                <w:rFonts w:hint="eastAsia"/>
              </w:rPr>
            </w:pPr>
          </w:p>
        </w:tc>
      </w:tr>
    </w:tbl>
    <w:p>
      <w:pPr>
        <w:spacing w:before="156" w:beforeLines="50" w:line="480" w:lineRule="exact"/>
        <w:rPr>
          <w:rFonts w:eastAsia="黑体"/>
          <w:bCs/>
          <w:sz w:val="32"/>
          <w:szCs w:val="32"/>
        </w:rPr>
      </w:pPr>
      <w:r>
        <w:rPr>
          <w:rFonts w:eastAsia="黑体"/>
          <w:bCs/>
          <w:sz w:val="32"/>
          <w:szCs w:val="32"/>
        </w:rPr>
        <w:t>建设项目工程分析</w:t>
      </w:r>
    </w:p>
    <w:tbl>
      <w:tblPr>
        <w:tblStyle w:val="15"/>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0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3403" w:hRule="atLeast"/>
        </w:trPr>
        <w:tc>
          <w:tcPr>
            <w:tcW w:w="9061" w:type="dxa"/>
            <w:noWrap w:val="0"/>
            <w:vAlign w:val="top"/>
          </w:tcPr>
          <w:p>
            <w:pPr>
              <w:tabs>
                <w:tab w:val="left" w:pos="5460"/>
              </w:tabs>
              <w:spacing w:before="156" w:beforeLines="50" w:line="440" w:lineRule="exact"/>
              <w:rPr>
                <w:rFonts w:hint="eastAsia" w:ascii="宋体" w:hAnsi="宋体" w:cs="宋体"/>
                <w:b/>
                <w:bCs/>
                <w:sz w:val="24"/>
                <w:u w:val="single"/>
              </w:rPr>
            </w:pPr>
            <w:r>
              <w:rPr>
                <w:rFonts w:hint="eastAsia" w:ascii="宋体" w:hAnsi="宋体" w:cs="宋体"/>
                <w:b/>
                <w:bCs/>
                <w:sz w:val="24"/>
                <w:szCs w:val="28"/>
                <w:u w:val="single"/>
              </w:rPr>
              <w:t>工艺流程及产污环节（图示）</w:t>
            </w:r>
          </w:p>
          <w:p>
            <w:pPr>
              <w:tabs>
                <w:tab w:val="left" w:pos="5460"/>
              </w:tabs>
              <w:spacing w:before="156" w:beforeLines="50" w:line="440" w:lineRule="exact"/>
              <w:rPr>
                <w:rFonts w:hint="eastAsia" w:ascii="宋体" w:hAnsi="宋体" w:cs="宋体"/>
                <w:b/>
                <w:sz w:val="24"/>
                <w:szCs w:val="28"/>
                <w:u w:val="single"/>
              </w:rPr>
            </w:pPr>
            <w:r>
              <w:rPr>
                <w:rFonts w:hint="eastAsia" w:ascii="宋体" w:hAnsi="宋体" w:cs="宋体"/>
                <w:b/>
                <w:sz w:val="24"/>
                <w:szCs w:val="28"/>
                <w:u w:val="single"/>
              </w:rPr>
              <w:t>一、施工期工艺流程</w:t>
            </w:r>
          </w:p>
          <w:p>
            <w:pPr>
              <w:snapToGrid w:val="0"/>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本工程</w:t>
            </w:r>
            <w:r>
              <w:rPr>
                <w:rFonts w:hint="eastAsia" w:ascii="Times New Roman" w:hAnsi="Times New Roman" w:eastAsia="宋体" w:cs="Times New Roman"/>
                <w:sz w:val="24"/>
                <w:szCs w:val="24"/>
                <w:lang w:val="en-US" w:eastAsia="zh-CN"/>
              </w:rPr>
              <w:t>均为</w:t>
            </w:r>
            <w:r>
              <w:rPr>
                <w:rFonts w:hint="eastAsia" w:ascii="Times New Roman" w:hAnsi="Times New Roman" w:cs="Times New Roman"/>
                <w:sz w:val="24"/>
                <w:szCs w:val="24"/>
              </w:rPr>
              <w:t>中压管道敷设区域，为建成区或已平整区域。管道主要采用开挖直埋方式敷设，穿越道路、河流主要采用水平定向钻施工方式。</w:t>
            </w:r>
          </w:p>
          <w:p>
            <w:pPr>
              <w:snapToGrid w:val="0"/>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施工工艺</w:t>
            </w:r>
          </w:p>
          <w:p>
            <w:pPr>
              <w:snapToGrid w:val="0"/>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本工程沿线位于平原地区的城市规划区域，全线主要采用开挖直埋方式敷设。本工程的管线布置是沿已建成或规划道路的人行道和慢车道敷设，与规划道路的建设时序为先建路后埋管，且本工程敷设的管道较长，在施工中拟分段施工，不需要修建施工便道； 施工材料堆放于施工作业带内；管道附近社会依托条件较好，本工程管道敷设不需要设置施工营地。</w:t>
            </w:r>
          </w:p>
          <w:p>
            <w:pPr>
              <w:numPr>
                <w:ilvl w:val="0"/>
                <w:numId w:val="0"/>
              </w:numPr>
              <w:spacing w:before="156" w:beforeLines="50" w:line="360" w:lineRule="auto"/>
              <w:ind w:firstLine="480" w:firstLineChars="200"/>
              <w:rPr>
                <w:rFonts w:hint="eastAsia" w:ascii="Times New Roman"/>
                <w:sz w:val="24"/>
              </w:rPr>
            </w:pPr>
            <w:r>
              <w:rPr>
                <w:rFonts w:hint="eastAsia" w:ascii="Times New Roman" w:eastAsia="宋体"/>
                <w:sz w:val="24"/>
                <w:lang w:val="en-US" w:eastAsia="zh-CN"/>
              </w:rPr>
              <w:t>①</w:t>
            </w:r>
            <w:r>
              <w:rPr>
                <w:rFonts w:hint="eastAsia" w:ascii="Times New Roman"/>
                <w:sz w:val="24"/>
              </w:rPr>
              <w:t>管道管材、管道敷设</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适用于输送城市燃气的管材有：无缝钢管、聚乙烯塑料管，焊接钢管及球墨铸铁管。根据多年来城市中压燃气管道管材使用及施工情况，普遍采用焊接钢管和PE管。</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PE 管与钢管比具有以下优点：</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管道内壁光滑，摩擦阻力小，一般而言其流通能力比钢管高30%； 抗腐蚀性能好，使用寿命长约50年。钢管的耐腐蚀性能差，采用绝缘防腐后的钢管，估计年限约为30年；具有很好的柔韧性，小口径管可以盘管成卷，铺设时允许有一定的弯曲半径，便于施工。</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根据输送的介质和压力情况，以及近年来各种管径在城市中压管网施工中的经济性比较，本工程推荐埋地中压燃气管道采用SDR11 系列聚乙烯塑料管（PE）管,即淮滨县区中压燃气干管全部采用PE聚乙烯管。</w:t>
            </w:r>
          </w:p>
          <w:p>
            <w:pPr>
              <w:numPr>
                <w:ilvl w:val="0"/>
                <w:numId w:val="0"/>
              </w:numPr>
              <w:spacing w:before="156" w:beforeLines="50" w:line="360" w:lineRule="auto"/>
              <w:ind w:firstLine="480" w:firstLineChars="200"/>
              <w:rPr>
                <w:rFonts w:hint="eastAsia" w:ascii="Times New Roman"/>
                <w:sz w:val="24"/>
              </w:rPr>
            </w:pPr>
            <w:r>
              <w:rPr>
                <w:rFonts w:hint="eastAsia" w:ascii="Times New Roman" w:eastAsia="宋体"/>
                <w:sz w:val="24"/>
                <w:lang w:val="en-US" w:eastAsia="zh-CN"/>
              </w:rPr>
              <w:t>②</w:t>
            </w:r>
            <w:r>
              <w:rPr>
                <w:rFonts w:hint="eastAsia" w:ascii="Times New Roman"/>
                <w:sz w:val="24"/>
              </w:rPr>
              <w:t>阀门及管道敷设</w:t>
            </w:r>
          </w:p>
          <w:p>
            <w:pPr>
              <w:numPr>
                <w:ilvl w:val="0"/>
                <w:numId w:val="0"/>
              </w:numPr>
              <w:spacing w:before="156" w:beforeLines="50" w:line="360" w:lineRule="auto"/>
              <w:ind w:firstLine="480" w:firstLineChars="200"/>
              <w:rPr>
                <w:rFonts w:hint="eastAsia" w:ascii="Times New Roman"/>
                <w:sz w:val="24"/>
              </w:rPr>
            </w:pPr>
            <w:r>
              <w:rPr>
                <w:rFonts w:hint="eastAsia" w:ascii="Times New Roman" w:eastAsia="宋体"/>
                <w:sz w:val="24"/>
                <w:lang w:val="en-US" w:eastAsia="zh-CN"/>
              </w:rPr>
              <w:t>2.1</w:t>
            </w:r>
            <w:r>
              <w:rPr>
                <w:rFonts w:hint="eastAsia" w:ascii="Times New Roman"/>
                <w:sz w:val="24"/>
              </w:rPr>
              <w:t>阀门</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阀门设置</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为了保证城市管网稳定、连续供气，必须分段、分片供气，以保障在管道检修、扩建及事故处理时不影响整个管网的正常供气。本工程在以下各处设置阀门：储配站出站处；中压支管起点处；调压柜、站外10～100ｍ处的进、出口管线上；每2km 管道的分段上； 同时近期为远期预留的接口，也设置阀门。</w:t>
            </w:r>
          </w:p>
          <w:p>
            <w:pPr>
              <w:numPr>
                <w:ilvl w:val="0"/>
                <w:numId w:val="0"/>
              </w:numPr>
              <w:spacing w:before="156" w:beforeLines="50" w:line="360" w:lineRule="auto"/>
              <w:rPr>
                <w:rFonts w:hint="eastAsia" w:ascii="Times New Roman"/>
                <w:sz w:val="24"/>
              </w:rPr>
            </w:pPr>
            <w:r>
              <w:rPr>
                <w:rFonts w:hint="eastAsia" w:ascii="Times New Roman" w:eastAsia="宋体"/>
                <w:sz w:val="24"/>
                <w:lang w:val="en-US" w:eastAsia="zh-CN"/>
              </w:rPr>
              <w:t>2.</w:t>
            </w:r>
            <w:r>
              <w:rPr>
                <w:rFonts w:hint="eastAsia" w:ascii="Times New Roman"/>
                <w:sz w:val="24"/>
              </w:rPr>
              <w:t>2、阀门选型</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燃气管道阀门的选用应符合国家现行标准，应选择适用燃气介质的阀门。</w:t>
            </w:r>
          </w:p>
          <w:p>
            <w:pPr>
              <w:numPr>
                <w:ilvl w:val="0"/>
                <w:numId w:val="0"/>
              </w:numPr>
              <w:spacing w:before="156" w:beforeLines="50" w:line="360" w:lineRule="auto"/>
              <w:rPr>
                <w:rFonts w:hint="eastAsia" w:ascii="Times New Roman"/>
                <w:sz w:val="24"/>
              </w:rPr>
            </w:pPr>
            <w:r>
              <w:rPr>
                <w:rFonts w:hint="eastAsia" w:ascii="Times New Roman" w:eastAsia="宋体"/>
                <w:sz w:val="24"/>
                <w:lang w:val="en-US" w:eastAsia="zh-CN"/>
              </w:rPr>
              <w:t>2.3</w:t>
            </w:r>
            <w:r>
              <w:rPr>
                <w:rFonts w:hint="eastAsia" w:ascii="Times New Roman"/>
                <w:sz w:val="24"/>
              </w:rPr>
              <w:t>管道的敷设</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本设计天然气管线采用埋地敷设，埋深为管顶距地面1.2m，个别特殊地段可视现场具体情况适当加大或减小埋设深度，但最小埋深不得小于下列规定：</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埋设在车行道下时，管顶覆土厚度不小于0.9m； 埋设在非车行道下时，管顶覆土厚度不小于0.6m； 埋设在铁路下时，管顶距路面不小于1.5m；埋设在庭院内时，管顶覆土厚度不小于0.3m； 埋设在水田下时，管顶覆土厚度不小于0.8m；燃气管道的地基宜为无尖硬土石和无盐类的原土层，当原土层有尖硬石和盐类，应铺垫细沙或细土。可能引起管道不均匀沉降的地段， 其地基应进行处理或采取其它防沉降措施。</w:t>
            </w:r>
          </w:p>
          <w:p>
            <w:pPr>
              <w:numPr>
                <w:ilvl w:val="0"/>
                <w:numId w:val="0"/>
              </w:numPr>
              <w:spacing w:before="156" w:beforeLines="50" w:line="360" w:lineRule="auto"/>
              <w:ind w:firstLine="480" w:firstLineChars="200"/>
              <w:rPr>
                <w:rFonts w:hint="eastAsia" w:ascii="Times New Roman"/>
                <w:sz w:val="24"/>
              </w:rPr>
            </w:pPr>
            <w:r>
              <w:rPr>
                <w:rFonts w:hint="eastAsia" w:ascii="Times New Roman" w:eastAsia="宋体"/>
                <w:sz w:val="24"/>
                <w:lang w:val="en-US" w:eastAsia="zh-CN"/>
              </w:rPr>
              <w:t>③</w:t>
            </w:r>
            <w:r>
              <w:rPr>
                <w:rFonts w:hint="eastAsia" w:ascii="Times New Roman"/>
                <w:sz w:val="24"/>
              </w:rPr>
              <w:t>管道穿跨越</w:t>
            </w:r>
          </w:p>
          <w:p>
            <w:pPr>
              <w:numPr>
                <w:ilvl w:val="0"/>
                <w:numId w:val="0"/>
              </w:numPr>
              <w:spacing w:before="156" w:beforeLines="50" w:line="360" w:lineRule="auto"/>
              <w:ind w:firstLine="480" w:firstLineChars="200"/>
              <w:rPr>
                <w:rFonts w:hint="eastAsia" w:ascii="Times New Roman"/>
                <w:sz w:val="24"/>
              </w:rPr>
            </w:pPr>
            <w:r>
              <w:rPr>
                <w:rFonts w:hint="eastAsia" w:ascii="Times New Roman"/>
                <w:sz w:val="24"/>
              </w:rPr>
              <w:t>本工程的穿越工程包括公路、河渠。由于穿越段管道难于维护；发生事故影响大，维修困难；同时也易于受到外力损伤，因此穿越段设计应首先确保管道的安全运行。</w:t>
            </w:r>
          </w:p>
          <w:p>
            <w:pPr>
              <w:numPr>
                <w:ilvl w:val="0"/>
                <w:numId w:val="0"/>
              </w:numPr>
              <w:spacing w:before="156" w:beforeLines="5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穿越现有公路时，对于不允许开挖的道路，应尽量采用顶管施工，管道加钢套管；当受地形限制，顶管施工确实无法实施时，可采用小型定向钻的方式。可开挖施工的道路，穿越段设钢套管。</w:t>
            </w:r>
          </w:p>
          <w:p>
            <w:pPr>
              <w:numPr>
                <w:ilvl w:val="0"/>
                <w:numId w:val="0"/>
              </w:numPr>
              <w:spacing w:before="156" w:beforeLines="5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穿越规划公路时，采用开挖施工，预埋钢套管。套管穿越公路时，保护套管距路基底的间距不小于</w:t>
            </w:r>
            <w:r>
              <w:rPr>
                <w:rFonts w:hint="eastAsia" w:ascii="Times New Roman" w:hAnsi="Times New Roman" w:eastAsia="宋体" w:cs="Times New Roman"/>
                <w:sz w:val="24"/>
                <w:lang w:val="en-US" w:eastAsia="zh-CN"/>
              </w:rPr>
              <w:t>1.5</w:t>
            </w:r>
            <w:r>
              <w:rPr>
                <w:rFonts w:hint="default" w:ascii="Times New Roman" w:hAnsi="Times New Roman" w:cs="Times New Roman"/>
                <w:sz w:val="24"/>
              </w:rPr>
              <w:t>m，距公路边沟底面不小于</w:t>
            </w:r>
            <w:r>
              <w:rPr>
                <w:rFonts w:hint="eastAsia" w:ascii="Times New Roman" w:hAnsi="Times New Roman" w:eastAsia="宋体" w:cs="Times New Roman"/>
                <w:sz w:val="24"/>
                <w:lang w:val="en-US" w:eastAsia="zh-CN"/>
              </w:rPr>
              <w:t>1</w:t>
            </w:r>
            <w:r>
              <w:rPr>
                <w:rFonts w:hint="default" w:ascii="Times New Roman" w:hAnsi="Times New Roman" w:cs="Times New Roman"/>
                <w:sz w:val="24"/>
              </w:rPr>
              <w:t>m。套管端部伸出路基坡脚外不小于</w:t>
            </w:r>
            <w:r>
              <w:rPr>
                <w:rFonts w:hint="eastAsia" w:ascii="Times New Roman" w:hAnsi="Times New Roman" w:eastAsia="宋体" w:cs="Times New Roman"/>
                <w:sz w:val="24"/>
                <w:lang w:val="en-US" w:eastAsia="zh-CN"/>
              </w:rPr>
              <w:t>2</w:t>
            </w:r>
            <w:r>
              <w:rPr>
                <w:rFonts w:hint="default" w:ascii="Times New Roman" w:hAnsi="Times New Roman" w:cs="Times New Roman"/>
                <w:sz w:val="24"/>
              </w:rPr>
              <w:t>m；当有路边沟时，套管端部伸出边沟外侧顶部不小于</w:t>
            </w:r>
            <w:r>
              <w:rPr>
                <w:rFonts w:hint="eastAsia" w:ascii="Times New Roman" w:hAnsi="Times New Roman" w:eastAsia="宋体" w:cs="Times New Roman"/>
                <w:sz w:val="24"/>
                <w:lang w:val="en-US" w:eastAsia="zh-CN"/>
              </w:rPr>
              <w:t>2</w:t>
            </w:r>
            <w:r>
              <w:rPr>
                <w:rFonts w:hint="default" w:ascii="Times New Roman" w:hAnsi="Times New Roman" w:cs="Times New Roman"/>
                <w:sz w:val="24"/>
              </w:rPr>
              <w:t>m。当采用小型定向钻时，管线与路基坡脚的最小间距不得小于</w:t>
            </w:r>
            <w:r>
              <w:rPr>
                <w:rFonts w:hint="eastAsia" w:ascii="Times New Roman" w:hAnsi="Times New Roman" w:eastAsia="宋体" w:cs="Times New Roman"/>
                <w:sz w:val="24"/>
                <w:lang w:val="en-US" w:eastAsia="zh-CN"/>
              </w:rPr>
              <w:t>1.2</w:t>
            </w:r>
            <w:r>
              <w:rPr>
                <w:rFonts w:hint="default" w:ascii="Times New Roman" w:hAnsi="Times New Roman" w:cs="Times New Roman"/>
                <w:sz w:val="24"/>
              </w:rPr>
              <w:t>m。</w:t>
            </w:r>
          </w:p>
          <w:p>
            <w:pPr>
              <w:numPr>
                <w:ilvl w:val="0"/>
                <w:numId w:val="0"/>
              </w:numPr>
              <w:spacing w:before="156" w:beforeLines="50" w:line="360" w:lineRule="auto"/>
              <w:ind w:firstLine="480" w:firstLineChars="200"/>
              <w:rPr>
                <w:rFonts w:hint="default" w:ascii="Times New Roman" w:hAnsi="Times New Roman" w:cs="Times New Roman"/>
                <w:b/>
                <w:sz w:val="24"/>
                <w:szCs w:val="28"/>
                <w:u w:val="single"/>
              </w:rPr>
            </w:pPr>
            <w:r>
              <w:rPr>
                <w:rFonts w:hint="default" w:ascii="Times New Roman" w:hAnsi="Times New Roman" w:cs="Times New Roman"/>
                <w:sz w:val="24"/>
              </w:rPr>
              <w:t>穿越河渠根据现场情况，采用大开挖或定向钻穿越方式。穿越用钢套管的外防腐采用环氧煤沥青特加强级防腐。</w:t>
            </w:r>
          </w:p>
          <w:p>
            <w:pPr>
              <w:snapToGrid w:val="0"/>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rPr>
              <w:t xml:space="preserve">施工工艺及产污环节见图 </w:t>
            </w:r>
            <w:r>
              <w:rPr>
                <w:rFonts w:hint="eastAsia" w:ascii="Times New Roman" w:hAnsi="Times New Roman" w:eastAsia="宋体" w:cs="Times New Roman"/>
                <w:sz w:val="24"/>
                <w:szCs w:val="24"/>
                <w:lang w:val="en-US" w:eastAsia="zh-CN"/>
              </w:rPr>
              <w:t>1</w:t>
            </w:r>
            <w:r>
              <w:rPr>
                <w:rFonts w:hint="eastAsia" w:ascii="Times New Roman" w:hAnsi="Times New Roman" w:cs="Times New Roman"/>
                <w:sz w:val="24"/>
                <w:szCs w:val="24"/>
              </w:rPr>
              <w:t>。</w:t>
            </w:r>
          </w:p>
          <w:p>
            <w:pPr>
              <w:spacing w:line="360" w:lineRule="auto"/>
              <w:jc w:val="center"/>
              <w:rPr>
                <w:rFonts w:eastAsia="黑体"/>
                <w:sz w:val="24"/>
              </w:rPr>
            </w:pPr>
            <w:r>
              <w:drawing>
                <wp:inline distT="0" distB="0" distL="114300" distR="114300">
                  <wp:extent cx="5610860" cy="3648075"/>
                  <wp:effectExtent l="0" t="0" r="8890"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610860" cy="3648075"/>
                          </a:xfrm>
                          <a:prstGeom prst="rect">
                            <a:avLst/>
                          </a:prstGeom>
                          <a:noFill/>
                          <a:ln>
                            <a:noFill/>
                          </a:ln>
                        </pic:spPr>
                      </pic:pic>
                    </a:graphicData>
                  </a:graphic>
                </wp:inline>
              </w:drawing>
            </w:r>
          </w:p>
          <w:p>
            <w:pPr>
              <w:spacing w:line="360" w:lineRule="auto"/>
              <w:jc w:val="center"/>
              <w:rPr>
                <w:rFonts w:eastAsia="黑体"/>
                <w:sz w:val="24"/>
              </w:rPr>
            </w:pPr>
            <w:r>
              <w:rPr>
                <w:rFonts w:eastAsia="黑体"/>
                <w:sz w:val="24"/>
              </w:rPr>
              <w:t>图</w:t>
            </w:r>
            <w:r>
              <w:rPr>
                <w:rFonts w:hint="eastAsia" w:eastAsia="黑体"/>
                <w:sz w:val="24"/>
                <w:lang w:val="en-US" w:eastAsia="zh-CN"/>
              </w:rPr>
              <w:t>1</w:t>
            </w:r>
            <w:r>
              <w:rPr>
                <w:rFonts w:eastAsia="黑体"/>
                <w:sz w:val="24"/>
              </w:rPr>
              <w:t xml:space="preserve">  </w:t>
            </w:r>
            <w:r>
              <w:rPr>
                <w:rFonts w:hint="eastAsia" w:eastAsia="黑体"/>
                <w:sz w:val="24"/>
              </w:rPr>
              <w:t xml:space="preserve">   </w:t>
            </w:r>
            <w:r>
              <w:rPr>
                <w:rFonts w:eastAsia="黑体"/>
                <w:sz w:val="24"/>
              </w:rPr>
              <w:t>施工期流程及产污环节</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（2）产污环节</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废水：管沟开挖产生的泥浆水、运输洗涤水、施工机械运转中产生的油滴漏污水及地下水等。</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废气：管沟开挖堆土、道路破开及运输车辆、施工机械走行车道引起的扬尘，管沟开挖弃土的装卸、运输、堆砌过程中造成的扬尘和洒落，各类施工机械、运输车辆排放的废气以及焊接废气。</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噪声：管道敷设过程中噪声源主要为试压噪声、挖掘机、推土机、电焊机等施工机械及运输车辆产生的噪声。</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固废：管线施工过程产生的弃渣土和防腐废弃物。</w:t>
            </w:r>
          </w:p>
          <w:p>
            <w:pPr>
              <w:numPr>
                <w:ilvl w:val="0"/>
                <w:numId w:val="0"/>
              </w:numPr>
              <w:spacing w:before="156" w:beforeLines="50" w:line="360" w:lineRule="auto"/>
              <w:rPr>
                <w:rFonts w:hint="eastAsia" w:ascii="宋体" w:hAnsi="宋体" w:cs="宋体"/>
                <w:b/>
                <w:sz w:val="24"/>
                <w:szCs w:val="28"/>
                <w:u w:val="single"/>
              </w:rPr>
            </w:pPr>
            <w:r>
              <w:rPr>
                <w:rFonts w:hint="eastAsia" w:ascii="宋体" w:hAnsi="宋体" w:cs="宋体"/>
                <w:b/>
                <w:sz w:val="24"/>
                <w:szCs w:val="28"/>
                <w:u w:val="single"/>
              </w:rPr>
              <w:t>运营期工艺流程</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本工程输送和储存介质为天然气，工艺流程为简单的物理过程，营运期在正常情况下，污染物产生量较小，当设备、管道检修时有少量天然气排放。根据工程供气流程，输气管道运行期间采用密闭输送，正常情况不会泄漏天然气，而且天然气为干气，不产生凝结水和固废。</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营运期污染因子分析：</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本工程运营期的主要环境影响因素包括：（1）检修或管道超压和管道泄漏时少量天然气气体排放；（2）对管道经过路线的土地利用和社会影响。</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（1）水污染源分析</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本工程为天然气输配工程，管道正常运行时没有生产废水产生。</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（2）大气污染源分析</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本工程为天然气管道工程，正常情况下，输气管道密闭运行，无废气排放，因此不会造成空气污染。只有在管道检修等非正常工况下，会有少量天然气在管道中释放出来， 由于管道检修一次泄漏量很少，约 10m</w:t>
            </w:r>
            <w:r>
              <w:rPr>
                <w:rFonts w:hint="default" w:ascii="Times New Roman" w:hAnsi="Times New Roman" w:cs="Times New Roman"/>
                <w:b w:val="0"/>
                <w:bCs/>
                <w:sz w:val="24"/>
                <w:szCs w:val="24"/>
                <w:vertAlign w:val="superscript"/>
              </w:rPr>
              <w:t>3</w:t>
            </w:r>
            <w:r>
              <w:rPr>
                <w:rFonts w:hint="default" w:ascii="Times New Roman" w:hAnsi="Times New Roman" w:cs="Times New Roman"/>
                <w:b w:val="0"/>
                <w:bCs/>
                <w:sz w:val="24"/>
                <w:szCs w:val="24"/>
              </w:rPr>
              <w:t>/次，每次释放时间约 10min，每年只有 1~2 次， 对其采取收集就地燃烧的措施处理，因此，基本不会对环境空气质量产生影响。</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（3）噪声源分析</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管道正常运行过程中无噪声产生。</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（4）固体废物</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本项目营运期无固体废物产生。</w:t>
            </w:r>
          </w:p>
          <w:p>
            <w:pPr>
              <w:spacing w:before="156" w:beforeLines="50" w:line="440" w:lineRule="exact"/>
              <w:ind w:firstLine="480" w:firstLineChars="200"/>
              <w:rPr>
                <w:rFonts w:hint="default" w:ascii="Times New Roman" w:hAnsi="Times New Roman" w:cs="Times New Roman"/>
                <w:b w:val="0"/>
                <w:bCs/>
                <w:sz w:val="24"/>
                <w:szCs w:val="24"/>
              </w:rPr>
            </w:pPr>
            <w:r>
              <w:rPr>
                <w:rFonts w:hint="default" w:ascii="Times New Roman" w:hAnsi="Times New Roman" w:cs="Times New Roman"/>
                <w:b w:val="0"/>
                <w:bCs/>
                <w:sz w:val="24"/>
                <w:szCs w:val="24"/>
              </w:rPr>
              <w:t>（5）生态和社会影响分析</w:t>
            </w:r>
          </w:p>
          <w:p>
            <w:pPr>
              <w:spacing w:before="156" w:beforeLines="50" w:line="440" w:lineRule="exact"/>
              <w:ind w:firstLine="480" w:firstLineChars="200"/>
              <w:rPr>
                <w:rFonts w:hint="default" w:ascii="Times New Roman" w:hAnsi="Times New Roman" w:cs="Times New Roman"/>
                <w:b w:val="0"/>
                <w:bCs/>
                <w:sz w:val="24"/>
                <w:szCs w:val="24"/>
                <w:highlight w:val="none"/>
              </w:rPr>
            </w:pPr>
            <w:r>
              <w:rPr>
                <w:rFonts w:hint="default" w:ascii="Times New Roman" w:hAnsi="Times New Roman" w:cs="Times New Roman"/>
                <w:b w:val="0"/>
                <w:bCs/>
                <w:sz w:val="24"/>
                <w:szCs w:val="24"/>
              </w:rPr>
              <w:t>本工程的管道工程建成投入运行后，管沟开挖部分通过植被恢复可大大降低项目建设对陆生生态的影响，对动物也不会造成阻隔，对城区道路的影响也即消除。但天然气管道属安全和消防重点保护对象，管线附近用地会受到限制，对城镇发展构成一定影响。项目供应的天然气属清洁能源，替代部分重油、煤等污染较大的能源后，可减少大气污染物的排放，间接降低大气污染物排放对生态环境的影响。</w:t>
            </w:r>
            <w:r>
              <w:rPr>
                <w:rFonts w:hint="default" w:ascii="Times New Roman" w:hAnsi="Times New Roman" w:cs="Times New Roman"/>
                <w:b w:val="0"/>
                <w:bCs/>
                <w:sz w:val="24"/>
                <w:szCs w:val="24"/>
                <w:highlight w:val="none"/>
              </w:rPr>
              <w:t>采用定向钻法建设河流穿越工程，建成后不会对河流水生生物、水动力、河堤安全和水土流失构成不利影响。</w:t>
            </w:r>
          </w:p>
          <w:p>
            <w:pPr>
              <w:spacing w:before="156" w:line="480" w:lineRule="exact"/>
              <w:ind w:firstLine="480" w:firstLineChars="200"/>
              <w:rPr>
                <w:rFonts w:hint="eastAsia" w:hAnsi="宋体"/>
                <w:sz w:val="24"/>
                <w:u w:val="single"/>
              </w:rPr>
            </w:pPr>
          </w:p>
        </w:tc>
      </w:tr>
    </w:tbl>
    <w:p>
      <w:pPr>
        <w:spacing w:line="360" w:lineRule="auto"/>
        <w:rPr>
          <w:rFonts w:eastAsia="黑体"/>
          <w:sz w:val="32"/>
          <w:szCs w:val="32"/>
        </w:rPr>
      </w:pPr>
      <w:r>
        <w:rPr>
          <w:rFonts w:eastAsia="黑体"/>
          <w:bCs/>
          <w:sz w:val="32"/>
          <w:szCs w:val="32"/>
        </w:rPr>
        <w:br w:type="page"/>
      </w:r>
      <w:r>
        <w:rPr>
          <w:rFonts w:eastAsia="黑体"/>
          <w:sz w:val="32"/>
          <w:szCs w:val="32"/>
        </w:rPr>
        <w:t>项目主要污</w:t>
      </w:r>
      <w:r>
        <w:rPr>
          <w:rFonts w:eastAsia="黑体"/>
          <w:sz w:val="32"/>
          <w:szCs w:val="32"/>
          <w:highlight w:val="none"/>
        </w:rPr>
        <w:t>染物产</w:t>
      </w:r>
      <w:r>
        <w:rPr>
          <w:rFonts w:eastAsia="黑体"/>
          <w:sz w:val="32"/>
          <w:szCs w:val="32"/>
        </w:rPr>
        <w:t>生及预计排放情况</w:t>
      </w:r>
    </w:p>
    <w:tbl>
      <w:tblPr>
        <w:tblStyle w:val="15"/>
        <w:tblW w:w="9321"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23"/>
        <w:gridCol w:w="1275"/>
        <w:gridCol w:w="1925"/>
        <w:gridCol w:w="1245"/>
        <w:gridCol w:w="1200"/>
        <w:gridCol w:w="1170"/>
        <w:gridCol w:w="1222"/>
        <w:gridCol w:w="26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452" w:hRule="atLeast"/>
        </w:trPr>
        <w:tc>
          <w:tcPr>
            <w:tcW w:w="1023" w:type="dxa"/>
            <w:vMerge w:val="restart"/>
            <w:noWrap w:val="0"/>
            <w:vAlign w:val="center"/>
          </w:tcPr>
          <w:p>
            <w:pPr>
              <w:adjustRightInd w:val="0"/>
              <w:snapToGrid w:val="0"/>
              <w:spacing w:line="440" w:lineRule="exact"/>
              <w:ind w:left="-108" w:right="-108"/>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 w:val="24"/>
                <w:highlight w:val="none"/>
              </w:rPr>
              <w:t xml:space="preserve"> </w:t>
            </w:r>
            <w:r>
              <w:rPr>
                <w:rFonts w:hint="default" w:ascii="Times New Roman" w:hAnsi="Times New Roman" w:cs="Times New Roman"/>
                <w:b/>
                <w:bCs/>
                <w:color w:val="000000"/>
                <w:szCs w:val="21"/>
                <w:highlight w:val="none"/>
              </w:rPr>
              <w:t xml:space="preserve"> 内容</w:t>
            </w:r>
          </w:p>
          <w:p>
            <w:pPr>
              <w:adjustRightInd w:val="0"/>
              <w:snapToGrid w:val="0"/>
              <w:spacing w:line="440" w:lineRule="exact"/>
              <w:ind w:left="-107"/>
              <w:rPr>
                <w:rFonts w:hint="default" w:ascii="Times New Roman" w:hAnsi="Times New Roman" w:cs="Times New Roman"/>
                <w:b/>
                <w:bCs/>
                <w:color w:val="000000"/>
                <w:sz w:val="24"/>
                <w:highlight w:val="none"/>
              </w:rPr>
            </w:pPr>
            <w:r>
              <w:rPr>
                <w:rFonts w:hint="default" w:ascii="Times New Roman" w:hAnsi="Times New Roman" w:cs="Times New Roman"/>
                <w:b/>
                <w:bCs/>
                <w:color w:val="000000"/>
                <w:szCs w:val="21"/>
                <w:highlight w:val="none"/>
              </w:rPr>
              <w:t>类型</w:t>
            </w:r>
          </w:p>
        </w:tc>
        <w:tc>
          <w:tcPr>
            <w:tcW w:w="1275" w:type="dxa"/>
            <w:vMerge w:val="restart"/>
            <w:noWrap w:val="0"/>
            <w:vAlign w:val="center"/>
          </w:tcPr>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排放源</w:t>
            </w:r>
          </w:p>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(编号)</w:t>
            </w:r>
          </w:p>
        </w:tc>
        <w:tc>
          <w:tcPr>
            <w:tcW w:w="1925" w:type="dxa"/>
            <w:vMerge w:val="restart"/>
            <w:noWrap w:val="0"/>
            <w:vAlign w:val="center"/>
          </w:tcPr>
          <w:p>
            <w:pPr>
              <w:adjustRightInd w:val="0"/>
              <w:snapToGrid w:val="0"/>
              <w:ind w:righ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污染物</w:t>
            </w:r>
          </w:p>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名称</w:t>
            </w:r>
          </w:p>
        </w:tc>
        <w:tc>
          <w:tcPr>
            <w:tcW w:w="2445" w:type="dxa"/>
            <w:gridSpan w:val="2"/>
            <w:noWrap w:val="0"/>
            <w:vAlign w:val="center"/>
          </w:tcPr>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产生浓度及产生量</w:t>
            </w:r>
          </w:p>
        </w:tc>
        <w:tc>
          <w:tcPr>
            <w:tcW w:w="2392" w:type="dxa"/>
            <w:gridSpan w:val="2"/>
            <w:noWrap w:val="0"/>
            <w:vAlign w:val="center"/>
          </w:tcPr>
          <w:p>
            <w:pPr>
              <w:tabs>
                <w:tab w:val="left" w:pos="5760"/>
              </w:tabs>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排放浓度及排放量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316" w:hRule="atLeast"/>
        </w:trPr>
        <w:tc>
          <w:tcPr>
            <w:tcW w:w="1023" w:type="dxa"/>
            <w:vMerge w:val="continue"/>
            <w:noWrap w:val="0"/>
            <w:vAlign w:val="center"/>
          </w:tcPr>
          <w:p>
            <w:pPr>
              <w:adjustRightInd w:val="0"/>
              <w:snapToGrid w:val="0"/>
              <w:ind w:left="-108"/>
              <w:jc w:val="center"/>
              <w:rPr>
                <w:rFonts w:hint="default" w:ascii="Times New Roman" w:hAnsi="Times New Roman" w:cs="Times New Roman"/>
                <w:b/>
                <w:bCs/>
                <w:color w:val="000000"/>
                <w:sz w:val="24"/>
                <w:highlight w:val="none"/>
              </w:rPr>
            </w:pPr>
          </w:p>
        </w:tc>
        <w:tc>
          <w:tcPr>
            <w:tcW w:w="1275" w:type="dxa"/>
            <w:vMerge w:val="continue"/>
            <w:noWrap w:val="0"/>
            <w:vAlign w:val="center"/>
          </w:tcPr>
          <w:p>
            <w:pPr>
              <w:adjustRightInd w:val="0"/>
              <w:snapToGrid w:val="0"/>
              <w:jc w:val="center"/>
              <w:rPr>
                <w:rFonts w:hint="default" w:ascii="Times New Roman" w:hAnsi="Times New Roman" w:cs="Times New Roman"/>
                <w:b/>
                <w:bCs/>
                <w:color w:val="000000"/>
                <w:sz w:val="24"/>
                <w:highlight w:val="none"/>
              </w:rPr>
            </w:pPr>
          </w:p>
        </w:tc>
        <w:tc>
          <w:tcPr>
            <w:tcW w:w="1925" w:type="dxa"/>
            <w:vMerge w:val="continue"/>
            <w:noWrap w:val="0"/>
            <w:vAlign w:val="center"/>
          </w:tcPr>
          <w:p>
            <w:pPr>
              <w:adjustRightInd w:val="0"/>
              <w:snapToGrid w:val="0"/>
              <w:jc w:val="center"/>
              <w:rPr>
                <w:rFonts w:hint="default" w:ascii="Times New Roman" w:hAnsi="Times New Roman" w:cs="Times New Roman"/>
                <w:b/>
                <w:bCs/>
                <w:color w:val="000000"/>
                <w:sz w:val="24"/>
                <w:highlight w:val="none"/>
              </w:rPr>
            </w:pPr>
          </w:p>
        </w:tc>
        <w:tc>
          <w:tcPr>
            <w:tcW w:w="1245" w:type="dxa"/>
            <w:noWrap w:val="0"/>
            <w:vAlign w:val="center"/>
          </w:tcPr>
          <w:p>
            <w:pPr>
              <w:adjustRightInd w:val="0"/>
              <w:snapToGrid w:val="0"/>
              <w:ind w:left="-108" w:right="-3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浓度</w:t>
            </w:r>
          </w:p>
        </w:tc>
        <w:tc>
          <w:tcPr>
            <w:tcW w:w="1200" w:type="dxa"/>
            <w:noWrap w:val="0"/>
            <w:vAlign w:val="center"/>
          </w:tcPr>
          <w:p>
            <w:pPr>
              <w:adjustRightInd w:val="0"/>
              <w:snapToGrid w:val="0"/>
              <w:ind w:left="-108" w:right="-3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产生量</w:t>
            </w:r>
          </w:p>
          <w:p>
            <w:pPr>
              <w:adjustRightInd w:val="0"/>
              <w:snapToGrid w:val="0"/>
              <w:ind w:left="-108" w:right="-30"/>
              <w:jc w:val="center"/>
              <w:rPr>
                <w:rFonts w:hint="default" w:ascii="Times New Roman" w:hAnsi="Times New Roman" w:cs="Times New Roman"/>
                <w:b/>
                <w:bCs/>
                <w:color w:val="000000"/>
                <w:sz w:val="24"/>
                <w:highlight w:val="none"/>
              </w:rPr>
            </w:pPr>
          </w:p>
        </w:tc>
        <w:tc>
          <w:tcPr>
            <w:tcW w:w="1170" w:type="dxa"/>
            <w:noWrap w:val="0"/>
            <w:vAlign w:val="center"/>
          </w:tcPr>
          <w:p>
            <w:pPr>
              <w:adjustRightInd w:val="0"/>
              <w:snapToGrid w:val="0"/>
              <w:ind w:left="-108" w:right="-3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浓度</w:t>
            </w:r>
          </w:p>
          <w:p>
            <w:pPr>
              <w:adjustRightInd w:val="0"/>
              <w:snapToGrid w:val="0"/>
              <w:ind w:left="-108" w:right="-30"/>
              <w:jc w:val="center"/>
              <w:rPr>
                <w:rFonts w:hint="default" w:ascii="Times New Roman" w:hAnsi="Times New Roman" w:cs="Times New Roman"/>
                <w:b/>
                <w:bCs/>
                <w:color w:val="000000"/>
                <w:sz w:val="24"/>
                <w:highlight w:val="none"/>
              </w:rPr>
            </w:pPr>
          </w:p>
        </w:tc>
        <w:tc>
          <w:tcPr>
            <w:tcW w:w="1222" w:type="dxa"/>
            <w:noWrap w:val="0"/>
            <w:vAlign w:val="center"/>
          </w:tcPr>
          <w:p>
            <w:pPr>
              <w:adjustRightInd w:val="0"/>
              <w:snapToGrid w:val="0"/>
              <w:ind w:left="-108" w:right="-3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排放量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381" w:hRule="atLeast"/>
        </w:trPr>
        <w:tc>
          <w:tcPr>
            <w:tcW w:w="1023" w:type="dxa"/>
            <w:vMerge w:val="restart"/>
            <w:noWrap w:val="0"/>
            <w:vAlign w:val="center"/>
          </w:tcPr>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水污</w:t>
            </w:r>
          </w:p>
          <w:p>
            <w:pPr>
              <w:adjustRightInd w:val="0"/>
              <w:snapToGrid w:val="0"/>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染物</w:t>
            </w:r>
          </w:p>
        </w:tc>
        <w:tc>
          <w:tcPr>
            <w:tcW w:w="1275" w:type="dxa"/>
            <w:vMerge w:val="restart"/>
            <w:noWrap w:val="0"/>
            <w:vAlign w:val="center"/>
          </w:tcPr>
          <w:p>
            <w:pPr>
              <w:adjustRightInd w:val="0"/>
              <w:snapToGrid w:val="0"/>
              <w:jc w:val="center"/>
              <w:rPr>
                <w:rFonts w:hint="default" w:ascii="Times New Roman" w:hAnsi="Times New Roman" w:cs="Times New Roman"/>
                <w:color w:val="000000"/>
                <w:sz w:val="24"/>
                <w:szCs w:val="24"/>
                <w:highlight w:val="none"/>
              </w:rPr>
            </w:pPr>
            <w:r>
              <w:rPr>
                <w:rFonts w:hint="eastAsia" w:ascii="Times New Roman" w:hAnsi="Times New Roman" w:eastAsia="宋体" w:cs="Times New Roman"/>
                <w:color w:val="000000"/>
                <w:sz w:val="24"/>
                <w:szCs w:val="24"/>
                <w:highlight w:val="none"/>
                <w:lang w:val="en-US" w:eastAsia="zh-CN"/>
              </w:rPr>
              <w:t>施工人员</w:t>
            </w:r>
            <w:r>
              <w:rPr>
                <w:rFonts w:hint="default" w:ascii="Times New Roman" w:hAnsi="Times New Roman" w:cs="Times New Roman"/>
                <w:color w:val="000000"/>
                <w:sz w:val="24"/>
                <w:szCs w:val="24"/>
                <w:highlight w:val="none"/>
              </w:rPr>
              <w:t>生活</w:t>
            </w:r>
          </w:p>
          <w:p>
            <w:pPr>
              <w:adjustRightInd w:val="0"/>
              <w:snapToGrid w:val="0"/>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w:t>
            </w:r>
            <w:r>
              <w:rPr>
                <w:rFonts w:hint="default" w:ascii="Times New Roman" w:hAnsi="Times New Roman" w:eastAsia="宋体" w:cs="Times New Roman"/>
                <w:color w:val="000000"/>
                <w:sz w:val="24"/>
                <w:szCs w:val="24"/>
                <w:highlight w:val="none"/>
                <w:lang w:val="en-US" w:eastAsia="zh-CN"/>
              </w:rPr>
              <w:t>2.25</w:t>
            </w:r>
            <w:r>
              <w:rPr>
                <w:rFonts w:hint="default" w:ascii="Times New Roman" w:hAnsi="Times New Roman" w:cs="Times New Roman"/>
                <w:color w:val="000000"/>
                <w:sz w:val="24"/>
                <w:szCs w:val="24"/>
                <w:highlight w:val="none"/>
              </w:rPr>
              <w:t>t/</w:t>
            </w:r>
            <w:r>
              <w:rPr>
                <w:rFonts w:hint="eastAsia" w:ascii="Times New Roman" w:hAnsi="Times New Roman" w:cs="Times New Roman"/>
                <w:color w:val="000000"/>
                <w:sz w:val="24"/>
                <w:szCs w:val="24"/>
                <w:highlight w:val="none"/>
                <w:lang w:val="en-US" w:eastAsia="zh-CN"/>
              </w:rPr>
              <w:t>d</w:t>
            </w:r>
            <w:r>
              <w:rPr>
                <w:rFonts w:hint="default" w:ascii="Times New Roman" w:hAnsi="Times New Roman" w:cs="Times New Roman"/>
                <w:color w:val="000000"/>
                <w:sz w:val="24"/>
                <w:szCs w:val="24"/>
                <w:highlight w:val="none"/>
              </w:rPr>
              <w:t>)</w:t>
            </w:r>
          </w:p>
        </w:tc>
        <w:tc>
          <w:tcPr>
            <w:tcW w:w="1925" w:type="dxa"/>
            <w:noWrap w:val="0"/>
            <w:vAlign w:val="center"/>
          </w:tcPr>
          <w:p>
            <w:pPr>
              <w:adjustRightInd w:val="0"/>
              <w:snapToGrid w:val="0"/>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COD</w:t>
            </w:r>
          </w:p>
        </w:tc>
        <w:tc>
          <w:tcPr>
            <w:tcW w:w="1245" w:type="dxa"/>
            <w:noWrap w:val="0"/>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rPr>
              <w:t>350</w:t>
            </w:r>
            <w:r>
              <w:rPr>
                <w:rFonts w:hint="default" w:ascii="Times New Roman" w:hAnsi="Times New Roman" w:eastAsia="宋体" w:cs="Times New Roman"/>
                <w:color w:val="000000"/>
                <w:sz w:val="24"/>
                <w:szCs w:val="24"/>
                <w:highlight w:val="none"/>
                <w:lang w:val="en-US" w:eastAsia="zh-CN"/>
              </w:rPr>
              <w:t>mg/L</w:t>
            </w:r>
          </w:p>
        </w:tc>
        <w:tc>
          <w:tcPr>
            <w:tcW w:w="1200" w:type="dxa"/>
            <w:noWrap w:val="0"/>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rPr>
              <w:t>0.</w:t>
            </w:r>
            <w:r>
              <w:rPr>
                <w:rFonts w:hint="eastAsia" w:ascii="Times New Roman" w:hAnsi="Times New Roman" w:cs="Times New Roman"/>
                <w:color w:val="000000"/>
                <w:sz w:val="24"/>
                <w:szCs w:val="24"/>
                <w:highlight w:val="none"/>
                <w:lang w:val="en-US" w:eastAsia="zh-CN"/>
              </w:rPr>
              <w:t>79</w:t>
            </w:r>
            <w:r>
              <w:rPr>
                <w:rFonts w:hint="eastAsia" w:ascii="Times New Roman" w:hAnsi="Times New Roman" w:eastAsia="宋体" w:cs="Times New Roman"/>
                <w:color w:val="000000"/>
                <w:sz w:val="24"/>
                <w:szCs w:val="24"/>
                <w:highlight w:val="none"/>
                <w:lang w:val="en-US" w:eastAsia="zh-CN"/>
              </w:rPr>
              <w:t>kg</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d</w:t>
            </w:r>
          </w:p>
        </w:tc>
        <w:tc>
          <w:tcPr>
            <w:tcW w:w="1170" w:type="dxa"/>
            <w:noWrap w:val="0"/>
            <w:vAlign w:val="center"/>
          </w:tcPr>
          <w:p>
            <w:pPr>
              <w:adjustRightInd w:val="0"/>
              <w:snapToGrid w:val="0"/>
              <w:ind w:left="-108" w:leftChars="0" w:right="-30" w:rightChar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0</w:t>
            </w:r>
          </w:p>
        </w:tc>
        <w:tc>
          <w:tcPr>
            <w:tcW w:w="1222" w:type="dxa"/>
            <w:noWrap w:val="0"/>
            <w:vAlign w:val="center"/>
          </w:tcPr>
          <w:p>
            <w:pPr>
              <w:adjustRightInd w:val="0"/>
              <w:snapToGrid w:val="0"/>
              <w:ind w:left="-108" w:leftChars="0" w:right="-30" w:rightChars="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381" w:hRule="atLeast"/>
        </w:trPr>
        <w:tc>
          <w:tcPr>
            <w:tcW w:w="1023" w:type="dxa"/>
            <w:vMerge w:val="continue"/>
            <w:noWrap w:val="0"/>
            <w:vAlign w:val="center"/>
          </w:tcPr>
          <w:p>
            <w:pPr>
              <w:adjustRightInd w:val="0"/>
              <w:snapToGrid w:val="0"/>
              <w:jc w:val="center"/>
              <w:rPr>
                <w:rFonts w:hint="default" w:ascii="Times New Roman" w:hAnsi="Times New Roman" w:cs="Times New Roman"/>
                <w:highlight w:val="none"/>
              </w:rPr>
            </w:pPr>
          </w:p>
        </w:tc>
        <w:tc>
          <w:tcPr>
            <w:tcW w:w="1275" w:type="dxa"/>
            <w:vMerge w:val="continue"/>
            <w:noWrap w:val="0"/>
            <w:vAlign w:val="center"/>
          </w:tcPr>
          <w:p>
            <w:pPr>
              <w:adjustRightInd w:val="0"/>
              <w:snapToGrid w:val="0"/>
              <w:jc w:val="center"/>
              <w:rPr>
                <w:rFonts w:hint="default" w:ascii="Times New Roman" w:hAnsi="Times New Roman" w:cs="Times New Roman"/>
                <w:sz w:val="24"/>
                <w:szCs w:val="24"/>
                <w:highlight w:val="none"/>
              </w:rPr>
            </w:pPr>
          </w:p>
        </w:tc>
        <w:tc>
          <w:tcPr>
            <w:tcW w:w="1925" w:type="dxa"/>
            <w:noWrap w:val="0"/>
            <w:vAlign w:val="center"/>
          </w:tcPr>
          <w:p>
            <w:pPr>
              <w:adjustRightInd w:val="0"/>
              <w:snapToGrid w:val="0"/>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NH</w:t>
            </w:r>
            <w:r>
              <w:rPr>
                <w:rFonts w:hint="default" w:ascii="Times New Roman" w:hAnsi="Times New Roman" w:cs="Times New Roman"/>
                <w:color w:val="000000"/>
                <w:sz w:val="24"/>
                <w:szCs w:val="24"/>
                <w:highlight w:val="none"/>
                <w:vertAlign w:val="subscript"/>
              </w:rPr>
              <w:t>3</w:t>
            </w:r>
            <w:r>
              <w:rPr>
                <w:rFonts w:hint="default" w:ascii="Times New Roman" w:hAnsi="Times New Roman" w:cs="Times New Roman"/>
                <w:color w:val="000000"/>
                <w:sz w:val="24"/>
                <w:szCs w:val="24"/>
                <w:highlight w:val="none"/>
              </w:rPr>
              <w:t>-N</w:t>
            </w:r>
          </w:p>
        </w:tc>
        <w:tc>
          <w:tcPr>
            <w:tcW w:w="1245" w:type="dxa"/>
            <w:noWrap w:val="0"/>
            <w:vAlign w:val="center"/>
          </w:tcPr>
          <w:p>
            <w:pPr>
              <w:adjustRightInd w:val="0"/>
              <w:snapToGrid w:val="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cs="Times New Roman"/>
                <w:color w:val="000000"/>
                <w:sz w:val="24"/>
                <w:szCs w:val="24"/>
                <w:highlight w:val="none"/>
              </w:rPr>
              <w:t>3</w:t>
            </w:r>
            <w:r>
              <w:rPr>
                <w:rFonts w:hint="default" w:ascii="Times New Roman" w:hAnsi="Times New Roman" w:cs="Times New Roman"/>
                <w:color w:val="000000"/>
                <w:sz w:val="24"/>
                <w:szCs w:val="24"/>
                <w:highlight w:val="none"/>
                <w:lang w:val="en-US" w:eastAsia="zh-CN"/>
              </w:rPr>
              <w:t>0</w:t>
            </w:r>
            <w:r>
              <w:rPr>
                <w:rFonts w:hint="default" w:ascii="Times New Roman" w:hAnsi="Times New Roman" w:eastAsia="宋体" w:cs="Times New Roman"/>
                <w:color w:val="000000"/>
                <w:sz w:val="24"/>
                <w:szCs w:val="24"/>
                <w:highlight w:val="none"/>
                <w:lang w:val="en-US" w:eastAsia="zh-CN"/>
              </w:rPr>
              <w:t>mg/L</w:t>
            </w:r>
          </w:p>
        </w:tc>
        <w:tc>
          <w:tcPr>
            <w:tcW w:w="1200" w:type="dxa"/>
            <w:noWrap w:val="0"/>
            <w:vAlign w:val="center"/>
          </w:tcPr>
          <w:p>
            <w:pPr>
              <w:adjustRightInd w:val="0"/>
              <w:snapToGrid w:val="0"/>
              <w:jc w:val="center"/>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0.</w:t>
            </w:r>
            <w:r>
              <w:rPr>
                <w:rFonts w:hint="eastAsia" w:ascii="Times New Roman" w:hAnsi="Times New Roman" w:cs="Times New Roman"/>
                <w:color w:val="000000"/>
                <w:sz w:val="24"/>
                <w:szCs w:val="24"/>
                <w:highlight w:val="none"/>
                <w:lang w:val="en-US" w:eastAsia="zh-CN"/>
              </w:rPr>
              <w:t>068</w:t>
            </w:r>
            <w:r>
              <w:rPr>
                <w:rFonts w:hint="eastAsia" w:ascii="Times New Roman" w:hAnsi="Times New Roman" w:eastAsia="宋体" w:cs="Times New Roman"/>
                <w:color w:val="000000"/>
                <w:sz w:val="24"/>
                <w:szCs w:val="24"/>
                <w:highlight w:val="none"/>
                <w:lang w:val="en-US" w:eastAsia="zh-CN"/>
              </w:rPr>
              <w:t>kg</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d</w:t>
            </w:r>
          </w:p>
        </w:tc>
        <w:tc>
          <w:tcPr>
            <w:tcW w:w="1170" w:type="dxa"/>
            <w:noWrap w:val="0"/>
            <w:vAlign w:val="center"/>
          </w:tcPr>
          <w:p>
            <w:pPr>
              <w:adjustRightInd w:val="0"/>
              <w:snapToGrid w:val="0"/>
              <w:jc w:val="center"/>
              <w:rPr>
                <w:rFonts w:hint="default"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lang w:val="en-US" w:eastAsia="zh-CN"/>
              </w:rPr>
              <w:t>0</w:t>
            </w:r>
          </w:p>
        </w:tc>
        <w:tc>
          <w:tcPr>
            <w:tcW w:w="1222" w:type="dxa"/>
            <w:noWrap w:val="0"/>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465" w:hRule="atLeast"/>
        </w:trPr>
        <w:tc>
          <w:tcPr>
            <w:tcW w:w="1023" w:type="dxa"/>
            <w:vMerge w:val="restart"/>
            <w:noWrap w:val="0"/>
            <w:vAlign w:val="center"/>
          </w:tcPr>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固</w:t>
            </w:r>
          </w:p>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体</w:t>
            </w:r>
          </w:p>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废</w:t>
            </w:r>
          </w:p>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物</w:t>
            </w:r>
          </w:p>
        </w:tc>
        <w:tc>
          <w:tcPr>
            <w:tcW w:w="1275" w:type="dxa"/>
            <w:noWrap w:val="0"/>
            <w:vAlign w:val="center"/>
          </w:tcPr>
          <w:p>
            <w:pPr>
              <w:widowControl/>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职工生活</w:t>
            </w:r>
          </w:p>
        </w:tc>
        <w:tc>
          <w:tcPr>
            <w:tcW w:w="1925" w:type="dxa"/>
            <w:noWrap w:val="0"/>
            <w:vAlign w:val="center"/>
          </w:tcPr>
          <w:p>
            <w:pPr>
              <w:widowControl/>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生活垃圾</w:t>
            </w:r>
          </w:p>
        </w:tc>
        <w:tc>
          <w:tcPr>
            <w:tcW w:w="1245" w:type="dxa"/>
            <w:noWrap w:val="0"/>
            <w:vAlign w:val="center"/>
          </w:tcPr>
          <w:p>
            <w:pPr>
              <w:adjustRightInd w:val="0"/>
              <w:snapToGrid w:val="0"/>
              <w:ind w:left="-108" w:leftChars="0" w:right="-30" w:rightChars="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w:t>
            </w:r>
          </w:p>
        </w:tc>
        <w:tc>
          <w:tcPr>
            <w:tcW w:w="1200" w:type="dxa"/>
            <w:noWrap w:val="0"/>
            <w:vAlign w:val="center"/>
          </w:tcPr>
          <w:p>
            <w:pPr>
              <w:widowControl/>
              <w:adjustRightInd w:val="0"/>
              <w:snapToGrid w:val="0"/>
              <w:jc w:val="center"/>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7.5</w:t>
            </w:r>
            <w:r>
              <w:rPr>
                <w:rFonts w:hint="eastAsia" w:ascii="Times New Roman" w:hAnsi="Times New Roman" w:eastAsia="宋体" w:cs="Times New Roman"/>
                <w:color w:val="000000"/>
                <w:sz w:val="24"/>
                <w:szCs w:val="24"/>
                <w:highlight w:val="none"/>
                <w:lang w:val="en-US" w:eastAsia="zh-CN"/>
              </w:rPr>
              <w:t>kg</w:t>
            </w: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d</w:t>
            </w:r>
          </w:p>
        </w:tc>
        <w:tc>
          <w:tcPr>
            <w:tcW w:w="2392" w:type="dxa"/>
            <w:gridSpan w:val="2"/>
            <w:noWrap w:val="0"/>
            <w:vAlign w:val="center"/>
          </w:tcPr>
          <w:p>
            <w:pPr>
              <w:widowControl/>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454" w:hRule="atLeast"/>
        </w:trPr>
        <w:tc>
          <w:tcPr>
            <w:tcW w:w="1023" w:type="dxa"/>
            <w:vMerge w:val="continue"/>
            <w:noWrap w:val="0"/>
            <w:vAlign w:val="center"/>
          </w:tcPr>
          <w:p>
            <w:pPr>
              <w:adjustRightInd w:val="0"/>
              <w:snapToGrid w:val="0"/>
              <w:ind w:left="-108"/>
              <w:jc w:val="center"/>
              <w:rPr>
                <w:rFonts w:hint="default" w:ascii="Times New Roman" w:hAnsi="Times New Roman" w:cs="Times New Roman"/>
                <w:b/>
                <w:bCs/>
                <w:color w:val="000000"/>
                <w:sz w:val="24"/>
                <w:highlight w:val="none"/>
              </w:rPr>
            </w:pPr>
          </w:p>
        </w:tc>
        <w:tc>
          <w:tcPr>
            <w:tcW w:w="1275" w:type="dxa"/>
            <w:noWrap w:val="0"/>
            <w:vAlign w:val="center"/>
          </w:tcPr>
          <w:p>
            <w:pPr>
              <w:widowControl/>
              <w:adjustRightInd w:val="0"/>
              <w:snapToGrid w:val="0"/>
              <w:jc w:val="center"/>
              <w:rPr>
                <w:rFonts w:hint="eastAsia" w:ascii="Times New Roman" w:hAnsi="Times New Roman" w:eastAsia="宋体" w:cs="Times New Roman"/>
                <w:kern w:val="0"/>
                <w:sz w:val="24"/>
                <w:szCs w:val="24"/>
                <w:highlight w:val="none"/>
                <w:lang w:eastAsia="zh-CN"/>
              </w:rPr>
            </w:pPr>
            <w:r>
              <w:rPr>
                <w:rFonts w:hint="eastAsia" w:ascii="Times New Roman" w:hAnsi="Times New Roman" w:cs="Times New Roman"/>
                <w:kern w:val="0"/>
                <w:sz w:val="24"/>
                <w:szCs w:val="24"/>
                <w:highlight w:val="none"/>
                <w:lang w:val="en-US" w:eastAsia="zh-CN"/>
              </w:rPr>
              <w:t>施工</w:t>
            </w:r>
          </w:p>
        </w:tc>
        <w:tc>
          <w:tcPr>
            <w:tcW w:w="1925" w:type="dxa"/>
            <w:noWrap w:val="0"/>
            <w:vAlign w:val="center"/>
          </w:tcPr>
          <w:p>
            <w:pPr>
              <w:widowControl/>
              <w:adjustRightInd w:val="0"/>
              <w:snapToGrid w:val="0"/>
              <w:jc w:val="center"/>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废弃防腐材料</w:t>
            </w:r>
          </w:p>
        </w:tc>
        <w:tc>
          <w:tcPr>
            <w:tcW w:w="1245" w:type="dxa"/>
            <w:noWrap w:val="0"/>
            <w:vAlign w:val="center"/>
          </w:tcPr>
          <w:p>
            <w:pPr>
              <w:adjustRightInd w:val="0"/>
              <w:snapToGrid w:val="0"/>
              <w:ind w:left="-108" w:right="-3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w:t>
            </w:r>
          </w:p>
        </w:tc>
        <w:tc>
          <w:tcPr>
            <w:tcW w:w="1200" w:type="dxa"/>
            <w:noWrap w:val="0"/>
            <w:vAlign w:val="center"/>
          </w:tcPr>
          <w:p>
            <w:pPr>
              <w:widowControl/>
              <w:adjustRightInd w:val="0"/>
              <w:snapToGrid w:val="0"/>
              <w:jc w:val="center"/>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40t</w:t>
            </w:r>
          </w:p>
        </w:tc>
        <w:tc>
          <w:tcPr>
            <w:tcW w:w="2392" w:type="dxa"/>
            <w:gridSpan w:val="2"/>
            <w:noWrap w:val="0"/>
            <w:vAlign w:val="center"/>
          </w:tcPr>
          <w:p>
            <w:pPr>
              <w:widowControl/>
              <w:adjustRightInd w:val="0"/>
              <w:snapToGrid w:val="0"/>
              <w:jc w:val="center"/>
              <w:rPr>
                <w:rFonts w:hint="default" w:ascii="Times New Roman" w:hAnsi="Times New Roman" w:cs="Times New Roman"/>
                <w:kern w:val="0"/>
                <w:sz w:val="24"/>
                <w:szCs w:val="24"/>
                <w:highlight w:val="none"/>
              </w:rPr>
            </w:pPr>
            <w:r>
              <w:rPr>
                <w:rFonts w:hint="default" w:ascii="Times New Roman" w:hAnsi="Times New Roman" w:cs="Times New Roman"/>
                <w:kern w:val="0"/>
                <w:sz w:val="24"/>
                <w:szCs w:val="24"/>
                <w:highlight w:val="none"/>
              </w:rPr>
              <w:t>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90" w:hRule="atLeast"/>
        </w:trPr>
        <w:tc>
          <w:tcPr>
            <w:tcW w:w="1023" w:type="dxa"/>
            <w:noWrap w:val="0"/>
            <w:vAlign w:val="center"/>
          </w:tcPr>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噪</w:t>
            </w:r>
          </w:p>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声</w:t>
            </w:r>
          </w:p>
        </w:tc>
        <w:tc>
          <w:tcPr>
            <w:tcW w:w="8037" w:type="dxa"/>
            <w:gridSpan w:val="6"/>
            <w:noWrap w:val="0"/>
            <w:vAlign w:val="center"/>
          </w:tcPr>
          <w:p>
            <w:pPr>
              <w:adjustRightInd w:val="0"/>
              <w:snapToGrid w:val="0"/>
              <w:spacing w:line="460" w:lineRule="exact"/>
              <w:ind w:left="-108" w:right="-28"/>
              <w:rPr>
                <w:rFonts w:hint="default" w:ascii="Times New Roman" w:hAnsi="Times New Roman" w:cs="Times New Roman"/>
                <w:sz w:val="24"/>
                <w:highlight w:val="none"/>
              </w:rPr>
            </w:pPr>
            <w:r>
              <w:rPr>
                <w:rFonts w:hint="default" w:ascii="Times New Roman" w:hAnsi="Times New Roman" w:cs="Times New Roman"/>
                <w:sz w:val="24"/>
                <w:highlight w:val="none"/>
              </w:rPr>
              <w:t xml:space="preserve">   </w:t>
            </w:r>
            <w:r>
              <w:rPr>
                <w:rFonts w:hint="default" w:ascii="Times New Roman" w:hAnsi="Times New Roman" w:cs="Times New Roman"/>
                <w:color w:val="000000"/>
                <w:sz w:val="24"/>
                <w:highlight w:val="none"/>
              </w:rPr>
              <w:t>本项目</w:t>
            </w:r>
            <w:r>
              <w:rPr>
                <w:rFonts w:hint="eastAsia" w:ascii="Times New Roman" w:hAnsi="Times New Roman" w:cs="Times New Roman"/>
                <w:color w:val="000000"/>
                <w:sz w:val="24"/>
                <w:highlight w:val="none"/>
                <w:lang w:eastAsia="zh-CN"/>
              </w:rPr>
              <w:t>运营期不产生噪声</w:t>
            </w:r>
            <w:r>
              <w:rPr>
                <w:rFonts w:hint="default" w:ascii="Times New Roman" w:hAnsi="Times New Roman" w:cs="Times New Roman"/>
                <w:sz w:val="24"/>
                <w:highlight w:val="none"/>
              </w:rPr>
              <w:t>，</w:t>
            </w:r>
            <w:r>
              <w:rPr>
                <w:rFonts w:hint="eastAsia" w:ascii="Times New Roman" w:hAnsi="Times New Roman" w:cs="Times New Roman"/>
                <w:sz w:val="24"/>
                <w:highlight w:val="none"/>
                <w:lang w:eastAsia="zh-CN"/>
              </w:rPr>
              <w:t>施工其产生的噪声主要为施工机械及车辆产生的运行噪声，通过围挡隔离，距离衰减能满足</w:t>
            </w:r>
            <w:r>
              <w:rPr>
                <w:rFonts w:hint="default" w:ascii="Times New Roman" w:hAnsi="Times New Roman" w:cs="Times New Roman"/>
                <w:sz w:val="24"/>
                <w:highlight w:val="none"/>
              </w:rPr>
              <w:t>《</w:t>
            </w:r>
            <w:r>
              <w:rPr>
                <w:rFonts w:hint="eastAsia" w:ascii="Times New Roman" w:hAnsi="Times New Roman" w:cs="Times New Roman"/>
                <w:sz w:val="24"/>
                <w:highlight w:val="none"/>
                <w:lang w:eastAsia="zh-CN"/>
              </w:rPr>
              <w:t>建筑施工厂界</w:t>
            </w:r>
            <w:r>
              <w:rPr>
                <w:rFonts w:hint="default" w:ascii="Times New Roman" w:hAnsi="Times New Roman" w:cs="Times New Roman"/>
                <w:sz w:val="24"/>
                <w:highlight w:val="none"/>
              </w:rPr>
              <w:t>环境噪声排放标准》要求。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1039" w:hRule="atLeast"/>
        </w:trPr>
        <w:tc>
          <w:tcPr>
            <w:tcW w:w="1023" w:type="dxa"/>
            <w:noWrap w:val="0"/>
            <w:vAlign w:val="center"/>
          </w:tcPr>
          <w:p>
            <w:pPr>
              <w:adjustRightInd w:val="0"/>
              <w:snapToGrid w:val="0"/>
              <w:ind w:left="-108"/>
              <w:jc w:val="center"/>
              <w:rPr>
                <w:rFonts w:hint="default" w:ascii="Times New Roman" w:hAnsi="Times New Roman" w:cs="Times New Roman"/>
                <w:b/>
                <w:bCs/>
                <w:color w:val="000000"/>
                <w:sz w:val="24"/>
                <w:highlight w:val="none"/>
              </w:rPr>
            </w:pPr>
            <w:r>
              <w:rPr>
                <w:rFonts w:hint="default" w:ascii="Times New Roman" w:hAnsi="Times New Roman" w:cs="Times New Roman"/>
                <w:b/>
                <w:bCs/>
                <w:color w:val="000000"/>
                <w:sz w:val="24"/>
                <w:highlight w:val="none"/>
              </w:rPr>
              <w:t>其他</w:t>
            </w:r>
          </w:p>
        </w:tc>
        <w:tc>
          <w:tcPr>
            <w:tcW w:w="8037" w:type="dxa"/>
            <w:gridSpan w:val="6"/>
            <w:noWrap w:val="0"/>
            <w:vAlign w:val="center"/>
          </w:tcPr>
          <w:p>
            <w:pPr>
              <w:adjustRightInd w:val="0"/>
              <w:snapToGrid w:val="0"/>
              <w:ind w:right="-30"/>
              <w:jc w:val="center"/>
              <w:rPr>
                <w:rFonts w:hint="default" w:ascii="Times New Roman" w:hAnsi="Times New Roman" w:cs="Times New Roman"/>
                <w:spacing w:val="-14"/>
                <w:szCs w:val="21"/>
                <w:highlight w:val="none"/>
              </w:rPr>
            </w:pPr>
            <w:r>
              <w:rPr>
                <w:rFonts w:hint="default" w:ascii="Times New Roman" w:hAnsi="Times New Roman" w:cs="Times New Roman"/>
                <w:spacing w:val="-14"/>
                <w:szCs w:val="21"/>
                <w:highlight w:val="none"/>
              </w:rPr>
              <w:t>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gridAfter w:val="1"/>
          <w:wAfter w:w="261" w:type="dxa"/>
          <w:cantSplit/>
          <w:trHeight w:val="841" w:hRule="atLeast"/>
        </w:trPr>
        <w:tc>
          <w:tcPr>
            <w:tcW w:w="9060" w:type="dxa"/>
            <w:gridSpan w:val="7"/>
            <w:noWrap w:val="0"/>
            <w:vAlign w:val="top"/>
          </w:tcPr>
          <w:p>
            <w:pPr>
              <w:adjustRightInd w:val="0"/>
              <w:snapToGrid w:val="0"/>
              <w:spacing w:line="520" w:lineRule="exact"/>
              <w:rPr>
                <w:rFonts w:hint="default" w:ascii="Times New Roman" w:hAnsi="Times New Roman" w:cs="Times New Roman"/>
                <w:sz w:val="24"/>
                <w:highlight w:val="none"/>
              </w:rPr>
            </w:pPr>
            <w:r>
              <w:rPr>
                <w:rFonts w:hint="default" w:ascii="Times New Roman" w:hAnsi="Times New Roman" w:cs="Times New Roman"/>
                <w:sz w:val="24"/>
                <w:highlight w:val="none"/>
              </w:rPr>
              <w:t>主要生态影响</w:t>
            </w:r>
          </w:p>
          <w:p>
            <w:pPr>
              <w:adjustRightInd w:val="0"/>
              <w:snapToGrid w:val="0"/>
              <w:spacing w:line="440" w:lineRule="exact"/>
              <w:ind w:left="-6" w:right="-28" w:firstLine="379" w:firstLineChars="158"/>
              <w:rPr>
                <w:rFonts w:hint="default" w:ascii="Times New Roman" w:hAnsi="Times New Roman" w:cs="Times New Roman"/>
                <w:sz w:val="24"/>
                <w:highlight w:val="none"/>
              </w:rPr>
            </w:pPr>
            <w:r>
              <w:rPr>
                <w:rFonts w:hint="default" w:ascii="Times New Roman" w:hAnsi="Times New Roman" w:cs="Times New Roman"/>
                <w:sz w:val="24"/>
                <w:highlight w:val="none"/>
              </w:rPr>
              <w:t>本项目为新建项目，</w:t>
            </w:r>
            <w:r>
              <w:rPr>
                <w:rFonts w:hint="eastAsia" w:ascii="Times New Roman" w:hAnsi="Times New Roman" w:cs="Times New Roman"/>
                <w:sz w:val="24"/>
                <w:highlight w:val="none"/>
                <w:lang w:eastAsia="zh-CN"/>
              </w:rPr>
              <w:t>且沿</w:t>
            </w:r>
            <w:r>
              <w:rPr>
                <w:rFonts w:hint="eastAsia" w:ascii="Times New Roman" w:hAnsi="Times New Roman" w:cs="Times New Roman"/>
                <w:sz w:val="24"/>
                <w:highlight w:val="none"/>
                <w:lang w:val="en-US" w:eastAsia="zh-CN"/>
              </w:rPr>
              <w:t>城区</w:t>
            </w:r>
            <w:r>
              <w:rPr>
                <w:rFonts w:hint="eastAsia" w:ascii="Times New Roman" w:hAnsi="Times New Roman" w:cs="Times New Roman"/>
                <w:sz w:val="24"/>
                <w:highlight w:val="none"/>
                <w:lang w:eastAsia="zh-CN"/>
              </w:rPr>
              <w:t>道路铺设，</w:t>
            </w:r>
            <w:r>
              <w:rPr>
                <w:rFonts w:hint="default" w:ascii="Times New Roman" w:hAnsi="Times New Roman" w:cs="Times New Roman"/>
                <w:sz w:val="24"/>
                <w:highlight w:val="none"/>
              </w:rPr>
              <w:t>项目周围为空地、</w:t>
            </w:r>
            <w:r>
              <w:rPr>
                <w:rFonts w:hint="eastAsia" w:ascii="Times New Roman" w:hAnsi="Times New Roman" w:cs="Times New Roman"/>
                <w:sz w:val="24"/>
                <w:highlight w:val="none"/>
                <w:lang w:val="en-US" w:eastAsia="zh-CN"/>
              </w:rPr>
              <w:t>社区</w:t>
            </w:r>
            <w:r>
              <w:rPr>
                <w:rFonts w:hint="default" w:ascii="Times New Roman" w:hAnsi="Times New Roman" w:cs="Times New Roman"/>
                <w:sz w:val="24"/>
                <w:highlight w:val="none"/>
              </w:rPr>
              <w:t>。项目建成后不改变原有的地形地貌，对周围自然环境不造成破坏，项目建设对生态环境影响较小。</w:t>
            </w:r>
          </w:p>
          <w:p>
            <w:pPr>
              <w:adjustRightInd w:val="0"/>
              <w:snapToGrid w:val="0"/>
              <w:spacing w:line="440" w:lineRule="exact"/>
              <w:ind w:left="-6" w:right="-28" w:firstLine="379" w:firstLineChars="158"/>
              <w:rPr>
                <w:rFonts w:hint="default" w:ascii="Times New Roman" w:hAnsi="Times New Roman" w:cs="Times New Roman"/>
                <w:sz w:val="24"/>
                <w:highlight w:val="none"/>
              </w:rPr>
            </w:pPr>
          </w:p>
          <w:p>
            <w:pPr>
              <w:adjustRightInd w:val="0"/>
              <w:snapToGrid w:val="0"/>
              <w:spacing w:line="440" w:lineRule="exact"/>
              <w:ind w:left="-6" w:right="-28" w:firstLine="379" w:firstLineChars="158"/>
              <w:rPr>
                <w:rFonts w:hint="default" w:ascii="Times New Roman" w:hAnsi="Times New Roman" w:cs="Times New Roman"/>
                <w:sz w:val="24"/>
                <w:highlight w:val="none"/>
              </w:rPr>
            </w:pPr>
          </w:p>
          <w:p>
            <w:pPr>
              <w:adjustRightInd w:val="0"/>
              <w:snapToGrid w:val="0"/>
              <w:spacing w:line="440" w:lineRule="exact"/>
              <w:ind w:left="-6" w:right="-28" w:firstLine="379" w:firstLineChars="158"/>
              <w:rPr>
                <w:rFonts w:hint="default" w:ascii="Times New Roman" w:hAnsi="Times New Roman" w:cs="Times New Roman"/>
                <w:sz w:val="24"/>
                <w:highlight w:val="none"/>
              </w:rPr>
            </w:pPr>
          </w:p>
          <w:p>
            <w:pPr>
              <w:bidi w:val="0"/>
              <w:rPr>
                <w:rFonts w:hint="default" w:ascii="Times New Roman" w:hAnsi="Times New Roman" w:cs="Times New Roman"/>
              </w:rPr>
            </w:pPr>
          </w:p>
          <w:p>
            <w:pPr>
              <w:bidi w:val="0"/>
              <w:rPr>
                <w:rFonts w:hint="default" w:ascii="Times New Roman" w:hAnsi="Times New Roman" w:cs="Times New Roman"/>
              </w:rPr>
            </w:pPr>
          </w:p>
          <w:p>
            <w:pPr>
              <w:pStyle w:val="20"/>
              <w:rPr>
                <w:rFonts w:hint="default" w:ascii="Times New Roman" w:hAnsi="Times New Roman" w:eastAsia="宋体" w:cs="Times New Roman"/>
                <w:highlight w:val="none"/>
              </w:rPr>
            </w:pPr>
          </w:p>
          <w:p>
            <w:pPr>
              <w:rPr>
                <w:rFonts w:hint="default" w:ascii="Times New Roman" w:hAnsi="Times New Roman" w:cs="Times New Roman"/>
                <w:sz w:val="24"/>
                <w:highlight w:val="none"/>
              </w:rPr>
            </w:pPr>
          </w:p>
          <w:p>
            <w:pPr>
              <w:rPr>
                <w:rFonts w:hint="default" w:ascii="Times New Roman" w:hAnsi="Times New Roman" w:cs="Times New Roman"/>
                <w:sz w:val="24"/>
                <w:highlight w:val="none"/>
              </w:rPr>
            </w:pPr>
          </w:p>
          <w:p>
            <w:pPr>
              <w:rPr>
                <w:rFonts w:hint="default" w:ascii="Times New Roman" w:hAnsi="Times New Roman" w:cs="Times New Roman"/>
                <w:sz w:val="24"/>
                <w:highlight w:val="none"/>
              </w:rPr>
            </w:pPr>
          </w:p>
          <w:p>
            <w:pPr>
              <w:rPr>
                <w:rFonts w:hint="default" w:ascii="Times New Roman" w:hAnsi="Times New Roman" w:cs="Times New Roman"/>
                <w:sz w:val="24"/>
                <w:highlight w:val="none"/>
              </w:rPr>
            </w:pPr>
          </w:p>
          <w:p>
            <w:pPr>
              <w:bidi w:val="0"/>
              <w:rPr>
                <w:rFonts w:hint="default" w:ascii="Times New Roman" w:hAnsi="Times New Roman" w:cs="Times New Roman"/>
              </w:rPr>
            </w:pPr>
          </w:p>
          <w:p>
            <w:pPr>
              <w:rPr>
                <w:rFonts w:hint="default" w:ascii="Times New Roman" w:hAnsi="Times New Roman" w:cs="Times New Roman"/>
                <w:sz w:val="24"/>
                <w:highlight w:val="none"/>
              </w:rPr>
            </w:pPr>
          </w:p>
          <w:p>
            <w:pPr>
              <w:rPr>
                <w:rFonts w:hint="default" w:ascii="Times New Roman" w:hAnsi="Times New Roman" w:cs="Times New Roman"/>
                <w:sz w:val="24"/>
                <w:highlight w:val="none"/>
              </w:rPr>
            </w:pPr>
          </w:p>
          <w:p>
            <w:pPr>
              <w:rPr>
                <w:rFonts w:hint="default" w:ascii="Times New Roman" w:hAnsi="Times New Roman" w:cs="Times New Roman"/>
                <w:sz w:val="24"/>
                <w:highlight w:val="none"/>
              </w:rPr>
            </w:pPr>
          </w:p>
          <w:p>
            <w:pPr>
              <w:rPr>
                <w:rFonts w:hint="default" w:ascii="Times New Roman" w:hAnsi="Times New Roman" w:cs="Times New Roman"/>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228" w:hRule="atLeast"/>
        </w:trPr>
        <w:tc>
          <w:tcPr>
            <w:tcW w:w="9321" w:type="dxa"/>
            <w:gridSpan w:val="8"/>
            <w:noWrap w:val="0"/>
            <w:vAlign w:val="top"/>
          </w:tcPr>
          <w:p>
            <w:pPr>
              <w:jc w:val="left"/>
              <w:rPr>
                <w:rFonts w:hint="default" w:ascii="Times New Roman" w:hAnsi="Times New Roman" w:eastAsia="黑体" w:cs="Times New Roman"/>
                <w:bCs/>
                <w:sz w:val="24"/>
                <w:highlight w:val="none"/>
              </w:rPr>
            </w:pPr>
            <w:r>
              <w:rPr>
                <w:rFonts w:hint="default" w:ascii="Times New Roman" w:hAnsi="Times New Roman" w:cs="Times New Roman"/>
                <w:sz w:val="32"/>
                <w:highlight w:val="none"/>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-391795</wp:posOffset>
                      </wp:positionV>
                      <wp:extent cx="1428115" cy="415290"/>
                      <wp:effectExtent l="0" t="0" r="0" b="0"/>
                      <wp:wrapNone/>
                      <wp:docPr id="9" name="矩形 9"/>
                      <wp:cNvGraphicFramePr/>
                      <a:graphic xmlns:a="http://schemas.openxmlformats.org/drawingml/2006/main">
                        <a:graphicData uri="http://schemas.microsoft.com/office/word/2010/wordprocessingShape">
                          <wps:wsp>
                            <wps:cNvSpPr/>
                            <wps:spPr>
                              <a:xfrm>
                                <a:off x="0" y="0"/>
                                <a:ext cx="1428115" cy="415290"/>
                              </a:xfrm>
                              <a:prstGeom prst="rect">
                                <a:avLst/>
                              </a:prstGeom>
                              <a:noFill/>
                              <a:ln>
                                <a:noFill/>
                              </a:ln>
                            </wps:spPr>
                            <wps:txbx>
                              <w:txbxContent>
                                <w:p>
                                  <w:pPr>
                                    <w:spacing w:line="480" w:lineRule="exact"/>
                                    <w:rPr>
                                      <w:rFonts w:eastAsia="黑体"/>
                                      <w:bCs/>
                                      <w:sz w:val="32"/>
                                      <w:szCs w:val="32"/>
                                    </w:rPr>
                                  </w:pPr>
                                  <w:r>
                                    <w:rPr>
                                      <w:rFonts w:eastAsia="黑体"/>
                                      <w:bCs/>
                                      <w:sz w:val="32"/>
                                      <w:szCs w:val="32"/>
                                    </w:rPr>
                                    <w:t>环境影响分析</w:t>
                                  </w:r>
                                </w:p>
                                <w:p/>
                              </w:txbxContent>
                            </wps:txbx>
                            <wps:bodyPr upright="1"/>
                          </wps:wsp>
                        </a:graphicData>
                      </a:graphic>
                    </wp:anchor>
                  </w:drawing>
                </mc:Choice>
                <mc:Fallback>
                  <w:pict>
                    <v:rect id="_x0000_s1026" o:spid="_x0000_s1026" o:spt="1" style="position:absolute;left:0pt;margin-left:0.45pt;margin-top:-30.85pt;height:32.7pt;width:112.45pt;z-index:251659264;mso-width-relative:page;mso-height-relative:page;" filled="f" stroked="f" coordsize="21600,21600" o:gfxdata="UEsDBAoAAAAAAIdO4kAAAAAAAAAAAAAAAAAEAAAAZHJzL1BLAwQUAAAACACHTuJA/rqa5tcAAAAG&#10;AQAADwAAAGRycy9kb3ducmV2LnhtbE2PQUvDQBSE74L/YXmCF2k3idhqzEsPBbGIUEy1523yTILZ&#10;t2l2m9R/7/Okx2GGmW+y1dl2aqTBt44R4nkEirh0Vcs1wvvuaXYPygfDlekcE8I3eVjllxeZSSs3&#10;8RuNRaiVlLBPDUITQp9q7cuGrPFz1xOL9+kGa4LIodbVYCYpt51OomihrWlZFhrT07qh8qs4WYSp&#10;3I773euz3t7sN46Pm+O6+HhBvL6Ko0dQgc7hLwy/+IIOuTAd3IkrrzqEB8khzBbxEpTYSXInTw4I&#10;t0vQeab/4+c/UEsDBBQAAAAIAIdO4kC1nr6hhAEAAPMCAAAOAAAAZHJzL2Uyb0RvYy54bWytUktO&#10;wzAQ3SNxB8t76qYqiEZNu6nKBgEScADXsRtL8Udj06SnQWLHITgO4hqMTWn57BCbyXxeZua98XTe&#10;m5ZsJATtbEWLwZASaYWrtV1X9P5ueXJOSYjc1rx1VlZ0KwOdz46Ppp0v5cg1rq0lEGxiQ9n5ijYx&#10;+pKxIBppeBg4Ly0WlQPDI4awZjXwDrublo2GwzPWOag9OCFDwOzio0hnub9SUsRrpYKMpK0o7haz&#10;hWxXybLZlJdr4L7RYrcG/8MWhmuLQ/etFjxy8gD6VyujBbjgVBwIZ5hTSguZOSCbYviDzW3Dvcxc&#10;UJzg9zKF/2srrjY3QHRd0Qkllhs80dvj8+vLE5kkbTofSoTc+hvYRQHdRLRXYNIXKZA+67nd6yn7&#10;SAQmi/HovChOKRFYGxeno0kWnB3+9hDihXSGJKeigPfKMvLNZYg4EaGfkDTMuqVu23yz1n5LIDBl&#10;WFr4Y8XkxX7V7/ZeuXqLTB886HWDo4pEL8NR2Txo9wrS6b7GGXV4q7N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rqa5tcAAAAGAQAADwAAAAAAAAABACAAAAAiAAAAZHJzL2Rvd25yZXYueG1sUEsB&#10;AhQAFAAAAAgAh07iQLWevqGEAQAA8wIAAA4AAAAAAAAAAQAgAAAAJgEAAGRycy9lMm9Eb2MueG1s&#10;UEsFBgAAAAAGAAYAWQEAABwFAAAAAA==&#10;">
                      <v:fill on="f" focussize="0,0"/>
                      <v:stroke on="f"/>
                      <v:imagedata o:title=""/>
                      <o:lock v:ext="edit" aspectratio="f"/>
                      <v:textbox>
                        <w:txbxContent>
                          <w:p>
                            <w:pPr>
                              <w:spacing w:line="480" w:lineRule="exact"/>
                              <w:rPr>
                                <w:rFonts w:eastAsia="黑体"/>
                                <w:bCs/>
                                <w:sz w:val="32"/>
                                <w:szCs w:val="32"/>
                              </w:rPr>
                            </w:pPr>
                            <w:r>
                              <w:rPr>
                                <w:rFonts w:eastAsia="黑体"/>
                                <w:bCs/>
                                <w:sz w:val="32"/>
                                <w:szCs w:val="32"/>
                              </w:rPr>
                              <w:t>环境影响分析</w:t>
                            </w:r>
                          </w:p>
                          <w:p/>
                        </w:txbxContent>
                      </v:textbox>
                    </v:rect>
                  </w:pict>
                </mc:Fallback>
              </mc:AlternateContent>
            </w:r>
            <w:r>
              <w:rPr>
                <w:rFonts w:hint="default" w:ascii="Times New Roman" w:hAnsi="Times New Roman" w:eastAsia="黑体" w:cs="Times New Roman"/>
                <w:bCs/>
                <w:sz w:val="24"/>
                <w:highlight w:val="none"/>
              </w:rPr>
              <w:t>施工期环境影响分析：</w:t>
            </w:r>
          </w:p>
          <w:p>
            <w:pPr>
              <w:adjustRightInd w:val="0"/>
              <w:snapToGrid w:val="0"/>
              <w:spacing w:line="520" w:lineRule="exact"/>
              <w:ind w:firstLine="361" w:firstLineChars="150"/>
              <w:jc w:val="left"/>
              <w:rPr>
                <w:rFonts w:hint="default" w:ascii="Times New Roman" w:hAnsi="Times New Roman" w:cs="Times New Roman"/>
                <w:bCs/>
                <w:color w:val="000000"/>
                <w:sz w:val="24"/>
                <w:highlight w:val="none"/>
              </w:rPr>
            </w:pPr>
            <w:r>
              <w:rPr>
                <w:rFonts w:hint="default" w:ascii="Times New Roman" w:hAnsi="Times New Roman" w:cs="Times New Roman"/>
                <w:b/>
                <w:color w:val="000000"/>
                <w:sz w:val="24"/>
                <w:highlight w:val="none"/>
              </w:rPr>
              <w:t>1、施工期废气对环境的影响分析</w:t>
            </w:r>
          </w:p>
          <w:p>
            <w:pPr>
              <w:pStyle w:val="8"/>
              <w:adjustRightInd w:val="0"/>
              <w:snapToGrid w:val="0"/>
              <w:spacing w:line="520" w:lineRule="exact"/>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1、大气环境影响分析</w:t>
            </w:r>
          </w:p>
          <w:p>
            <w:pPr>
              <w:pStyle w:val="5"/>
              <w:adjustRightInd w:val="0"/>
              <w:snapToGrid w:val="0"/>
              <w:spacing w:before="0" w:after="0" w:line="520" w:lineRule="exact"/>
              <w:ind w:firstLine="480" w:firstLineChars="200"/>
              <w:jc w:val="left"/>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（1）施工扬尘影响分析</w:t>
            </w:r>
          </w:p>
          <w:p>
            <w:pPr>
              <w:pStyle w:val="9"/>
              <w:snapToGrid w:val="0"/>
              <w:spacing w:line="52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工程产生扬尘污染主要来源于土石方填挖及材料装卸等环节。据有关资料介绍，能产生扬尘的颗粒物粒经分布为：＜5μm的占8%，5～20μm的占24%，＞20μm占68%。施工面及施工便道有大量的颗粒物粒径在可产生扬尘的粒径范围内，极易造成粉尘污染。据类似区域施工现场监测结果，离施工现场50m处，TSP日均浓度为1.13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，离现场200m处为0.47mg/m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p>
          <w:p>
            <w:pPr>
              <w:pStyle w:val="9"/>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szCs w:val="24"/>
              </w:rPr>
              <w:t>当天气晴朗时，在施工期间实施洒水抑尘，每天洒水4～5次，可使扬尘减少70%左右，表</w:t>
            </w:r>
            <w:r>
              <w:rPr>
                <w:rFonts w:hint="eastAsia" w:ascii="Times New Roman" w:hAnsi="Times New Roman" w:cs="Times New Roman"/>
                <w:sz w:val="24"/>
                <w:szCs w:val="24"/>
                <w:lang w:val="en-US" w:eastAsia="zh-CN"/>
              </w:rPr>
              <w:t>15</w:t>
            </w:r>
            <w:r>
              <w:rPr>
                <w:rFonts w:hint="default" w:ascii="Times New Roman" w:hAnsi="Times New Roman" w:cs="Times New Roman"/>
                <w:sz w:val="24"/>
                <w:szCs w:val="24"/>
              </w:rPr>
              <w:t>为施工场地洒水抑尘的试验结果。</w:t>
            </w:r>
          </w:p>
          <w:p>
            <w:pPr>
              <w:adjustRightInd w:val="0"/>
              <w:snapToGrid w:val="0"/>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rPr>
              <w:t>表</w:t>
            </w:r>
            <w:r>
              <w:rPr>
                <w:rFonts w:hint="eastAsia" w:ascii="Times New Roman" w:hAnsi="Times New Roman" w:eastAsia="黑体" w:cs="Times New Roman"/>
                <w:kern w:val="0"/>
                <w:sz w:val="24"/>
                <w:lang w:val="en-US" w:eastAsia="zh-CN"/>
              </w:rPr>
              <w:t>15</w:t>
            </w:r>
            <w:r>
              <w:rPr>
                <w:rFonts w:hint="default" w:ascii="Times New Roman" w:hAnsi="Times New Roman" w:eastAsia="黑体" w:cs="Times New Roman"/>
                <w:kern w:val="0"/>
                <w:sz w:val="24"/>
              </w:rPr>
              <w:t xml:space="preserve">    施工场地洒水抑尘试验结果（天晴时）</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26"/>
              <w:gridCol w:w="1118"/>
              <w:gridCol w:w="1336"/>
              <w:gridCol w:w="1360"/>
              <w:gridCol w:w="1311"/>
              <w:gridCol w:w="17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5" w:hRule="atLeast"/>
                <w:jc w:val="center"/>
              </w:trPr>
              <w:tc>
                <w:tcPr>
                  <w:tcW w:w="1842" w:type="pct"/>
                  <w:gridSpan w:val="2"/>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距离（m）</w:t>
                  </w:r>
                </w:p>
              </w:tc>
              <w:tc>
                <w:tcPr>
                  <w:tcW w:w="736"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5</w:t>
                  </w:r>
                </w:p>
              </w:tc>
              <w:tc>
                <w:tcPr>
                  <w:tcW w:w="749"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20</w:t>
                  </w:r>
                </w:p>
              </w:tc>
              <w:tc>
                <w:tcPr>
                  <w:tcW w:w="723"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50</w:t>
                  </w:r>
                </w:p>
              </w:tc>
              <w:tc>
                <w:tcPr>
                  <w:tcW w:w="950"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5" w:hRule="atLeast"/>
                <w:jc w:val="center"/>
              </w:trPr>
              <w:tc>
                <w:tcPr>
                  <w:tcW w:w="1226" w:type="pct"/>
                  <w:vMerge w:val="restar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TSP小时平均浓度</w:t>
                  </w:r>
                </w:p>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(mg/m</w:t>
                  </w:r>
                  <w:r>
                    <w:rPr>
                      <w:rFonts w:hint="default" w:ascii="Times New Roman" w:hAnsi="Times New Roman" w:cs="Times New Roman"/>
                      <w:sz w:val="21"/>
                      <w:vertAlign w:val="superscript"/>
                    </w:rPr>
                    <w:t>3</w:t>
                  </w:r>
                  <w:r>
                    <w:rPr>
                      <w:rFonts w:hint="default" w:ascii="Times New Roman" w:hAnsi="Times New Roman" w:cs="Times New Roman"/>
                      <w:sz w:val="21"/>
                    </w:rPr>
                    <w:t>)</w:t>
                  </w:r>
                </w:p>
              </w:tc>
              <w:tc>
                <w:tcPr>
                  <w:tcW w:w="616"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不洒水</w:t>
                  </w:r>
                </w:p>
              </w:tc>
              <w:tc>
                <w:tcPr>
                  <w:tcW w:w="736"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10.14</w:t>
                  </w:r>
                </w:p>
              </w:tc>
              <w:tc>
                <w:tcPr>
                  <w:tcW w:w="749"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2.89</w:t>
                  </w:r>
                </w:p>
              </w:tc>
              <w:tc>
                <w:tcPr>
                  <w:tcW w:w="723"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1.15</w:t>
                  </w:r>
                </w:p>
              </w:tc>
              <w:tc>
                <w:tcPr>
                  <w:tcW w:w="950"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7" w:hRule="atLeast"/>
                <w:jc w:val="center"/>
              </w:trPr>
              <w:tc>
                <w:tcPr>
                  <w:tcW w:w="1226" w:type="pct"/>
                  <w:vMerge w:val="continue"/>
                  <w:noWrap w:val="0"/>
                  <w:vAlign w:val="center"/>
                </w:tcPr>
                <w:p>
                  <w:pPr>
                    <w:pStyle w:val="4"/>
                    <w:adjustRightInd w:val="0"/>
                    <w:snapToGrid w:val="0"/>
                    <w:ind w:firstLine="0"/>
                    <w:jc w:val="center"/>
                    <w:rPr>
                      <w:rFonts w:hint="default" w:ascii="Times New Roman" w:hAnsi="Times New Roman" w:cs="Times New Roman"/>
                      <w:sz w:val="21"/>
                    </w:rPr>
                  </w:pPr>
                </w:p>
              </w:tc>
              <w:tc>
                <w:tcPr>
                  <w:tcW w:w="616"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洒水</w:t>
                  </w:r>
                </w:p>
              </w:tc>
              <w:tc>
                <w:tcPr>
                  <w:tcW w:w="736"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2.01</w:t>
                  </w:r>
                </w:p>
              </w:tc>
              <w:tc>
                <w:tcPr>
                  <w:tcW w:w="749"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1.40</w:t>
                  </w:r>
                </w:p>
              </w:tc>
              <w:tc>
                <w:tcPr>
                  <w:tcW w:w="723"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0.67</w:t>
                  </w:r>
                </w:p>
              </w:tc>
              <w:tc>
                <w:tcPr>
                  <w:tcW w:w="950" w:type="pct"/>
                  <w:noWrap w:val="0"/>
                  <w:vAlign w:val="center"/>
                </w:tcPr>
                <w:p>
                  <w:pPr>
                    <w:pStyle w:val="4"/>
                    <w:adjustRightInd w:val="0"/>
                    <w:snapToGrid w:val="0"/>
                    <w:ind w:firstLine="0"/>
                    <w:jc w:val="center"/>
                    <w:rPr>
                      <w:rFonts w:hint="default" w:ascii="Times New Roman" w:hAnsi="Times New Roman" w:cs="Times New Roman"/>
                      <w:sz w:val="21"/>
                    </w:rPr>
                  </w:pPr>
                  <w:r>
                    <w:rPr>
                      <w:rFonts w:hint="default" w:ascii="Times New Roman" w:hAnsi="Times New Roman" w:cs="Times New Roman"/>
                      <w:sz w:val="21"/>
                    </w:rPr>
                    <w:t>0.60</w:t>
                  </w:r>
                </w:p>
              </w:tc>
            </w:tr>
          </w:tbl>
          <w:p>
            <w:pPr>
              <w:pStyle w:val="9"/>
              <w:snapToGrid w:val="0"/>
              <w:spacing w:line="520" w:lineRule="exact"/>
              <w:ind w:firstLine="480" w:firstLineChars="200"/>
              <w:rPr>
                <w:rFonts w:hint="default" w:ascii="Times New Roman" w:hAnsi="Times New Roman" w:cs="Times New Roman"/>
                <w:b/>
                <w:sz w:val="24"/>
                <w:szCs w:val="24"/>
              </w:rPr>
            </w:pPr>
            <w:r>
              <w:rPr>
                <w:rFonts w:hint="default" w:ascii="Times New Roman" w:hAnsi="Times New Roman" w:cs="Times New Roman"/>
                <w:sz w:val="24"/>
                <w:szCs w:val="24"/>
              </w:rPr>
              <w:t>由表</w:t>
            </w:r>
            <w:r>
              <w:rPr>
                <w:rFonts w:hint="eastAsia" w:ascii="Times New Roman" w:hAnsi="Times New Roman" w:cs="Times New Roman"/>
                <w:sz w:val="24"/>
                <w:szCs w:val="24"/>
                <w:lang w:val="en-US" w:eastAsia="zh-CN"/>
              </w:rPr>
              <w:t>15</w:t>
            </w:r>
            <w:r>
              <w:rPr>
                <w:rFonts w:hint="default" w:ascii="Times New Roman" w:hAnsi="Times New Roman" w:cs="Times New Roman"/>
                <w:sz w:val="24"/>
                <w:szCs w:val="24"/>
              </w:rPr>
              <w:t>可见，在不洒水的情况下，施工现场对周围环境的影响较严重，离施工现场50m处，TSP日均浓度为1.13mg/m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，超标2.77倍；离现场200m处为0.47mg/m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，超标0.56倍；离现场300m处为0.22mg/m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能满足《环境空气质量标准》（GB3095-2012）二级标准。因此，在项目施工期间，施工围墙外300m范围内的敏感点会受到施工扬尘的影响。可见，每天洒水4～5次进行抑尘，可有效地控制施工扬尘，经过洒水抑尘后项目场地外TSP浓度可达标，且项目场址已建有围挡，因此施工扬尘对周边环境影响不大。</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（2）运输车辆扬尘影响分析</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运输产生的扬尘是一个非常重要的污染源。据有关调查显示，运输车辆行驶产生的扬尘，与道路路面及车辆行驶速度有关，约占扬尘总量的60%。在完全干燥情况下，可按经验公式计算：</w:t>
            </w:r>
          </w:p>
          <w:p>
            <w:pPr>
              <w:pStyle w:val="9"/>
              <w:snapToGrid w:val="0"/>
              <w:spacing w:line="520" w:lineRule="exact"/>
              <w:ind w:firstLine="420" w:firstLineChars="200"/>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354965</wp:posOffset>
                  </wp:positionH>
                  <wp:positionV relativeFrom="paragraph">
                    <wp:posOffset>276225</wp:posOffset>
                  </wp:positionV>
                  <wp:extent cx="1819275" cy="388620"/>
                  <wp:effectExtent l="0" t="0" r="9525" b="11430"/>
                  <wp:wrapNone/>
                  <wp:docPr id="1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1"/>
                          <pic:cNvPicPr>
                            <a:picLocks noChangeAspect="1"/>
                          </pic:cNvPicPr>
                        </pic:nvPicPr>
                        <pic:blipFill>
                          <a:blip r:embed="rId16"/>
                          <a:stretch>
                            <a:fillRect/>
                          </a:stretch>
                        </pic:blipFill>
                        <pic:spPr>
                          <a:xfrm>
                            <a:off x="0" y="0"/>
                            <a:ext cx="1819275" cy="388620"/>
                          </a:xfrm>
                          <a:prstGeom prst="rect">
                            <a:avLst/>
                          </a:prstGeom>
                          <a:noFill/>
                          <a:ln>
                            <a:noFill/>
                          </a:ln>
                        </pic:spPr>
                      </pic:pic>
                    </a:graphicData>
                  </a:graphic>
                </wp:anchor>
              </w:drawing>
            </w:r>
          </w:p>
          <w:p>
            <w:pPr>
              <w:pStyle w:val="9"/>
              <w:snapToGrid w:val="0"/>
              <w:spacing w:line="520" w:lineRule="exact"/>
              <w:ind w:firstLine="480" w:firstLineChars="200"/>
              <w:rPr>
                <w:rFonts w:hint="default" w:ascii="Times New Roman" w:hAnsi="Times New Roman" w:cs="Times New Roman"/>
                <w:sz w:val="24"/>
                <w:szCs w:val="24"/>
              </w:rPr>
            </w:pP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式中：Q ——汽车行驶的扬尘，kg/km·辆；</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v ——汽车速度，km/h；</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 ——汽车载重量，t；</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P ——道路表面粉尘量，kg/m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p>
          <w:p>
            <w:pPr>
              <w:pStyle w:val="9"/>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一辆载重5t的卡车，通过一段长度为500m的路面时，不同表面清洁程度，不同行驶速度情况下产生的扬尘量如表</w:t>
            </w:r>
            <w:r>
              <w:rPr>
                <w:rFonts w:hint="eastAsia" w:ascii="Times New Roman" w:hAnsi="Times New Roman" w:cs="Times New Roman"/>
                <w:sz w:val="24"/>
                <w:szCs w:val="24"/>
                <w:lang w:val="en-US" w:eastAsia="zh-CN"/>
              </w:rPr>
              <w:t>16</w:t>
            </w:r>
            <w:r>
              <w:rPr>
                <w:rFonts w:hint="default" w:ascii="Times New Roman" w:hAnsi="Times New Roman" w:cs="Times New Roman"/>
                <w:sz w:val="24"/>
                <w:szCs w:val="24"/>
              </w:rPr>
              <w:t>所示。</w:t>
            </w:r>
          </w:p>
          <w:p>
            <w:pPr>
              <w:adjustRightInd w:val="0"/>
              <w:snapToGrid w:val="0"/>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rPr>
              <w:t>表</w:t>
            </w:r>
            <w:r>
              <w:rPr>
                <w:rFonts w:hint="eastAsia" w:ascii="Times New Roman" w:hAnsi="Times New Roman" w:eastAsia="黑体" w:cs="Times New Roman"/>
                <w:kern w:val="0"/>
                <w:sz w:val="24"/>
                <w:lang w:val="en-US" w:eastAsia="zh-CN"/>
              </w:rPr>
              <w:t>16</w:t>
            </w:r>
            <w:r>
              <w:rPr>
                <w:rFonts w:hint="default" w:ascii="Times New Roman" w:hAnsi="Times New Roman" w:eastAsia="黑体" w:cs="Times New Roman"/>
                <w:kern w:val="0"/>
                <w:sz w:val="24"/>
              </w:rPr>
              <w:t xml:space="preserve">  不同车速和地面清洁程度时的汽车扬尘    单位：kg/km·辆</w:t>
            </w:r>
          </w:p>
          <w:tbl>
            <w:tblPr>
              <w:tblStyle w:val="15"/>
              <w:tblW w:w="4912" w:type="pct"/>
              <w:tblInd w:w="16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59"/>
              <w:gridCol w:w="1128"/>
              <w:gridCol w:w="1126"/>
              <w:gridCol w:w="1124"/>
              <w:gridCol w:w="1126"/>
              <w:gridCol w:w="1124"/>
              <w:gridCol w:w="11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2" w:hRule="atLeast"/>
              </w:trPr>
              <w:tc>
                <w:tcPr>
                  <w:tcW w:w="1210"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P(kg/m</w:t>
                  </w:r>
                  <w:r>
                    <w:rPr>
                      <w:rFonts w:hint="default" w:ascii="Times New Roman" w:hAnsi="Times New Roman" w:cs="Times New Roman"/>
                      <w:vertAlign w:val="superscript"/>
                    </w:rPr>
                    <w:t>2</w:t>
                  </w:r>
                  <w:r>
                    <w:rPr>
                      <w:rFonts w:hint="default" w:ascii="Times New Roman" w:hAnsi="Times New Roman" w:cs="Times New Roman"/>
                    </w:rPr>
                    <w:t>)</w:t>
                  </w:r>
                </w:p>
                <w:p>
                  <w:pPr>
                    <w:pStyle w:val="9"/>
                    <w:snapToGrid w:val="0"/>
                    <w:jc w:val="center"/>
                    <w:rPr>
                      <w:rFonts w:hint="default" w:ascii="Times New Roman" w:hAnsi="Times New Roman" w:cs="Times New Roman"/>
                    </w:rPr>
                  </w:pPr>
                  <w:r>
                    <w:rPr>
                      <w:rFonts w:hint="default" w:ascii="Times New Roman" w:hAnsi="Times New Roman" w:cs="Times New Roman"/>
                    </w:rPr>
                    <w:t>车速(km/h)</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0.2</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0.3</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0.4</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0.5</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0"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5</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0.0283</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0.0476</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0.0646</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0.0801</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0.0947</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0.1593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0"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10</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0.0566</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0.0953</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0.1291</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0.1602</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0.1894</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0.3186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0"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15</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0.0850</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0.1429</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0.1937</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0.2403</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0.2841</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0.4778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0"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20</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0.1133</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0.1905</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0.2583</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0.3204</w:t>
                  </w:r>
                </w:p>
              </w:tc>
              <w:tc>
                <w:tcPr>
                  <w:tcW w:w="631"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0.3788</w:t>
                  </w:r>
                </w:p>
              </w:tc>
              <w:tc>
                <w:tcPr>
                  <w:tcW w:w="632" w:type="pct"/>
                  <w:noWrap w:val="0"/>
                  <w:vAlign w:val="center"/>
                </w:tcPr>
                <w:p>
                  <w:pPr>
                    <w:pStyle w:val="9"/>
                    <w:snapToGrid w:val="0"/>
                    <w:jc w:val="center"/>
                    <w:rPr>
                      <w:rFonts w:hint="default" w:ascii="Times New Roman" w:hAnsi="Times New Roman" w:cs="Times New Roman"/>
                    </w:rPr>
                  </w:pPr>
                  <w:r>
                    <w:rPr>
                      <w:rFonts w:hint="default" w:ascii="Times New Roman" w:hAnsi="Times New Roman" w:cs="Times New Roman"/>
                    </w:rPr>
                    <w:t>0.6371</w:t>
                  </w:r>
                </w:p>
              </w:tc>
            </w:tr>
          </w:tbl>
          <w:p>
            <w:pPr>
              <w:pStyle w:val="9"/>
              <w:snapToGrid w:val="0"/>
              <w:spacing w:line="52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由上表</w:t>
            </w:r>
            <w:r>
              <w:rPr>
                <w:rFonts w:hint="eastAsia" w:ascii="Times New Roman" w:hAnsi="Times New Roman" w:cs="Times New Roman"/>
                <w:sz w:val="24"/>
                <w:szCs w:val="24"/>
                <w:lang w:val="en-US" w:eastAsia="zh-CN"/>
              </w:rPr>
              <w:t>16</w:t>
            </w:r>
            <w:r>
              <w:rPr>
                <w:rFonts w:hint="default" w:ascii="Times New Roman" w:hAnsi="Times New Roman" w:cs="Times New Roman"/>
                <w:sz w:val="24"/>
                <w:szCs w:val="24"/>
              </w:rPr>
              <w:t>可见，在同样路面清洁情况下，车速越快，扬尘量越大；而在同样车速情况下，路面清洁度越差，则扬尘量越大。根据类比调查，一般情况下，施工交通道路在自然风作用下产生的扬尘所影响的范围在50m以内。因此，运输车辆必须有较好的密封性，同时防止运输过程中因泥土散落而影响沿途的环境卫生。</w:t>
            </w:r>
          </w:p>
          <w:p>
            <w:pPr>
              <w:pStyle w:val="8"/>
              <w:adjustRightInd w:val="0"/>
              <w:snapToGrid w:val="0"/>
              <w:spacing w:line="52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（3）汽车尾气影响分析</w:t>
            </w:r>
          </w:p>
          <w:p>
            <w:pPr>
              <w:pStyle w:val="8"/>
              <w:adjustRightInd w:val="0"/>
              <w:snapToGrid w:val="0"/>
              <w:spacing w:line="52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rPr>
              <w:t>汽车尾气中所含的有害物质主要有CO、NO</w:t>
            </w:r>
            <w:r>
              <w:rPr>
                <w:rFonts w:hint="default" w:ascii="Times New Roman" w:hAnsi="Times New Roman" w:cs="Times New Roman"/>
                <w:sz w:val="24"/>
                <w:vertAlign w:val="subscript"/>
              </w:rPr>
              <w:t>x</w:t>
            </w:r>
            <w:r>
              <w:rPr>
                <w:rFonts w:hint="default" w:ascii="Times New Roman" w:hAnsi="Times New Roman" w:cs="Times New Roman"/>
                <w:sz w:val="24"/>
              </w:rPr>
              <w:t>等，但这些污染源较分散且为流动性，污染物排放量不大，表现为间歇性特征，影响是短期和局部的，施工结束影响也随之消失，这类废气对大气环境的影响比较小，同时施工单位必须使用污染物排放符合国家标准的运输车辆，加强车辆的保养，使车辆处于良好的工作状态，严禁使用报废车辆，以减少施工车辆尾气对周围环境的影响。评价建议运输车辆缩短怠速、减速和加速的时间，另外建议施工人员作业时佩戴口罩，以减少CO、NO</w:t>
            </w:r>
            <w:r>
              <w:rPr>
                <w:rFonts w:hint="default" w:ascii="Times New Roman" w:hAnsi="Times New Roman" w:cs="Times New Roman"/>
                <w:sz w:val="24"/>
                <w:vertAlign w:val="subscript"/>
              </w:rPr>
              <w:t>x</w:t>
            </w:r>
            <w:r>
              <w:rPr>
                <w:rFonts w:hint="default" w:ascii="Times New Roman" w:hAnsi="Times New Roman" w:cs="Times New Roman"/>
                <w:sz w:val="24"/>
              </w:rPr>
              <w:t>等汽车尾气对施工人员及周围环境的影响。</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另依据《河南省20</w:t>
            </w:r>
            <w:r>
              <w:rPr>
                <w:rFonts w:hint="default" w:ascii="Times New Roman" w:hAnsi="Times New Roman" w:cs="Times New Roman"/>
                <w:sz w:val="24"/>
                <w:lang w:val="en-US" w:eastAsia="zh-CN"/>
              </w:rPr>
              <w:t>20</w:t>
            </w:r>
            <w:r>
              <w:rPr>
                <w:rFonts w:hint="default" w:ascii="Times New Roman" w:hAnsi="Times New Roman" w:cs="Times New Roman"/>
                <w:sz w:val="24"/>
              </w:rPr>
              <w:t>年大气污染防治攻坚战实施方案》和《河南省环境污染防治攻坚战领导小组办公室关于进一步加强扬尘污染专项治理的意见》(豫环攻坚办〔2017〕191号)等文件的要求，切实做到“6个100%”，即：施工现场100%围挡、各类物料堆放100%覆盖、土方开挖100%湿法作业、出场车辆100%清洗、施工现场主要站区及道路100%硬化、渣土车辆100%密闭运输，并自觉接受市政府发布的各级预警。</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根据《信阳市20</w:t>
            </w:r>
            <w:r>
              <w:rPr>
                <w:rFonts w:hint="default" w:ascii="Times New Roman" w:hAnsi="Times New Roman" w:cs="Times New Roman"/>
                <w:sz w:val="24"/>
                <w:lang w:val="en-US" w:eastAsia="zh-CN"/>
              </w:rPr>
              <w:t>20</w:t>
            </w:r>
            <w:r>
              <w:rPr>
                <w:rFonts w:hint="default" w:ascii="Times New Roman" w:hAnsi="Times New Roman" w:cs="Times New Roman"/>
                <w:sz w:val="24"/>
              </w:rPr>
              <w:t>年大气污染防治攻坚战实施方案》的要求，实现建筑工地现场标准化管理的目标，确保实现“六不开工”、“六个100%”和“两禁止”相关要求，实行“一票停工”制和“环保黑名单制”，全面提升施工场地管理监控水平。全面提升施工场地管理监控水平。具体措施如下：</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A、施工作业带内扬尘污染防尘措施</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①施工现场必须设置控制扬尘污染责任标志牌，标明扬尘污染防治措施、主管部门、责任人及环保监督电话等内容。</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②施工区设置围挡，要求底部设置防溢座，顶端设置压顶。</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③施工作业带应保持湿润、无明显浮尘，堆放粉状物料的区域必须建立洒水清扫制度，由专人负责洒水和场地的清扫，每天至少上下班两次。特别是沿途靠近环境敏感点的区域施工时，要加强洒水的频率和强度。</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④道路开挖的渣土应及时清运，临时堆存，应采取洒水或喷淋措施，并进行覆盖处理。</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⑤施工物料在作业带内堆放时要用苫布遮挡。粉状物料堆放点尽量远离居民区。</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⑥施工现场出入口要由专人负责清扫车身及出入口卫生，确保运输车辆不带泥土出场。</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⑦施工现场裸露的场地及时进行覆盖处理或种植植被，按照“宜绿则绿、易盖则盖、分类实施、多策并举”的原则，采取绿化、硬化、洒水、覆盖等措施，防止产生二次扬尘污染。</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B、交通运输扬尘污染防治措施</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①建设单位必须委托具有垃圾运输资格的运输单位进行渣土及垃圾运输。清运垃圾、渣土的车辆应预先办理相关手续或委托具有垃圾运输资格的运输单位进行，严格按要求进行封闭运输，不得乱卸乱倒垃圾，不允许凌空抛扬，宜袋装清运，以免造成扬尘污染。</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②从事渣土、垃圾运输的企业和车辆必须持有建筑垃圾处置核准手续。运输渣土、垃圾的车辆应随车携带驾驶证、行车证、营运证、建筑垃圾运输许可证和双向登记卡。</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③设专门的洒水车辆对运输道路进行洒水降尘，并设专人定期清扫施工作业带附近的运输道路。</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④渣土及易起尘建材运输时，必须进行遮盖处理。运输车辆必须采取密闭运输达到无垃圾外露、无遗撒、无扬尘、无高尖车的要求，并按规定的时间、地点、线路运输和倾倒。</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⑤在施工工地出口处设立监控设施，监督施工工地驶出车辆带泥出场和冒装撒漏，严禁冒装渣土车、带泥车和沿途撒漏车辆进入城市道路，确保密闭运输效果。</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C、施工项目部内防尘措施施工项目部内应设置车辆、机械冲洗设施，防治车辆带泥出场，保持周边环境清洁。</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本项目最近的敏感点为南侧</w:t>
            </w:r>
            <w:r>
              <w:rPr>
                <w:rFonts w:hint="default" w:ascii="Times New Roman" w:hAnsi="Times New Roman" w:cs="Times New Roman"/>
                <w:sz w:val="24"/>
                <w:lang w:val="en-US" w:eastAsia="zh-CN"/>
              </w:rPr>
              <w:t>200</w:t>
            </w:r>
            <w:r>
              <w:rPr>
                <w:rFonts w:hint="default" w:ascii="Times New Roman" w:hAnsi="Times New Roman" w:cs="Times New Roman"/>
                <w:sz w:val="24"/>
              </w:rPr>
              <w:t>m处的</w:t>
            </w:r>
            <w:r>
              <w:rPr>
                <w:rFonts w:hint="default" w:ascii="Times New Roman" w:hAnsi="Times New Roman" w:cs="Times New Roman"/>
                <w:sz w:val="24"/>
                <w:lang w:val="en-US" w:eastAsia="zh-CN"/>
              </w:rPr>
              <w:t>常庄村</w:t>
            </w:r>
            <w:r>
              <w:rPr>
                <w:rFonts w:hint="default" w:ascii="Times New Roman" w:hAnsi="Times New Roman" w:cs="Times New Roman"/>
                <w:sz w:val="24"/>
              </w:rPr>
              <w:t>，在项目施工期间在做好防治施工废气的措施的情况下，施工废气对周围居民区大气环境的影响是可以接受的，随着施工的结束，该部分影响也将随之消失。</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总之，只要加强管理，切实落实好上述各项措施，施工期扬尘将有效得到抑制，使扬尘对环境的影响降至最低。</w:t>
            </w:r>
          </w:p>
          <w:p>
            <w:pPr>
              <w:pStyle w:val="8"/>
              <w:adjustRightInd w:val="0"/>
              <w:snapToGrid w:val="0"/>
              <w:spacing w:line="520" w:lineRule="exact"/>
              <w:ind w:firstLine="482" w:firstLineChars="200"/>
              <w:jc w:val="left"/>
              <w:rPr>
                <w:rFonts w:hint="default" w:ascii="Times New Roman" w:hAnsi="Times New Roman" w:cs="Times New Roman"/>
                <w:b/>
                <w:sz w:val="24"/>
              </w:rPr>
            </w:pPr>
            <w:r>
              <w:rPr>
                <w:rFonts w:hint="default" w:ascii="Times New Roman" w:hAnsi="Times New Roman" w:cs="Times New Roman"/>
                <w:b/>
                <w:sz w:val="24"/>
              </w:rPr>
              <w:t>2、水环境影响分析</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根据工程分析，项目施工期废水主要为施工人员的生活污水，施工人员约</w:t>
            </w:r>
            <w:r>
              <w:rPr>
                <w:rFonts w:hint="default" w:ascii="Times New Roman" w:hAnsi="Times New Roman" w:cs="Times New Roman"/>
                <w:sz w:val="24"/>
                <w:lang w:val="en-US" w:eastAsia="zh-CN"/>
              </w:rPr>
              <w:t>15</w:t>
            </w:r>
            <w:r>
              <w:rPr>
                <w:rFonts w:hint="default" w:ascii="Times New Roman" w:hAnsi="Times New Roman" w:cs="Times New Roman"/>
                <w:sz w:val="24"/>
              </w:rPr>
              <w:t>人，项目施工期日排放污水量</w:t>
            </w:r>
            <w:r>
              <w:rPr>
                <w:rFonts w:hint="default" w:ascii="Times New Roman" w:hAnsi="Times New Roman" w:cs="Times New Roman"/>
                <w:sz w:val="24"/>
                <w:lang w:val="en-US" w:eastAsia="zh-CN"/>
              </w:rPr>
              <w:t>2.25</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/d，生活污水经化粪池处理后用于厂区降尘，经妥善处理后，对周边地表水体影响不大。</w:t>
            </w:r>
          </w:p>
          <w:p>
            <w:pPr>
              <w:pStyle w:val="8"/>
              <w:adjustRightInd w:val="0"/>
              <w:snapToGrid w:val="0"/>
              <w:spacing w:line="520" w:lineRule="exact"/>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3、噪声影响分析</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现场施工产生的噪声值较大，在实际施工过程中，各类机械同时工作，各类噪声源辐射的相互叠加，噪声级将会更高，辐射面也会更大。噪声从声源传播到受声点，受传播距离，空气吸收，阻挡物的反射与屏障等因素的影响而产生衰减。用A声级进行预测时，其预测模式如下：</w:t>
            </w:r>
          </w:p>
          <w:p>
            <w:pPr>
              <w:adjustRightInd w:val="0"/>
              <w:snapToGrid w:val="0"/>
              <w:spacing w:line="520" w:lineRule="exact"/>
              <w:ind w:firstLine="420" w:firstLineChars="150"/>
              <w:rPr>
                <w:rFonts w:hint="default" w:ascii="Times New Roman" w:hAnsi="Times New Roman" w:cs="Times New Roman"/>
                <w:sz w:val="28"/>
                <w:lang w:val="pt-BR"/>
              </w:rPr>
            </w:pPr>
            <w:r>
              <w:rPr>
                <w:rFonts w:hint="default" w:ascii="Times New Roman" w:hAnsi="Times New Roman" w:cs="Times New Roman"/>
                <w:sz w:val="28"/>
                <w:lang w:val="pt-BR"/>
              </w:rPr>
              <w:t>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w:t>
            </w:r>
            <w:r>
              <w:rPr>
                <w:rFonts w:hint="default" w:ascii="Times New Roman" w:hAnsi="Times New Roman" w:cs="Times New Roman"/>
                <w:sz w:val="28"/>
                <w:vertAlign w:val="subscript"/>
                <w:lang w:val="pt-BR"/>
              </w:rPr>
              <w:t>0</w:t>
            </w:r>
            <w:r>
              <w:rPr>
                <w:rFonts w:hint="default" w:ascii="Times New Roman" w:hAnsi="Times New Roman" w:cs="Times New Roman"/>
                <w:sz w:val="28"/>
                <w:lang w:val="pt-BR"/>
              </w:rPr>
              <w:t>)－(A</w:t>
            </w:r>
            <w:r>
              <w:rPr>
                <w:rFonts w:hint="default" w:ascii="Times New Roman" w:hAnsi="Times New Roman" w:cs="Times New Roman"/>
                <w:sz w:val="28"/>
                <w:vertAlign w:val="subscript"/>
                <w:lang w:val="pt-BR"/>
              </w:rPr>
              <w:t>der</w:t>
            </w:r>
            <w:r>
              <w:rPr>
                <w:rFonts w:hint="default" w:ascii="Times New Roman" w:hAnsi="Times New Roman" w:cs="Times New Roman"/>
                <w:sz w:val="28"/>
                <w:lang w:val="pt-BR"/>
              </w:rPr>
              <w:t>＋A</w:t>
            </w:r>
            <w:r>
              <w:rPr>
                <w:rFonts w:hint="default" w:ascii="Times New Roman" w:hAnsi="Times New Roman" w:cs="Times New Roman"/>
                <w:sz w:val="28"/>
                <w:vertAlign w:val="subscript"/>
                <w:lang w:val="pt-BR"/>
              </w:rPr>
              <w:t>bar</w:t>
            </w:r>
            <w:r>
              <w:rPr>
                <w:rFonts w:hint="default" w:ascii="Times New Roman" w:hAnsi="Times New Roman" w:cs="Times New Roman"/>
                <w:sz w:val="28"/>
                <w:lang w:val="pt-BR"/>
              </w:rPr>
              <w:t>＋A</w:t>
            </w:r>
            <w:r>
              <w:rPr>
                <w:rFonts w:hint="default" w:ascii="Times New Roman" w:hAnsi="Times New Roman" w:cs="Times New Roman"/>
                <w:sz w:val="28"/>
                <w:vertAlign w:val="subscript"/>
                <w:lang w:val="pt-BR"/>
              </w:rPr>
              <w:t>atam</w:t>
            </w:r>
            <w:r>
              <w:rPr>
                <w:rFonts w:hint="default" w:ascii="Times New Roman" w:hAnsi="Times New Roman" w:cs="Times New Roman"/>
                <w:sz w:val="28"/>
                <w:lang w:val="pt-BR"/>
              </w:rPr>
              <w:t>＋A</w:t>
            </w:r>
            <w:r>
              <w:rPr>
                <w:rFonts w:hint="default" w:ascii="Times New Roman" w:hAnsi="Times New Roman" w:cs="Times New Roman"/>
                <w:sz w:val="28"/>
                <w:vertAlign w:val="subscript"/>
                <w:lang w:val="pt-BR"/>
              </w:rPr>
              <w:t>exc</w:t>
            </w:r>
            <w:r>
              <w:rPr>
                <w:rFonts w:hint="default" w:ascii="Times New Roman" w:hAnsi="Times New Roman" w:cs="Times New Roman"/>
                <w:sz w:val="28"/>
                <w:lang w:val="pt-BR"/>
              </w:rPr>
              <w:t>)</w:t>
            </w:r>
          </w:p>
          <w:p>
            <w:pPr>
              <w:adjustRightInd w:val="0"/>
              <w:snapToGrid w:val="0"/>
              <w:spacing w:line="520" w:lineRule="exact"/>
              <w:rPr>
                <w:rFonts w:hint="default" w:ascii="Times New Roman" w:hAnsi="Times New Roman" w:cs="Times New Roman"/>
                <w:sz w:val="24"/>
                <w:lang w:val="pt-BR"/>
              </w:rPr>
            </w:pPr>
            <w:r>
              <w:rPr>
                <w:rFonts w:hint="default" w:ascii="Times New Roman" w:hAnsi="Times New Roman" w:cs="Times New Roman"/>
                <w:sz w:val="24"/>
              </w:rPr>
              <w:t>式中</w:t>
            </w:r>
            <w:r>
              <w:rPr>
                <w:rFonts w:hint="default" w:ascii="Times New Roman" w:hAnsi="Times New Roman" w:cs="Times New Roman"/>
                <w:sz w:val="24"/>
                <w:lang w:val="pt-BR"/>
              </w:rPr>
              <w:t>，</w:t>
            </w:r>
            <w:r>
              <w:rPr>
                <w:rFonts w:hint="default" w:ascii="Times New Roman" w:hAnsi="Times New Roman" w:cs="Times New Roman"/>
                <w:sz w:val="28"/>
                <w:lang w:val="pt-BR"/>
              </w:rPr>
              <w:t>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w:t>
            </w:r>
            <w:r>
              <w:rPr>
                <w:rFonts w:hint="default" w:ascii="Times New Roman" w:hAnsi="Times New Roman" w:cs="Times New Roman"/>
                <w:sz w:val="24"/>
                <w:lang w:val="pt-BR"/>
              </w:rPr>
              <w:t>－</w:t>
            </w:r>
            <w:r>
              <w:rPr>
                <w:rFonts w:hint="default" w:ascii="Times New Roman" w:hAnsi="Times New Roman" w:cs="Times New Roman"/>
                <w:sz w:val="24"/>
              </w:rPr>
              <w:t>距声源</w:t>
            </w:r>
            <w:r>
              <w:rPr>
                <w:rFonts w:hint="default" w:ascii="Times New Roman" w:hAnsi="Times New Roman" w:cs="Times New Roman"/>
                <w:sz w:val="24"/>
                <w:lang w:val="pt-BR"/>
              </w:rPr>
              <w:t>r</w:t>
            </w:r>
            <w:r>
              <w:rPr>
                <w:rFonts w:hint="default" w:ascii="Times New Roman" w:hAnsi="Times New Roman" w:cs="Times New Roman"/>
                <w:sz w:val="24"/>
              </w:rPr>
              <w:t>处的</w:t>
            </w:r>
            <w:r>
              <w:rPr>
                <w:rFonts w:hint="default" w:ascii="Times New Roman" w:hAnsi="Times New Roman" w:cs="Times New Roman"/>
                <w:sz w:val="24"/>
                <w:lang w:val="pt-BR"/>
              </w:rPr>
              <w:t>A</w:t>
            </w:r>
            <w:r>
              <w:rPr>
                <w:rFonts w:hint="default" w:ascii="Times New Roman" w:hAnsi="Times New Roman" w:cs="Times New Roman"/>
                <w:sz w:val="24"/>
              </w:rPr>
              <w:t>声级</w:t>
            </w:r>
            <w:r>
              <w:rPr>
                <w:rFonts w:hint="default" w:ascii="Times New Roman" w:hAnsi="Times New Roman" w:cs="Times New Roman"/>
                <w:sz w:val="24"/>
                <w:lang w:val="pt-BR"/>
              </w:rPr>
              <w:t>；</w:t>
            </w:r>
          </w:p>
          <w:p>
            <w:pPr>
              <w:adjustRightInd w:val="0"/>
              <w:snapToGrid w:val="0"/>
              <w:spacing w:line="520" w:lineRule="exact"/>
              <w:ind w:firstLine="425"/>
              <w:rPr>
                <w:rFonts w:hint="default" w:ascii="Times New Roman" w:hAnsi="Times New Roman" w:cs="Times New Roman"/>
                <w:sz w:val="24"/>
                <w:lang w:val="pt-BR"/>
              </w:rPr>
            </w:pPr>
            <w:r>
              <w:rPr>
                <w:rFonts w:hint="default" w:ascii="Times New Roman" w:hAnsi="Times New Roman" w:cs="Times New Roman"/>
                <w:sz w:val="28"/>
                <w:lang w:val="pt-BR"/>
              </w:rPr>
              <w:t>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w:t>
            </w:r>
            <w:r>
              <w:rPr>
                <w:rFonts w:hint="default" w:ascii="Times New Roman" w:hAnsi="Times New Roman" w:cs="Times New Roman"/>
                <w:sz w:val="28"/>
                <w:vertAlign w:val="subscript"/>
                <w:lang w:val="pt-BR"/>
              </w:rPr>
              <w:t>0</w:t>
            </w:r>
            <w:r>
              <w:rPr>
                <w:rFonts w:hint="default" w:ascii="Times New Roman" w:hAnsi="Times New Roman" w:cs="Times New Roman"/>
                <w:sz w:val="28"/>
                <w:lang w:val="pt-BR"/>
              </w:rPr>
              <w:t>)</w:t>
            </w:r>
            <w:r>
              <w:rPr>
                <w:rFonts w:hint="default" w:ascii="Times New Roman" w:hAnsi="Times New Roman" w:cs="Times New Roman"/>
                <w:sz w:val="24"/>
                <w:lang w:val="pt-BR"/>
              </w:rPr>
              <w:t>－</w:t>
            </w:r>
            <w:r>
              <w:rPr>
                <w:rFonts w:hint="default" w:ascii="Times New Roman" w:hAnsi="Times New Roman" w:cs="Times New Roman"/>
                <w:sz w:val="24"/>
              </w:rPr>
              <w:t>参考位置</w:t>
            </w:r>
            <w:r>
              <w:rPr>
                <w:rFonts w:hint="default" w:ascii="Times New Roman" w:hAnsi="Times New Roman" w:cs="Times New Roman"/>
                <w:sz w:val="24"/>
                <w:lang w:val="pt-BR"/>
              </w:rPr>
              <w:t>r</w:t>
            </w:r>
            <w:r>
              <w:rPr>
                <w:rFonts w:hint="default" w:ascii="Times New Roman" w:hAnsi="Times New Roman" w:cs="Times New Roman"/>
                <w:sz w:val="24"/>
                <w:vertAlign w:val="subscript"/>
                <w:lang w:val="pt-BR"/>
              </w:rPr>
              <w:t>0</w:t>
            </w:r>
            <w:r>
              <w:rPr>
                <w:rFonts w:hint="default" w:ascii="Times New Roman" w:hAnsi="Times New Roman" w:cs="Times New Roman"/>
                <w:sz w:val="24"/>
              </w:rPr>
              <w:t>处的</w:t>
            </w:r>
            <w:r>
              <w:rPr>
                <w:rFonts w:hint="default" w:ascii="Times New Roman" w:hAnsi="Times New Roman" w:cs="Times New Roman"/>
                <w:sz w:val="24"/>
                <w:lang w:val="pt-BR"/>
              </w:rPr>
              <w:t>A</w:t>
            </w:r>
            <w:r>
              <w:rPr>
                <w:rFonts w:hint="default" w:ascii="Times New Roman" w:hAnsi="Times New Roman" w:cs="Times New Roman"/>
                <w:sz w:val="24"/>
              </w:rPr>
              <w:t>声级</w:t>
            </w:r>
            <w:r>
              <w:rPr>
                <w:rFonts w:hint="default" w:ascii="Times New Roman" w:hAnsi="Times New Roman" w:cs="Times New Roman"/>
                <w:sz w:val="24"/>
                <w:lang w:val="pt-BR"/>
              </w:rPr>
              <w:t>；</w:t>
            </w:r>
          </w:p>
          <w:p>
            <w:pPr>
              <w:adjustRightInd w:val="0"/>
              <w:snapToGrid w:val="0"/>
              <w:spacing w:line="520" w:lineRule="exact"/>
              <w:ind w:firstLine="425"/>
              <w:jc w:val="left"/>
              <w:rPr>
                <w:rFonts w:hint="default" w:ascii="Times New Roman" w:hAnsi="Times New Roman" w:cs="Times New Roman"/>
                <w:sz w:val="24"/>
              </w:rPr>
            </w:pPr>
            <w:r>
              <w:rPr>
                <w:rFonts w:hint="default" w:ascii="Times New Roman" w:hAnsi="Times New Roman" w:cs="Times New Roman"/>
                <w:sz w:val="28"/>
              </w:rPr>
              <w:t>A</w:t>
            </w:r>
            <w:r>
              <w:rPr>
                <w:rFonts w:hint="default" w:ascii="Times New Roman" w:hAnsi="Times New Roman" w:cs="Times New Roman"/>
                <w:sz w:val="28"/>
                <w:vertAlign w:val="subscript"/>
              </w:rPr>
              <w:t>der</w:t>
            </w:r>
            <w:r>
              <w:rPr>
                <w:rFonts w:hint="default" w:ascii="Times New Roman" w:hAnsi="Times New Roman" w:cs="Times New Roman"/>
                <w:sz w:val="24"/>
              </w:rPr>
              <w:t>－声波几何发散所引起的A声级衰减量，即距离所引起的衰减；</w:t>
            </w:r>
          </w:p>
          <w:p>
            <w:pPr>
              <w:adjustRightInd w:val="0"/>
              <w:snapToGrid w:val="0"/>
              <w:spacing w:line="520" w:lineRule="exact"/>
              <w:ind w:hanging="655"/>
              <w:rPr>
                <w:rFonts w:hint="default" w:ascii="Times New Roman" w:hAnsi="Times New Roman" w:cs="Times New Roman"/>
                <w:sz w:val="24"/>
              </w:rPr>
            </w:pPr>
            <w:r>
              <w:rPr>
                <w:rFonts w:hint="default" w:ascii="Times New Roman" w:hAnsi="Times New Roman" w:cs="Times New Roman"/>
                <w:sz w:val="28"/>
              </w:rPr>
              <w:t>A</w:t>
            </w:r>
            <w:r>
              <w:rPr>
                <w:rFonts w:hint="default" w:ascii="Times New Roman" w:hAnsi="Times New Roman" w:cs="Times New Roman"/>
                <w:sz w:val="28"/>
                <w:vertAlign w:val="subscript"/>
              </w:rPr>
              <w:t>bar</w:t>
            </w:r>
            <w:r>
              <w:rPr>
                <w:rFonts w:hint="default" w:ascii="Times New Roman" w:hAnsi="Times New Roman" w:cs="Times New Roman"/>
                <w:sz w:val="24"/>
              </w:rPr>
              <w:t>－遮挡物所引起的A声级衰减量；</w:t>
            </w:r>
          </w:p>
          <w:p>
            <w:pPr>
              <w:adjustRightInd w:val="0"/>
              <w:snapToGrid w:val="0"/>
              <w:spacing w:line="520" w:lineRule="exact"/>
              <w:ind w:hanging="655"/>
              <w:rPr>
                <w:rFonts w:hint="default" w:ascii="Times New Roman" w:hAnsi="Times New Roman" w:cs="Times New Roman"/>
                <w:sz w:val="24"/>
              </w:rPr>
            </w:pPr>
            <w:r>
              <w:rPr>
                <w:rFonts w:hint="default" w:ascii="Times New Roman" w:hAnsi="Times New Roman" w:cs="Times New Roman"/>
                <w:sz w:val="28"/>
              </w:rPr>
              <w:t>A</w:t>
            </w:r>
            <w:r>
              <w:rPr>
                <w:rFonts w:hint="default" w:ascii="Times New Roman" w:hAnsi="Times New Roman" w:cs="Times New Roman"/>
                <w:sz w:val="28"/>
                <w:vertAlign w:val="subscript"/>
              </w:rPr>
              <w:t>atam</w:t>
            </w:r>
            <w:r>
              <w:rPr>
                <w:rFonts w:hint="default" w:ascii="Times New Roman" w:hAnsi="Times New Roman" w:cs="Times New Roman"/>
                <w:sz w:val="24"/>
              </w:rPr>
              <w:t>－空气吸收所引起的A声级衰减量，一般情况下可忽略不计；</w:t>
            </w:r>
          </w:p>
          <w:p>
            <w:pPr>
              <w:adjustRightInd w:val="0"/>
              <w:snapToGrid w:val="0"/>
              <w:spacing w:line="520" w:lineRule="exact"/>
              <w:ind w:firstLine="560" w:firstLineChars="200"/>
              <w:rPr>
                <w:rFonts w:hint="default" w:ascii="Times New Roman" w:hAnsi="Times New Roman" w:cs="Times New Roman"/>
                <w:sz w:val="24"/>
              </w:rPr>
            </w:pPr>
            <w:r>
              <w:rPr>
                <w:rFonts w:hint="default" w:ascii="Times New Roman" w:hAnsi="Times New Roman" w:cs="Times New Roman"/>
                <w:sz w:val="28"/>
              </w:rPr>
              <w:t>A</w:t>
            </w:r>
            <w:r>
              <w:rPr>
                <w:rFonts w:hint="default" w:ascii="Times New Roman" w:hAnsi="Times New Roman" w:cs="Times New Roman"/>
                <w:sz w:val="28"/>
                <w:vertAlign w:val="subscript"/>
              </w:rPr>
              <w:t>exc</w:t>
            </w:r>
            <w:r>
              <w:rPr>
                <w:rFonts w:hint="default" w:ascii="Times New Roman" w:hAnsi="Times New Roman" w:cs="Times New Roman"/>
                <w:sz w:val="24"/>
              </w:rPr>
              <w:t>－附加A声级衰减量。一般情况下的环境影响评价中，不需考虑风、云、雾及温度梯度所引起的附加影响。</w:t>
            </w:r>
          </w:p>
          <w:p>
            <w:pPr>
              <w:adjustRightInd w:val="0"/>
              <w:snapToGrid w:val="0"/>
              <w:spacing w:line="520" w:lineRule="exact"/>
              <w:ind w:firstLine="425"/>
              <w:rPr>
                <w:rFonts w:hint="default" w:ascii="Times New Roman" w:hAnsi="Times New Roman" w:cs="Times New Roman"/>
                <w:sz w:val="24"/>
              </w:rPr>
            </w:pPr>
            <w:r>
              <w:rPr>
                <w:rFonts w:hint="default" w:ascii="Times New Roman" w:hAnsi="Times New Roman" w:cs="Times New Roman"/>
                <w:sz w:val="24"/>
              </w:rPr>
              <w:t>本次评价采用下列公式计算距离施工机械不同距离处的噪声值。</w:t>
            </w:r>
          </w:p>
          <w:p>
            <w:pPr>
              <w:adjustRightInd w:val="0"/>
              <w:snapToGrid w:val="0"/>
              <w:spacing w:line="520" w:lineRule="exact"/>
              <w:ind w:firstLine="425"/>
              <w:rPr>
                <w:rFonts w:hint="default" w:ascii="Times New Roman" w:hAnsi="Times New Roman" w:cs="Times New Roman"/>
                <w:sz w:val="28"/>
                <w:lang w:val="pt-BR"/>
              </w:rPr>
            </w:pPr>
            <w:r>
              <w:rPr>
                <w:rFonts w:hint="default" w:ascii="Times New Roman" w:hAnsi="Times New Roman" w:cs="Times New Roman"/>
                <w:sz w:val="28"/>
                <w:lang w:val="pt-BR"/>
              </w:rPr>
              <w:t>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w:t>
            </w:r>
            <w:r>
              <w:rPr>
                <w:rFonts w:hint="default" w:ascii="Times New Roman" w:hAnsi="Times New Roman" w:cs="Times New Roman"/>
                <w:sz w:val="28"/>
                <w:vertAlign w:val="subscript"/>
                <w:lang w:val="pt-BR"/>
              </w:rPr>
              <w:t>0</w:t>
            </w:r>
            <w:r>
              <w:rPr>
                <w:rFonts w:hint="default" w:ascii="Times New Roman" w:hAnsi="Times New Roman" w:cs="Times New Roman"/>
                <w:sz w:val="28"/>
                <w:lang w:val="pt-BR"/>
              </w:rPr>
              <w:t>)－A</w:t>
            </w:r>
            <w:r>
              <w:rPr>
                <w:rFonts w:hint="default" w:ascii="Times New Roman" w:hAnsi="Times New Roman" w:cs="Times New Roman"/>
                <w:sz w:val="28"/>
                <w:vertAlign w:val="subscript"/>
                <w:lang w:val="pt-BR"/>
              </w:rPr>
              <w:t>der</w:t>
            </w:r>
            <w:r>
              <w:rPr>
                <w:rFonts w:hint="default" w:ascii="Times New Roman" w:hAnsi="Times New Roman" w:cs="Times New Roman"/>
                <w:sz w:val="28"/>
                <w:lang w:val="pt-BR"/>
              </w:rPr>
              <w:t>＝L</w:t>
            </w:r>
            <w:r>
              <w:rPr>
                <w:rFonts w:hint="default" w:ascii="Times New Roman" w:hAnsi="Times New Roman" w:cs="Times New Roman"/>
                <w:sz w:val="28"/>
                <w:vertAlign w:val="subscript"/>
                <w:lang w:val="pt-BR"/>
              </w:rPr>
              <w:t>A</w:t>
            </w:r>
            <w:r>
              <w:rPr>
                <w:rFonts w:hint="default" w:ascii="Times New Roman" w:hAnsi="Times New Roman" w:cs="Times New Roman"/>
                <w:sz w:val="28"/>
                <w:lang w:val="pt-BR"/>
              </w:rPr>
              <w:t>(r</w:t>
            </w:r>
            <w:r>
              <w:rPr>
                <w:rFonts w:hint="default" w:ascii="Times New Roman" w:hAnsi="Times New Roman" w:cs="Times New Roman"/>
                <w:sz w:val="28"/>
                <w:vertAlign w:val="subscript"/>
                <w:lang w:val="pt-BR"/>
              </w:rPr>
              <w:t>0</w:t>
            </w:r>
            <w:r>
              <w:rPr>
                <w:rFonts w:hint="default" w:ascii="Times New Roman" w:hAnsi="Times New Roman" w:cs="Times New Roman"/>
                <w:sz w:val="28"/>
                <w:lang w:val="pt-BR"/>
              </w:rPr>
              <w:t>)－20 lg(r /r</w:t>
            </w:r>
            <w:r>
              <w:rPr>
                <w:rFonts w:hint="default" w:ascii="Times New Roman" w:hAnsi="Times New Roman" w:cs="Times New Roman"/>
                <w:sz w:val="28"/>
                <w:vertAlign w:val="subscript"/>
                <w:lang w:val="pt-BR"/>
              </w:rPr>
              <w:t>0</w:t>
            </w:r>
            <w:r>
              <w:rPr>
                <w:rFonts w:hint="default" w:ascii="Times New Roman" w:hAnsi="Times New Roman" w:cs="Times New Roman"/>
                <w:sz w:val="28"/>
                <w:lang w:val="pt-BR"/>
              </w:rPr>
              <w:t>)</w:t>
            </w:r>
          </w:p>
          <w:p>
            <w:pPr>
              <w:adjustRightInd w:val="0"/>
              <w:snapToGrid w:val="0"/>
              <w:spacing w:line="520" w:lineRule="exact"/>
              <w:ind w:firstLine="425"/>
              <w:rPr>
                <w:rFonts w:hint="default" w:ascii="Times New Roman" w:hAnsi="Times New Roman" w:cs="Times New Roman"/>
                <w:sz w:val="24"/>
              </w:rPr>
            </w:pPr>
            <w:r>
              <w:rPr>
                <w:rFonts w:hint="default" w:ascii="Times New Roman" w:hAnsi="Times New Roman" w:cs="Times New Roman"/>
                <w:sz w:val="24"/>
              </w:rPr>
              <w:t>多个机械同时作业的总等效连续A声级计算公式为：</w:t>
            </w:r>
          </w:p>
          <w:p>
            <w:pPr>
              <w:adjustRightInd w:val="0"/>
              <w:snapToGrid w:val="0"/>
              <w:spacing w:line="520" w:lineRule="exact"/>
              <w:ind w:firstLine="425"/>
              <w:rPr>
                <w:rFonts w:hint="default" w:ascii="Times New Roman" w:hAnsi="Times New Roman" w:cs="Times New Roman"/>
                <w:sz w:val="24"/>
              </w:rPr>
            </w:pPr>
            <w:r>
              <w:rPr>
                <w:rFonts w:hint="default" w:ascii="Times New Roman" w:hAnsi="Times New Roman" w:cs="Times New Roman"/>
                <w:position w:val="-28"/>
              </w:rPr>
              <w:object>
                <v:shape id="_x0000_i1025" o:spt="75" type="#_x0000_t75" style="height:46.5pt;width:159pt;" o:ole="t" filled="f" o:preferrelative="t" stroked="f" coordsize="21600,21600">
                  <v:path/>
                  <v:fill on="f" focussize="0,0"/>
                  <v:stroke on="f" joinstyle="miter"/>
                  <v:imagedata r:id="rId18" o:title=""/>
                  <o:lock v:ext="edit" aspectratio="t"/>
                  <w10:wrap type="none"/>
                  <w10:anchorlock/>
                </v:shape>
                <o:OLEObject Type="Embed" ProgID="Equations" ShapeID="_x0000_i1025" DrawAspect="Content" ObjectID="_1468075725" r:id="rId17">
                  <o:LockedField>false</o:LockedField>
                </o:OLEObject>
              </w:object>
            </w:r>
          </w:p>
          <w:p>
            <w:pPr>
              <w:adjustRightInd w:val="0"/>
              <w:snapToGrid w:val="0"/>
              <w:spacing w:line="520" w:lineRule="exact"/>
              <w:ind w:firstLine="540"/>
              <w:rPr>
                <w:rFonts w:hint="default" w:ascii="Times New Roman" w:hAnsi="Times New Roman" w:cs="Times New Roman"/>
                <w:sz w:val="24"/>
              </w:rPr>
            </w:pPr>
            <w:r>
              <w:rPr>
                <w:rFonts w:hint="default" w:ascii="Times New Roman" w:hAnsi="Times New Roman" w:cs="Times New Roman"/>
                <w:sz w:val="24"/>
              </w:rPr>
              <w:t>式中，Leq</w:t>
            </w:r>
            <w:r>
              <w:rPr>
                <w:rFonts w:hint="default" w:ascii="Times New Roman" w:hAnsi="Times New Roman" w:cs="Times New Roman"/>
                <w:sz w:val="24"/>
                <w:vertAlign w:val="subscript"/>
              </w:rPr>
              <w:t>i</w:t>
            </w:r>
            <w:r>
              <w:rPr>
                <w:rFonts w:hint="default" w:ascii="Times New Roman" w:hAnsi="Times New Roman" w:cs="Times New Roman"/>
                <w:sz w:val="24"/>
              </w:rPr>
              <w:t>－第i个声源对某预测点的等效声级。</w:t>
            </w:r>
          </w:p>
          <w:p>
            <w:pPr>
              <w:adjustRightInd w:val="0"/>
              <w:snapToGrid w:val="0"/>
              <w:spacing w:line="520" w:lineRule="exact"/>
              <w:ind w:firstLine="540"/>
              <w:rPr>
                <w:rFonts w:hint="default" w:ascii="Times New Roman" w:hAnsi="Times New Roman" w:cs="Times New Roman"/>
                <w:sz w:val="24"/>
              </w:rPr>
            </w:pPr>
            <w:r>
              <w:rPr>
                <w:rFonts w:hint="default" w:ascii="Times New Roman" w:hAnsi="Times New Roman" w:cs="Times New Roman"/>
                <w:sz w:val="24"/>
              </w:rPr>
              <w:t>在预测某处的噪声值时，首先利用上式计算声源在该处的总等效连续A声级，然后叠加该处的背景值，具体计算公式如下：</w:t>
            </w:r>
          </w:p>
          <w:p>
            <w:pPr>
              <w:adjustRightInd w:val="0"/>
              <w:snapToGrid w:val="0"/>
              <w:spacing w:line="520" w:lineRule="exact"/>
              <w:ind w:firstLine="600"/>
              <w:rPr>
                <w:rFonts w:hint="default" w:ascii="Times New Roman" w:hAnsi="Times New Roman" w:cs="Times New Roman"/>
                <w:sz w:val="28"/>
              </w:rPr>
            </w:pPr>
            <w:r>
              <w:rPr>
                <w:rFonts w:hint="default" w:ascii="Times New Roman" w:hAnsi="Times New Roman" w:cs="Times New Roman"/>
                <w:sz w:val="28"/>
              </w:rPr>
              <w:t>L</w:t>
            </w:r>
            <w:r>
              <w:rPr>
                <w:rFonts w:hint="default" w:ascii="Times New Roman" w:hAnsi="Times New Roman" w:cs="Times New Roman"/>
                <w:sz w:val="28"/>
                <w:vertAlign w:val="subscript"/>
              </w:rPr>
              <w:t>pt</w:t>
            </w:r>
            <w:r>
              <w:rPr>
                <w:rFonts w:hint="default" w:ascii="Times New Roman" w:hAnsi="Times New Roman" w:cs="Times New Roman"/>
                <w:sz w:val="28"/>
              </w:rPr>
              <w:t>=10 lg(10</w:t>
            </w:r>
            <w:r>
              <w:rPr>
                <w:rFonts w:hint="default" w:ascii="Times New Roman" w:hAnsi="Times New Roman" w:cs="Times New Roman"/>
                <w:sz w:val="28"/>
                <w:vertAlign w:val="superscript"/>
              </w:rPr>
              <w:t>0.1L</w:t>
            </w:r>
            <w:r>
              <w:rPr>
                <w:rFonts w:hint="default" w:ascii="Times New Roman" w:hAnsi="Times New Roman" w:cs="Times New Roman"/>
                <w:position w:val="-10"/>
                <w:sz w:val="28"/>
                <w:vertAlign w:val="superscript"/>
              </w:rPr>
              <w:object>
                <v:shape id="_x0000_i1026" o:spt="75" type="#_x0000_t75" style="height:17.25pt;width:6pt;" o:ole="t" fillcolor="#FFFFFF" filled="f" o:preferrelative="t" stroked="f" coordsize="21600,21600">
                  <v:path/>
                  <v:fill on="f" focussize="0,0"/>
                  <v:stroke on="f" joinstyle="miter"/>
                  <v:imagedata r:id="rId20" o:title=""/>
                  <o:lock v:ext="edit" aspectratio="t"/>
                  <w10:wrap type="none"/>
                  <w10:anchorlock/>
                </v:shape>
                <o:OLEObject Type="Embed" ProgID="Equations" ShapeID="_x0000_i1026" DrawAspect="Content" ObjectID="_1468075726" r:id="rId19">
                  <o:LockedField>false</o:LockedField>
                </o:OLEObject>
              </w:object>
            </w:r>
            <w:r>
              <w:rPr>
                <w:rFonts w:hint="default" w:ascii="Times New Roman" w:hAnsi="Times New Roman" w:cs="Times New Roman"/>
                <w:sz w:val="28"/>
              </w:rPr>
              <w:t>+10</w:t>
            </w:r>
            <w:r>
              <w:rPr>
                <w:rFonts w:hint="default" w:ascii="Times New Roman" w:hAnsi="Times New Roman" w:cs="Times New Roman"/>
                <w:sz w:val="28"/>
                <w:vertAlign w:val="superscript"/>
              </w:rPr>
              <w:t>0.1L</w:t>
            </w:r>
            <w:r>
              <w:rPr>
                <w:rFonts w:hint="default" w:ascii="Times New Roman" w:hAnsi="Times New Roman" w:cs="Times New Roman"/>
                <w:position w:val="-10"/>
                <w:sz w:val="28"/>
                <w:vertAlign w:val="superscript"/>
              </w:rPr>
              <w:object>
                <v:shape id="_x0000_i1027" o:spt="75" type="#_x0000_t75" style="height:17.25pt;width:8.25pt;" o:ole="t" fillcolor="#FFFFFF" filled="f" o:preferrelative="t" stroked="f" coordsize="21600,21600">
                  <v:path/>
                  <v:fill on="f" focussize="0,0"/>
                  <v:stroke on="f" joinstyle="miter"/>
                  <v:imagedata r:id="rId22" o:title=""/>
                  <o:lock v:ext="edit" aspectratio="t"/>
                  <w10:wrap type="none"/>
                  <w10:anchorlock/>
                </v:shape>
                <o:OLEObject Type="Embed" ProgID="Equations" ShapeID="_x0000_i1027" DrawAspect="Content" ObjectID="_1468075727" r:id="rId21">
                  <o:LockedField>false</o:LockedField>
                </o:OLEObject>
              </w:object>
            </w:r>
            <w:r>
              <w:rPr>
                <w:rFonts w:hint="default" w:ascii="Times New Roman" w:hAnsi="Times New Roman" w:cs="Times New Roman"/>
                <w:sz w:val="28"/>
              </w:rPr>
              <w:t>)</w:t>
            </w:r>
          </w:p>
          <w:p>
            <w:pPr>
              <w:adjustRightInd w:val="0"/>
              <w:snapToGrid w:val="0"/>
              <w:spacing w:line="520" w:lineRule="exact"/>
              <w:ind w:firstLine="600"/>
              <w:rPr>
                <w:rFonts w:hint="default" w:ascii="Times New Roman" w:hAnsi="Times New Roman" w:cs="Times New Roman"/>
                <w:sz w:val="24"/>
              </w:rPr>
            </w:pPr>
            <w:r>
              <w:rPr>
                <w:rFonts w:hint="default" w:ascii="Times New Roman" w:hAnsi="Times New Roman" w:cs="Times New Roman"/>
                <w:sz w:val="24"/>
              </w:rPr>
              <w:t>式中，L</w:t>
            </w:r>
            <w:r>
              <w:rPr>
                <w:rFonts w:hint="default" w:ascii="Times New Roman" w:hAnsi="Times New Roman" w:cs="Times New Roman"/>
                <w:sz w:val="24"/>
                <w:vertAlign w:val="subscript"/>
              </w:rPr>
              <w:t>pt</w:t>
            </w:r>
            <w:r>
              <w:rPr>
                <w:rFonts w:hint="default" w:ascii="Times New Roman" w:hAnsi="Times New Roman" w:cs="Times New Roman"/>
                <w:sz w:val="24"/>
              </w:rPr>
              <w:t>－声场中某一点两个声源不同作用产生的总的声级；</w:t>
            </w:r>
          </w:p>
          <w:p>
            <w:pPr>
              <w:adjustRightInd w:val="0"/>
              <w:snapToGrid w:val="0"/>
              <w:spacing w:line="520" w:lineRule="exact"/>
              <w:ind w:firstLine="600"/>
              <w:rPr>
                <w:rFonts w:hint="default" w:ascii="Times New Roman" w:hAnsi="Times New Roman" w:cs="Times New Roman"/>
                <w:sz w:val="24"/>
              </w:rPr>
            </w:pPr>
            <w:r>
              <w:rPr>
                <w:rFonts w:hint="default" w:ascii="Times New Roman" w:hAnsi="Times New Roman" w:cs="Times New Roman"/>
                <w:sz w:val="24"/>
              </w:rPr>
              <w:t xml:space="preserve">      L</w:t>
            </w:r>
            <w:r>
              <w:rPr>
                <w:rFonts w:hint="default" w:ascii="Times New Roman" w:hAnsi="Times New Roman" w:cs="Times New Roman"/>
                <w:sz w:val="24"/>
                <w:vertAlign w:val="subscript"/>
              </w:rPr>
              <w:t>1</w:t>
            </w:r>
            <w:r>
              <w:rPr>
                <w:rFonts w:hint="default" w:ascii="Times New Roman" w:hAnsi="Times New Roman" w:cs="Times New Roman"/>
                <w:sz w:val="24"/>
              </w:rPr>
              <w:t>－该点的背景噪声值；</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L</w:t>
            </w:r>
            <w:r>
              <w:rPr>
                <w:rFonts w:hint="default" w:ascii="Times New Roman" w:hAnsi="Times New Roman" w:cs="Times New Roman"/>
                <w:sz w:val="24"/>
                <w:vertAlign w:val="subscript"/>
              </w:rPr>
              <w:t>2</w:t>
            </w:r>
            <w:r>
              <w:rPr>
                <w:rFonts w:hint="default" w:ascii="Times New Roman" w:hAnsi="Times New Roman" w:cs="Times New Roman"/>
                <w:sz w:val="24"/>
              </w:rPr>
              <w:t>－各声源叠加到该点的总等效声级值。</w:t>
            </w:r>
          </w:p>
          <w:p>
            <w:pPr>
              <w:adjustRightInd w:val="0"/>
              <w:snapToGrid w:val="0"/>
              <w:spacing w:line="520" w:lineRule="exact"/>
              <w:ind w:firstLine="420"/>
              <w:rPr>
                <w:rFonts w:hint="default" w:ascii="Times New Roman" w:hAnsi="Times New Roman" w:cs="Times New Roman"/>
                <w:sz w:val="24"/>
              </w:rPr>
            </w:pPr>
            <w:r>
              <w:rPr>
                <w:rFonts w:hint="default" w:ascii="Times New Roman" w:hAnsi="Times New Roman" w:cs="Times New Roman"/>
                <w:sz w:val="24"/>
              </w:rPr>
              <w:t>本次预测是在施工设备未采取任何降噪措施条件下进行，预测不同距离的噪声值。预测结果详见表</w:t>
            </w:r>
            <w:r>
              <w:rPr>
                <w:rFonts w:hint="eastAsia" w:ascii="Times New Roman" w:hAnsi="Times New Roman" w:cs="Times New Roman"/>
                <w:sz w:val="24"/>
                <w:lang w:val="en-US" w:eastAsia="zh-CN"/>
              </w:rPr>
              <w:t>17</w:t>
            </w:r>
            <w:r>
              <w:rPr>
                <w:rFonts w:hint="default" w:ascii="Times New Roman" w:hAnsi="Times New Roman" w:cs="Times New Roman"/>
                <w:sz w:val="24"/>
              </w:rPr>
              <w:t>。</w:t>
            </w:r>
          </w:p>
          <w:p>
            <w:pPr>
              <w:adjustRightInd w:val="0"/>
              <w:snapToGrid w:val="0"/>
              <w:jc w:val="center"/>
              <w:rPr>
                <w:rFonts w:hint="default" w:ascii="Times New Roman" w:hAnsi="Times New Roman" w:eastAsia="黑体" w:cs="Times New Roman"/>
                <w:kern w:val="0"/>
                <w:sz w:val="24"/>
              </w:rPr>
            </w:pPr>
            <w:r>
              <w:rPr>
                <w:rFonts w:hint="default" w:ascii="Times New Roman" w:hAnsi="Times New Roman" w:eastAsia="黑体" w:cs="Times New Roman"/>
                <w:kern w:val="0"/>
                <w:sz w:val="24"/>
              </w:rPr>
              <w:t>表</w:t>
            </w:r>
            <w:r>
              <w:rPr>
                <w:rFonts w:hint="eastAsia" w:ascii="Times New Roman" w:hAnsi="Times New Roman" w:eastAsia="黑体" w:cs="Times New Roman"/>
                <w:kern w:val="0"/>
                <w:sz w:val="24"/>
                <w:lang w:val="en-US" w:eastAsia="zh-CN"/>
              </w:rPr>
              <w:t>17</w:t>
            </w:r>
            <w:r>
              <w:rPr>
                <w:rFonts w:hint="default" w:ascii="Times New Roman" w:hAnsi="Times New Roman" w:eastAsia="黑体" w:cs="Times New Roman"/>
                <w:kern w:val="0"/>
                <w:sz w:val="24"/>
              </w:rPr>
              <w:t xml:space="preserve">    装修阶段施工机械在不同距离的噪声预测值     单位：dB(A)</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936"/>
              <w:gridCol w:w="699"/>
              <w:gridCol w:w="698"/>
              <w:gridCol w:w="698"/>
              <w:gridCol w:w="855"/>
              <w:gridCol w:w="824"/>
              <w:gridCol w:w="824"/>
              <w:gridCol w:w="824"/>
              <w:gridCol w:w="824"/>
              <w:gridCol w:w="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2"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机械</w:t>
                  </w:r>
                </w:p>
                <w:p>
                  <w:pPr>
                    <w:jc w:val="center"/>
                    <w:rPr>
                      <w:rFonts w:hint="default" w:ascii="Times New Roman" w:hAnsi="Times New Roman" w:cs="Times New Roman"/>
                      <w:szCs w:val="21"/>
                    </w:rPr>
                  </w:pPr>
                  <w:r>
                    <w:rPr>
                      <w:rFonts w:hint="default" w:ascii="Times New Roman" w:hAnsi="Times New Roman" w:cs="Times New Roman"/>
                      <w:szCs w:val="21"/>
                    </w:rPr>
                    <w:t>名称</w:t>
                  </w:r>
                </w:p>
              </w:tc>
              <w:tc>
                <w:tcPr>
                  <w:tcW w:w="515" w:type="pct"/>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最大噪声级dB（A）</w:t>
                  </w:r>
                </w:p>
              </w:tc>
              <w:tc>
                <w:tcPr>
                  <w:tcW w:w="3902" w:type="pct"/>
                  <w:gridSpan w:val="9"/>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不同距离的噪声值dB（A）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exact"/>
                <w:jc w:val="center"/>
              </w:trPr>
              <w:tc>
                <w:tcPr>
                  <w:tcW w:w="582" w:type="pct"/>
                  <w:vMerge w:val="continue"/>
                  <w:noWrap w:val="0"/>
                  <w:vAlign w:val="center"/>
                </w:tcPr>
                <w:p>
                  <w:pPr>
                    <w:jc w:val="center"/>
                    <w:rPr>
                      <w:rFonts w:hint="default" w:ascii="Times New Roman" w:hAnsi="Times New Roman" w:cs="Times New Roman"/>
                      <w:szCs w:val="21"/>
                    </w:rPr>
                  </w:pPr>
                </w:p>
              </w:tc>
              <w:tc>
                <w:tcPr>
                  <w:tcW w:w="515" w:type="pct"/>
                  <w:vMerge w:val="continue"/>
                  <w:noWrap w:val="0"/>
                  <w:vAlign w:val="center"/>
                </w:tcPr>
                <w:p>
                  <w:pPr>
                    <w:jc w:val="center"/>
                    <w:rPr>
                      <w:rFonts w:hint="default" w:ascii="Times New Roman" w:hAnsi="Times New Roman" w:cs="Times New Roman"/>
                      <w:szCs w:val="21"/>
                    </w:rPr>
                  </w:pP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5m</w:t>
                  </w:r>
                </w:p>
              </w:tc>
              <w:tc>
                <w:tcPr>
                  <w:tcW w:w="384" w:type="pct"/>
                  <w:noWrap w:val="0"/>
                  <w:vAlign w:val="center"/>
                </w:tcPr>
                <w:p>
                  <w:pPr>
                    <w:ind w:left="420" w:hanging="420" w:hangingChars="200"/>
                    <w:jc w:val="center"/>
                    <w:rPr>
                      <w:rFonts w:hint="default" w:ascii="Times New Roman" w:hAnsi="Times New Roman" w:cs="Times New Roman"/>
                      <w:szCs w:val="21"/>
                    </w:rPr>
                  </w:pPr>
                  <w:r>
                    <w:rPr>
                      <w:rFonts w:hint="default" w:ascii="Times New Roman" w:hAnsi="Times New Roman" w:cs="Times New Roman"/>
                      <w:szCs w:val="21"/>
                    </w:rPr>
                    <w:t>10m</w:t>
                  </w:r>
                </w:p>
              </w:tc>
              <w:tc>
                <w:tcPr>
                  <w:tcW w:w="384" w:type="pct"/>
                  <w:noWrap w:val="0"/>
                  <w:vAlign w:val="center"/>
                </w:tcPr>
                <w:p>
                  <w:pPr>
                    <w:ind w:left="420" w:hanging="420" w:hangingChars="200"/>
                    <w:jc w:val="center"/>
                    <w:rPr>
                      <w:rFonts w:hint="default" w:ascii="Times New Roman" w:hAnsi="Times New Roman" w:cs="Times New Roman"/>
                      <w:szCs w:val="21"/>
                    </w:rPr>
                  </w:pPr>
                  <w:r>
                    <w:rPr>
                      <w:rFonts w:hint="default" w:ascii="Times New Roman" w:hAnsi="Times New Roman" w:cs="Times New Roman"/>
                      <w:szCs w:val="21"/>
                    </w:rPr>
                    <w:t>15m</w:t>
                  </w:r>
                </w:p>
              </w:tc>
              <w:tc>
                <w:tcPr>
                  <w:tcW w:w="471" w:type="pct"/>
                  <w:noWrap w:val="0"/>
                  <w:vAlign w:val="center"/>
                </w:tcPr>
                <w:p>
                  <w:pPr>
                    <w:ind w:left="210" w:hanging="210" w:hangingChars="100"/>
                    <w:jc w:val="center"/>
                    <w:rPr>
                      <w:rFonts w:hint="default" w:ascii="Times New Roman" w:hAnsi="Times New Roman" w:cs="Times New Roman"/>
                      <w:szCs w:val="21"/>
                    </w:rPr>
                  </w:pPr>
                  <w:r>
                    <w:rPr>
                      <w:rFonts w:hint="default" w:ascii="Times New Roman" w:hAnsi="Times New Roman" w:cs="Times New Roman"/>
                      <w:szCs w:val="21"/>
                    </w:rPr>
                    <w:t>20m</w:t>
                  </w:r>
                </w:p>
              </w:tc>
              <w:tc>
                <w:tcPr>
                  <w:tcW w:w="453" w:type="pct"/>
                  <w:noWrap w:val="0"/>
                  <w:vAlign w:val="center"/>
                </w:tcPr>
                <w:p>
                  <w:pPr>
                    <w:ind w:left="420" w:hanging="420" w:hangingChars="200"/>
                    <w:jc w:val="center"/>
                    <w:rPr>
                      <w:rFonts w:hint="default" w:ascii="Times New Roman" w:hAnsi="Times New Roman" w:cs="Times New Roman"/>
                      <w:szCs w:val="21"/>
                    </w:rPr>
                  </w:pPr>
                  <w:r>
                    <w:rPr>
                      <w:rFonts w:hint="default" w:ascii="Times New Roman" w:hAnsi="Times New Roman" w:cs="Times New Roman"/>
                      <w:szCs w:val="21"/>
                    </w:rPr>
                    <w:t>25m</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30m</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35m</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40m</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挖土机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85</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71.0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65.0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61.5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59.0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57.0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铲土机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83</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69.0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63.0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59.5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57.0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52.1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51.0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推土机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86</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72.0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66.0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62.5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60.0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58.0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56.5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吊 车</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81</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67.0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61.0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57.5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51.5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50.1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49.0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装载机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79</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65.0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59.0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51.0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49.5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48.1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47.0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平土机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86</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72.0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66.0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62.5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60.0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58.0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56.5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泵</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75</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61.0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55.0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51.5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49.0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47.0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45.5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44.1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43.0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卡 车</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80</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66.0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60.0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56.5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52.0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50.5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49.1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48.0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压缩机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80</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66.0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60.0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56.5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52.0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50.5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49.1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48.0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2"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振捣机</w:t>
                  </w:r>
                </w:p>
              </w:tc>
              <w:tc>
                <w:tcPr>
                  <w:tcW w:w="51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74</w:t>
                  </w:r>
                </w:p>
              </w:tc>
              <w:tc>
                <w:tcPr>
                  <w:tcW w:w="38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60.0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54.0</w:t>
                  </w:r>
                </w:p>
              </w:tc>
              <w:tc>
                <w:tcPr>
                  <w:tcW w:w="384"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50.5</w:t>
                  </w:r>
                </w:p>
              </w:tc>
              <w:tc>
                <w:tcPr>
                  <w:tcW w:w="47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48.0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46.0</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44.5</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43.1</w:t>
                  </w:r>
                </w:p>
              </w:tc>
              <w:tc>
                <w:tcPr>
                  <w:tcW w:w="453"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42.0</w:t>
                  </w:r>
                </w:p>
              </w:tc>
              <w:tc>
                <w:tcPr>
                  <w:tcW w:w="461"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41.0</w:t>
                  </w:r>
                </w:p>
              </w:tc>
            </w:tr>
          </w:tbl>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根据预测可知，项目施工期间，在最不利情况下施工噪声仅经过距离衰减、地面和空气吸收后对周边环境影响不大，项目夜间不施工，因此，项目施工期产生的噪声对周边环境影响不大。</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（4）固体废物</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施工期产生的固体废物主要包括：施工人员的生活垃圾、管线施工过程产生的弃渣土和防腐废弃物、穿越工程产生的干化泥浆（定向钻法）。</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按照施工工艺，本工程管道及穿越工程分段进行，施工高峰时施工人数约为</w:t>
            </w:r>
            <w:r>
              <w:rPr>
                <w:rFonts w:hint="eastAsia" w:ascii="Times New Roman" w:hAnsi="Times New Roman" w:eastAsia="宋体" w:cs="Times New Roman"/>
                <w:sz w:val="24"/>
                <w:lang w:val="en-US" w:eastAsia="zh-CN"/>
              </w:rPr>
              <w:t>15</w:t>
            </w:r>
            <w:r>
              <w:rPr>
                <w:rFonts w:hint="default" w:ascii="Times New Roman" w:hAnsi="Times New Roman" w:cs="Times New Roman"/>
                <w:sz w:val="24"/>
              </w:rPr>
              <w:t>人。施工人员垃圾产生量按一般施工作业时的平均值 0.5kg/人·日计，生活垃圾总量为7.5kg/日。生活垃圾纳入南海区生活垃圾收运及处置系统，交环卫部门处置，对环境影响不大。</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施工过程产生的弃渣土主要来自管道施工。管道施工产生的弃渣土来自两部分，一是敷设管道本身置换的渣土方，二是开挖造成土壤松散，回填后剩余的渣土方。根据建设单位提供的资料，根据建设单位提供的资料，本项目挖方量为7.53 万 m</w:t>
            </w:r>
            <w:r>
              <w:rPr>
                <w:rFonts w:hint="default" w:ascii="Times New Roman" w:hAnsi="Times New Roman" w:cs="Times New Roman"/>
                <w:sz w:val="24"/>
                <w:vertAlign w:val="superscript"/>
              </w:rPr>
              <w:t>3</w:t>
            </w:r>
            <w:r>
              <w:rPr>
                <w:rFonts w:hint="default" w:ascii="Times New Roman" w:hAnsi="Times New Roman" w:cs="Times New Roman"/>
                <w:sz w:val="24"/>
              </w:rPr>
              <w:t>，</w:t>
            </w:r>
            <w:r>
              <w:rPr>
                <w:rFonts w:hint="eastAsia" w:ascii="Times New Roman" w:hAnsi="Times New Roman" w:eastAsia="宋体" w:cs="Times New Roman"/>
                <w:sz w:val="24"/>
                <w:lang w:val="en-US" w:eastAsia="zh-CN"/>
              </w:rPr>
              <w:t>全部回填</w:t>
            </w:r>
            <w:r>
              <w:rPr>
                <w:rFonts w:hint="default" w:ascii="Times New Roman" w:hAnsi="Times New Roman" w:cs="Times New Roman"/>
                <w:sz w:val="24"/>
              </w:rPr>
              <w:t>。弃渣土运至政府指定的填埋场填埋处理。穿越工程定向钻法施工产生的泥浆和钻屑干化后会形成弃土，穿越工程的弃土量较小，废弃泥浆运至政府指定填埋场填埋处理。</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管道施工过程中防腐会产生废弃防腐材料。根据类比调查，施工过程废焊条和废弃防腐材料的产生量约为 0.2t/km，则本工程施工过程产生的施工废料量约为 1</w:t>
            </w:r>
            <w:r>
              <w:rPr>
                <w:rFonts w:hint="eastAsia" w:ascii="Times New Roman" w:hAnsi="Times New Roman" w:eastAsia="宋体" w:cs="Times New Roman"/>
                <w:sz w:val="24"/>
                <w:lang w:val="en-US" w:eastAsia="zh-CN"/>
              </w:rPr>
              <w:t>2</w:t>
            </w:r>
            <w:r>
              <w:rPr>
                <w:rFonts w:hint="default" w:ascii="Times New Roman" w:hAnsi="Times New Roman" w:cs="Times New Roman"/>
                <w:sz w:val="24"/>
              </w:rPr>
              <w:t>t。施工废料部分可回收利用，剩余废料依托当地职能部门有偿清运。</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施工期产生的固体废弃物通过采用上述处置途径后，不会对周围环境造成明显影响。综上所述，项目施工期固体废物经采取以上措施后，对周边环境影响不大。</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（5）生态影响分析</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本项目选址在位于信阳市淮滨县，场地大部分已硬化，场内主要植被为人工种植景观绿化植被等，项目重建地基开挖等施工活动，会使局部地表裸露，如遇暴雨天气，厂区易形成小范围的水土流失。</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因此项目在施工过程应采取必需的工程性水土流失防治措施：</w:t>
            </w:r>
          </w:p>
          <w:p>
            <w:pPr>
              <w:adjustRightInd w:val="0"/>
              <w:snapToGrid w:val="0"/>
              <w:spacing w:line="520" w:lineRule="exact"/>
              <w:ind w:firstLine="480"/>
              <w:jc w:val="left"/>
              <w:rPr>
                <w:rFonts w:hint="default" w:ascii="Times New Roman" w:hAnsi="Times New Roman" w:cs="Times New Roman"/>
                <w:sz w:val="24"/>
              </w:rPr>
            </w:pPr>
            <w:r>
              <w:rPr>
                <w:rFonts w:hint="default" w:ascii="Times New Roman" w:hAnsi="Times New Roman" w:cs="Times New Roman"/>
                <w:sz w:val="24"/>
              </w:rPr>
              <w:t>①在地块周围设置必要的临时围挡和排水设施，防止暴雨季节水土流失携带大量泥沙进入管网，并减轻对周围居民区的安全隐患。</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②施工场地和临时弃土堆场等在工程结束后，必须及时清理场地，采取整治措施，使其恢复到可供利用状况。</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③施工组织中，在满足施工进度前提下，应尽量将地下层的开挖施工安排在非汛期，并及时将建筑工地回填，不能利用的应委托有资质的单位妥善处置，严禁随意堆放倾倒和严禁向周围敏感点转移。</w:t>
            </w:r>
          </w:p>
          <w:p>
            <w:pPr>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④施工期间，加强现场管理，合理布置施工场地，避免建筑材料乱堆乱放，造成物料散落，以保持场内相对整洁，砂砾料堆场的砂堆采用塑料彩条布覆盖或用砂包临时围护，减少雨期地表径流造成的水土流失。</w:t>
            </w:r>
          </w:p>
          <w:p>
            <w:pPr>
              <w:pStyle w:val="8"/>
              <w:adjustRightInd w:val="0"/>
              <w:snapToGrid w:val="0"/>
              <w:spacing w:line="52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采取以上措施可以减小因水土流失造成的影响。</w:t>
            </w:r>
          </w:p>
          <w:p>
            <w:pPr>
              <w:spacing w:before="156" w:beforeLines="50" w:line="440" w:lineRule="exact"/>
              <w:rPr>
                <w:rFonts w:hint="default" w:ascii="Times New Roman" w:hAnsi="Times New Roman" w:eastAsia="黑体" w:cs="Times New Roman"/>
                <w:bCs/>
                <w:sz w:val="28"/>
                <w:szCs w:val="28"/>
                <w:highlight w:val="none"/>
              </w:rPr>
            </w:pPr>
            <w:r>
              <w:rPr>
                <w:rFonts w:hint="default" w:ascii="Times New Roman" w:hAnsi="Times New Roman" w:eastAsia="黑体" w:cs="Times New Roman"/>
                <w:bCs/>
                <w:sz w:val="28"/>
                <w:szCs w:val="28"/>
                <w:highlight w:val="none"/>
              </w:rPr>
              <mc:AlternateContent>
                <mc:Choice Requires="wpg">
                  <w:drawing>
                    <wp:anchor distT="0" distB="0" distL="114300" distR="114300" simplePos="0" relativeHeight="251658240" behindDoc="0" locked="0" layoutInCell="1" allowOverlap="1">
                      <wp:simplePos x="0" y="0"/>
                      <wp:positionH relativeFrom="column">
                        <wp:posOffset>292735</wp:posOffset>
                      </wp:positionH>
                      <wp:positionV relativeFrom="paragraph">
                        <wp:posOffset>10636885</wp:posOffset>
                      </wp:positionV>
                      <wp:extent cx="5669915" cy="825500"/>
                      <wp:effectExtent l="4445" t="4445" r="0" b="8255"/>
                      <wp:wrapNone/>
                      <wp:docPr id="26" name="组合 26"/>
                      <wp:cNvGraphicFramePr/>
                      <a:graphic xmlns:a="http://schemas.openxmlformats.org/drawingml/2006/main">
                        <a:graphicData uri="http://schemas.microsoft.com/office/word/2010/wordprocessingGroup">
                          <wpg:wgp>
                            <wpg:cNvGrpSpPr/>
                            <wpg:grpSpPr>
                              <a:xfrm>
                                <a:off x="0" y="0"/>
                                <a:ext cx="5669915" cy="825500"/>
                                <a:chOff x="0" y="0"/>
                                <a:chExt cx="8929" cy="1300"/>
                              </a:xfrm>
                            </wpg:grpSpPr>
                            <wps:wsp>
                              <wps:cNvPr id="13" name="矩形 13"/>
                              <wps:cNvSpPr/>
                              <wps:spPr>
                                <a:xfrm>
                                  <a:off x="0" y="14"/>
                                  <a:ext cx="1267"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生活污水</w:t>
                                    </w:r>
                                  </w:p>
                                </w:txbxContent>
                              </wps:txbx>
                              <wps:bodyPr upright="1"/>
                            </wps:wsp>
                            <wps:wsp>
                              <wps:cNvPr id="14" name="矩形 14"/>
                              <wps:cNvSpPr/>
                              <wps:spPr>
                                <a:xfrm>
                                  <a:off x="4" y="815"/>
                                  <a:ext cx="1267"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养殖粪尿水</w:t>
                                    </w:r>
                                  </w:p>
                                </w:txbxContent>
                              </wps:txbx>
                              <wps:bodyPr upright="1"/>
                            </wps:wsp>
                            <wps:wsp>
                              <wps:cNvPr id="15" name="矩形 15"/>
                              <wps:cNvSpPr/>
                              <wps:spPr>
                                <a:xfrm>
                                  <a:off x="1864" y="0"/>
                                  <a:ext cx="1082" cy="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化粪池</w:t>
                                    </w:r>
                                  </w:p>
                                </w:txbxContent>
                              </wps:txbx>
                              <wps:bodyPr upright="1"/>
                            </wps:wsp>
                            <wps:wsp>
                              <wps:cNvPr id="16" name="矩形 16"/>
                              <wps:cNvSpPr/>
                              <wps:spPr>
                                <a:xfrm>
                                  <a:off x="4002" y="312"/>
                                  <a:ext cx="2516"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储存池 厌氧池 好氧池</w:t>
                                    </w:r>
                                  </w:p>
                                </w:txbxContent>
                              </wps:txbx>
                              <wps:bodyPr upright="1"/>
                            </wps:wsp>
                            <wps:wsp>
                              <wps:cNvPr id="17" name="直接连接符 17"/>
                              <wps:cNvCnPr/>
                              <wps:spPr>
                                <a:xfrm>
                                  <a:off x="6536" y="647"/>
                                  <a:ext cx="723" cy="0"/>
                                </a:xfrm>
                                <a:prstGeom prst="line">
                                  <a:avLst/>
                                </a:prstGeom>
                                <a:ln w="9525" cap="flat" cmpd="sng">
                                  <a:solidFill>
                                    <a:srgbClr val="000000"/>
                                  </a:solidFill>
                                  <a:prstDash val="solid"/>
                                  <a:headEnd type="none" w="med" len="med"/>
                                  <a:tailEnd type="triangle" w="med" len="med"/>
                                </a:ln>
                              </wps:spPr>
                              <wps:bodyPr upright="1"/>
                            </wps:wsp>
                            <wps:wsp>
                              <wps:cNvPr id="18" name="矩形 18"/>
                              <wps:cNvSpPr/>
                              <wps:spPr>
                                <a:xfrm>
                                  <a:off x="7128" y="440"/>
                                  <a:ext cx="1801" cy="485"/>
                                </a:xfrm>
                                <a:prstGeom prst="rect">
                                  <a:avLst/>
                                </a:prstGeom>
                                <a:noFill/>
                                <a:ln>
                                  <a:noFill/>
                                </a:ln>
                              </wps:spPr>
                              <wps:txbx>
                                <w:txbxContent>
                                  <w:p>
                                    <w:pPr>
                                      <w:rPr>
                                        <w:rFonts w:hint="eastAsia"/>
                                      </w:rPr>
                                    </w:pPr>
                                    <w:r>
                                      <w:rPr>
                                        <w:rFonts w:hint="eastAsia"/>
                                      </w:rPr>
                                      <w:t>施肥或其他用途</w:t>
                                    </w:r>
                                  </w:p>
                                </w:txbxContent>
                              </wps:txbx>
                              <wps:bodyPr upright="1"/>
                            </wps:wsp>
                            <wps:wsp>
                              <wps:cNvPr id="19" name="直接连接符 19"/>
                              <wps:cNvCnPr/>
                              <wps:spPr>
                                <a:xfrm>
                                  <a:off x="3473" y="170"/>
                                  <a:ext cx="0" cy="936"/>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a:off x="1294" y="192"/>
                                  <a:ext cx="540" cy="0"/>
                                </a:xfrm>
                                <a:prstGeom prst="line">
                                  <a:avLst/>
                                </a:prstGeom>
                                <a:ln w="9525" cap="flat" cmpd="sng">
                                  <a:solidFill>
                                    <a:srgbClr val="000000"/>
                                  </a:solidFill>
                                  <a:prstDash val="solid"/>
                                  <a:headEnd type="none" w="med" len="med"/>
                                  <a:tailEnd type="triangle" w="med" len="med"/>
                                </a:ln>
                              </wps:spPr>
                              <wps:bodyPr upright="1"/>
                            </wps:wsp>
                            <wps:wsp>
                              <wps:cNvPr id="21" name="直接连接符 21"/>
                              <wps:cNvCnPr/>
                              <wps:spPr>
                                <a:xfrm>
                                  <a:off x="1294" y="1077"/>
                                  <a:ext cx="2156" cy="7"/>
                                </a:xfrm>
                                <a:prstGeom prst="line">
                                  <a:avLst/>
                                </a:prstGeom>
                                <a:ln w="9525" cap="flat" cmpd="sng">
                                  <a:solidFill>
                                    <a:srgbClr val="000000"/>
                                  </a:solidFill>
                                  <a:prstDash val="solid"/>
                                  <a:headEnd type="none" w="med" len="med"/>
                                  <a:tailEnd type="triangle" w="med" len="med"/>
                                </a:ln>
                              </wps:spPr>
                              <wps:bodyPr upright="1"/>
                            </wps:wsp>
                            <wps:wsp>
                              <wps:cNvPr id="22" name="直接连接符 22"/>
                              <wps:cNvCnPr/>
                              <wps:spPr>
                                <a:xfrm>
                                  <a:off x="2933" y="200"/>
                                  <a:ext cx="540" cy="0"/>
                                </a:xfrm>
                                <a:prstGeom prst="line">
                                  <a:avLst/>
                                </a:prstGeom>
                                <a:ln w="9525" cap="flat" cmpd="sng">
                                  <a:solidFill>
                                    <a:srgbClr val="000000"/>
                                  </a:solidFill>
                                  <a:prstDash val="solid"/>
                                  <a:headEnd type="none" w="med" len="med"/>
                                  <a:tailEnd type="triangle" w="med" len="med"/>
                                </a:ln>
                              </wps:spPr>
                              <wps:bodyPr upright="1"/>
                            </wps:wsp>
                            <wps:wsp>
                              <wps:cNvPr id="23" name="直接连接符 23"/>
                              <wps:cNvCnPr/>
                              <wps:spPr>
                                <a:xfrm>
                                  <a:off x="3484" y="624"/>
                                  <a:ext cx="540" cy="0"/>
                                </a:xfrm>
                                <a:prstGeom prst="line">
                                  <a:avLst/>
                                </a:prstGeom>
                                <a:ln w="9525" cap="flat" cmpd="sng">
                                  <a:solidFill>
                                    <a:srgbClr val="000000"/>
                                  </a:solidFill>
                                  <a:prstDash val="solid"/>
                                  <a:headEnd type="none" w="med" len="med"/>
                                  <a:tailEnd type="triangle" w="med" len="med"/>
                                </a:ln>
                              </wps:spPr>
                              <wps:bodyPr upright="1"/>
                            </wps:wsp>
                            <wps:wsp>
                              <wps:cNvPr id="24" name="直接连接符 24"/>
                              <wps:cNvCnPr/>
                              <wps:spPr>
                                <a:xfrm>
                                  <a:off x="4853" y="326"/>
                                  <a:ext cx="0" cy="624"/>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a:off x="5629" y="312"/>
                                  <a:ext cx="0" cy="624"/>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3.05pt;margin-top:837.55pt;height:65pt;width:446.45pt;z-index:251658240;mso-width-relative:page;mso-height-relative:page;" coordsize="8929,1300" o:gfxdata="UEsDBAoAAAAAAIdO4kAAAAAAAAAAAAAAAAAEAAAAZHJzL1BLAwQUAAAACACHTuJAesUfPtsAAAAM&#10;AQAADwAAAGRycy9kb3ducmV2LnhtbE2PQU/DMAyF70j8h8hI3FgSxsrWNZ3QBJwmJDYktJvXem21&#10;JqmarN3+PeYEN/v56fl72epiWzFQHxrvDOiJAkGu8GXjKgNfu7eHOYgQ0ZXYekcGrhRgld/eZJiW&#10;fnSfNGxjJTjEhRQN1DF2qZShqMlimPiOHN+OvrcYee0rWfY4crht5aNSibTYOP5QY0frmorT9mwN&#10;vI84vkz167A5HdfX/W728b3RZMz9nVZLEJEu8c8Mv/iMDjkzHfzZlUG0Bp4SzU7Wk+cZT+xYTBfc&#10;7sDSXLEk80z+L5H/AFBLAwQUAAAACACHTuJAgK/6oSwEAAClHQAADgAAAGRycy9lMm9Eb2MueG1s&#10;7VnLbuM2FN0X6D8Q2jd62JIlIc4sJpNsinaAaT+AkagHIIkCycTOvouuiu4LtMAALVBglrMrin7N&#10;dPoZvXxYshUL9mTawqnthSxR5BV5eO69h+T5s2VdoTvCeEmbueWeORYiTULTssnn1tdfXX0WWogL&#10;3KS4og2ZW/eEW88uPv3kfNHGxKMFrVLCEBhpeLxo51YhRBvbNk8KUmN+RlvSwMuMshoLeGS5nTK8&#10;AOt1ZXuOE9gLytKW0YRwDqWX+qV1oexnGUnEl1nGiUDV3IK+CXVl6nojr/bFOY5zhtuiTEw38CN6&#10;UeOygY92pi6xwOiWlQ9M1WXCKKeZOEtobdMsKxOixgCjcZ3BaK4ZvW3VWPJ4kbcdTADtAKdHm02+&#10;uHvJUJnOLS+wUINrmKP3v33z7vtvERQAOos2j6HSNWtftS+ZKcj1kxzwMmO1/IehoKXC9b7DlSwF&#10;SqDQD4Iocn0LJfAu9HzfMcAnBczOg2ZJ8cI0DCMv0q3ciW5jr75oy451/Vi0QB/eI8Q/DqFXBW6J&#10;Ap7LwRuE3EmH0E+/vvv9NYICBYiq1MHDYw5IjWLjTjXpVuC4XjDTY5yGvnzVDRHHLePimtAayZu5&#10;xYDOimX47nMudNVVFfk9TqsyvSqrSj2w/OZ5xdAdBupfqZ+xvlGtatBibkW+J6cHgwdmFRZwW7fA&#10;Cd7k6nsbLfi6YUf9thmWHbvEvNAdUBb0wOtSEAadx3FBcPqiSZG4b4F2DQQIS3amJqmFKgLxRN6p&#10;mgKX1T41AbuqAQglH/QsyDuxvFmCGXl7Q9N7mM7blpV5AZC6quuGPrrKv8+j6ZBHihKyE0C23TyC&#10;5tKPwKEUNiciHS2RwGdNyDYBSVFibyK5YaC5ZMJxxyQn9E4h6ahCUp/8DZNM8t83JDkOMAai0sT1&#10;NqOS57tgWyb+QAuKU3r7v6c3kDMmKv3w9s/vfv7rjx/h+v7NL8idSW6Y8PS8MXJylalXyq7TkoE/&#10;AepI5kxVQxyvAtTMAykmOaUC1zijqhIkhVQaI4Lpvxc/j5U8gpW4yasRgbRd9hyE1oH132aKCtc4&#10;sFvrzFwPLMBMT6fDJBU67j+UpBoqRbMSU1I94rgr2A7soelJWCONOFy0BvZuh5tMZ+BXALY7G4AN&#10;S2fpbhE4JMB0DA43vhrZzolDcDYPpmk7EeDNh0Re14u0MHSjQTr3wQ1Pkbdfmh4wGSA6jpBBLXr3&#10;TsM9GZzZIA97rm/EnXpxDHHhqSZiD/T5CB2Ui+9NBy+a6CQB268yqPSq7BQbNretDjg29DuZA4kO&#10;wvpDEsVkGupEEXiDbc0TGZ4MGWAGRyLD+r7kbvkI+9c6Mkz0Sr+PDEYzGJIcQ5p4kvKx304cRoX1&#10;fcXdRPADeWwD64UHu0EnInykdFTHXnAWqBZh5txSHjauP6vzj/509eJ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AYAAFtDb250ZW50X1R5cGVz&#10;XS54bWxQSwECFAAKAAAAAACHTuJAAAAAAAAAAAAAAAAABgAAAAAAAAAAABAAAACCBQAAX3JlbHMv&#10;UEsBAhQAFAAAAAgAh07iQIoUZjzRAAAAlAEAAAsAAAAAAAAAAQAgAAAApgUAAF9yZWxzLy5yZWxz&#10;UEsBAhQACgAAAAAAh07iQAAAAAAAAAAAAAAAAAQAAAAAAAAAAAAQAAAAAAAAAGRycy9QSwECFAAU&#10;AAAACACHTuJAesUfPtsAAAAMAQAADwAAAAAAAAABACAAAAAiAAAAZHJzL2Rvd25yZXYueG1sUEsB&#10;AhQAFAAAAAgAh07iQICv+qEsBAAApR0AAA4AAAAAAAAAAQAgAAAAKgEAAGRycy9lMm9Eb2MueG1s&#10;UEsFBgAAAAAGAAYAWQEAAMgHAAAAAA==&#10;">
                      <o:lock v:ext="edit" aspectratio="f"/>
                      <v:rect id="_x0000_s1026" o:spid="_x0000_s1026" o:spt="1" style="position:absolute;left:0;top:14;height:485;width:1267;"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rPr>
                              </w:pPr>
                              <w:r>
                                <w:rPr>
                                  <w:rFonts w:hint="eastAsia"/>
                                </w:rPr>
                                <w:t>生活污水</w:t>
                              </w:r>
                            </w:p>
                          </w:txbxContent>
                        </v:textbox>
                      </v:rect>
                      <v:rect id="_x0000_s1026" o:spid="_x0000_s1026" o:spt="1" style="position:absolute;left:4;top:815;height:485;width:1267;"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rPr>
                              </w:pPr>
                              <w:r>
                                <w:rPr>
                                  <w:rFonts w:hint="eastAsia"/>
                                </w:rPr>
                                <w:t>养殖粪尿水</w:t>
                              </w:r>
                            </w:p>
                          </w:txbxContent>
                        </v:textbox>
                      </v:rect>
                      <v:rect id="_x0000_s1026" o:spid="_x0000_s1026" o:spt="1" style="position:absolute;left:1864;top:0;height:485;width:1082;" fillcolor="#FFFFFF" filled="t" stroked="t" coordsize="21600,21600" o:gfxdata="UEsDBAoAAAAAAIdO4kAAAAAAAAAAAAAAAAAEAAAAZHJzL1BLAwQUAAAACACHTuJAleu9CboAAADb&#10;AAAADwAAAGRycy9kb3ducmV2LnhtbEVPPW/CMBDdK/EfrENiKzZURR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70J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rPr>
                              </w:pPr>
                              <w:r>
                                <w:rPr>
                                  <w:rFonts w:hint="eastAsia"/>
                                </w:rPr>
                                <w:t>化粪池</w:t>
                              </w:r>
                            </w:p>
                          </w:txbxContent>
                        </v:textbox>
                      </v:rect>
                      <v:rect id="_x0000_s1026" o:spid="_x0000_s1026" o:spt="1" style="position:absolute;left:4002;top:312;height:626;width:2516;" fillcolor="#FFFFFF" filled="t" stroked="t"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rPr>
                              </w:pPr>
                              <w:r>
                                <w:rPr>
                                  <w:rFonts w:hint="eastAsia"/>
                                </w:rPr>
                                <w:t>储存池 厌氧池 好氧池</w:t>
                              </w:r>
                            </w:p>
                          </w:txbxContent>
                        </v:textbox>
                      </v:rect>
                      <v:line id="_x0000_s1026" o:spid="_x0000_s1026" o:spt="20" style="position:absolute;left:6536;top:647;height:0;width:723;"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7128;top:440;height:485;width:1801;" filled="f" stroked="f" coordsize="21600,21600" o:gfxdata="UEsDBAoAAAAAAIdO4kAAAAAAAAAAAAAAAAAEAAAAZHJzL1BLAwQUAAAACACHTuJA7kmoFr0AAADb&#10;AAAADwAAAGRycy9kb3ducmV2LnhtbEWPQWvCQBCF7wX/wzJCL0U3epASXT0IYhBBGlvPQ3ZMgtnZ&#10;mF0T++87B6G3Gd6b975ZbZ6uUT11ofZsYDZNQBEX3tZcGvg+7yafoEJEtth4JgO/FGCzHr2tMLV+&#10;4C/q81gqCeGQooEqxjbVOhQVOQxT3xKLdvWdwyhrV2rb4SDhrtHzJFlohzVLQ4UtbSsqbvnDGRiK&#10;U385H/f69HHJPN+z+zb/ORjzPp4lS1CRnvHf/LrOrOALrP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ag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rPr>
                              </w:pPr>
                              <w:r>
                                <w:rPr>
                                  <w:rFonts w:hint="eastAsia"/>
                                </w:rPr>
                                <w:t>施肥或其他用途</w:t>
                              </w:r>
                            </w:p>
                          </w:txbxContent>
                        </v:textbox>
                      </v:rect>
                      <v:line id="_x0000_s1026" o:spid="_x0000_s1026" o:spt="20" style="position:absolute;left:3473;top:170;height:936;width:0;"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294;top:192;height:0;width:540;" filled="f" stroked="t" coordsize="21600,21600" o:gfxdata="UEsDBAoAAAAAAIdO4kAAAAAAAAAAAAAAAAAEAAAAZHJzL1BLAwQUAAAACACHTuJAp8U2FrwAAADb&#10;AAAADwAAAGRycy9kb3ducmV2LnhtbEVPz2vCMBS+D/Y/hDfwNtN6kFKNHgaK0LpRFdluj+atLTYv&#10;JYm2+++Xw2DHj+/3ejuZXjzI+c6ygnSegCCure64UXA5714zED4ga+wtk4If8rDdPD+tMdd25Ioe&#10;p9CIGMI+RwVtCEMupa9bMujndiCO3Ld1BkOErpHa4RjDTS8XSbKUBjuODS0O9NZSfTvdjYKq3BXZ&#10;tbhPtfvap+/nj/L46TOlZi9psgIRaAr/4j/3QStYxPX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Nha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294;top:1077;height:7;width:2156;"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933;top:200;height:0;width:540;"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484;top:624;height:0;width:54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853;top:326;height:624;width:0;" filled="f" stroked="t" coordsize="21600,21600" o:gfxdata="UEsDBAoAAAAAAIdO4kAAAAAAAAAAAAAAAAAEAAAAZHJzL1BLAwQUAAAACACHTuJAlmscFr0AAADb&#10;AAAADwAAAGRycy9kb3ducmV2LnhtbEWPzYvCMBTE7wv+D+EJexFN7C4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xw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629;top:312;height:624;width:0;" filled="f" stroked="t" coordsize="21600,21600" o:gfxdata="UEsDBAoAAAAAAIdO4kAAAAAAAAAAAAAAAAAEAAAAZHJzL1BLAwQUAAAACACHTuJA+Se5jb0AAADb&#10;AAAADwAAAGRycy9kb3ducmV2LnhtbEWPzYvCMBTE7wv+D+EJexFN7LIi1ehBLXjw4hdeH82zLTYv&#10;tcn69ddvhIU9DjPzG2Y6f9ha3Kj1lWMNw4ECQZw7U3Gh4bDP+mMQPiAbrB2Thid5mM86H1NMjbvz&#10;lm67UIgIYZ+ihjKEJpXS5yVZ9APXEEfv7FqLIcq2kKbFe4TbWiZKjaTFiuNCiQ0tSsovux+rwWdH&#10;umavXt5Tp6/CUXJdblao9Wd3qCYgAj3Cf/ivvTYakm9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7m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r>
              <w:rPr>
                <w:rFonts w:hint="default" w:ascii="Times New Roman" w:hAnsi="Times New Roman" w:eastAsia="黑体" w:cs="Times New Roman"/>
                <w:bCs/>
                <w:sz w:val="28"/>
                <w:szCs w:val="28"/>
                <w:highlight w:val="none"/>
              </w:rPr>
              <w:t>营运期环境影响分析：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本工程输送和储存介质为天然气，工艺流程为简单的物理过程，运行期在正常情况下，污染物产生量较小，当设备、管道检修时有少量天然气排放。根据工程供气流程， 输气管道运行期间采用密闭输送，正常情况不会泄漏天然气，而且天然气为干气，不产生凝结水和固废。</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本工程运营期的主要环境影响因素包括：（1）检修或管道超压和管道泄漏时少量天然气气体排放；（2）对管道经过路线的土地利用和社会影响。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1、水污染源分析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本工程为天然气输配工程，管道正常运行时没有生产废水产生。</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2、大气污染源分析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本工程为天然气管道工程，正常情况下，输气管道密闭运行，无废气排放，因此不会造成空气污染。只有在管道检修等非正常工况下，会有少量天然气在管道中释放出来， 由于管道检修一次泄漏量很少，约 10m</w:t>
            </w:r>
            <w:r>
              <w:rPr>
                <w:rFonts w:hint="default" w:ascii="Times New Roman" w:hAnsi="Times New Roman" w:cs="Times New Roman"/>
                <w:sz w:val="24"/>
                <w:vertAlign w:val="superscript"/>
              </w:rPr>
              <w:t>3</w:t>
            </w:r>
            <w:r>
              <w:rPr>
                <w:rFonts w:hint="default" w:ascii="Times New Roman" w:hAnsi="Times New Roman" w:cs="Times New Roman"/>
                <w:sz w:val="24"/>
              </w:rPr>
              <w:t>/次，每次释放时间约 10min，每年只有 1~2 次， 对其采取收集就地燃烧的措施处理，因此，基本不会对环境空气质量产生影响。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3、噪声源分析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管道正常运行过程中无噪声产生。</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4、固体废物</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本项目营运期无固体废物产生。</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5、生态和社会影响分析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的管道工程建成投入运行后，管沟开挖部分通过植被恢复可大大降低项目建设对陆生生态的影响，对城区道路的影响也即消除。供应的天然气属清洁能源，替代部分重油、煤等污染较大的能源后，可减少大气污染物的排放，间接降低大气污染物排放对生态环境的影响。但天然气管道属安全和消防重点保护对象，管线附近用地会受到限制，对城镇发展构成一定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采用定向钻法建设河流穿越工程，建成后不会对河流水生生物、水动力、河堤安全和水土流失构成不利影响。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（1）营运期陆生生态环境影响分析</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①对植被的破坏</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规模较小，无站场，管道埋地，对植被的破坏并不严重。项目区各群落生态环境质量综合指数均处于较低的级别，生态系统多样性并不高，生态系统功能也较低。且这些物种多为人工种植或较易繁殖和传播的物种，没有国家保护的珍稀濒危植物和古树名树。总体看来，项目建设不会给区域的植物资源造成很大破坏，造成的损失较轻微。只要加强项目和周边地区的绿化和生态建设，最大限度地保留原有植被， 多采用土著种绿化，就能够补偿原有生态环境的破坏，维护区域的生物多样性。</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②对景观的影响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景观是构成视觉图案的地貌和土地覆盖物，是人们对诸如自然景物和城市建筑物等环境因素审美的综合反映。依据土地利用状况的差异，建设项目原有景观可分为林地、农田、鱼塘和公路绿化地等其他用地。</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项目建设将使原有的景观发生变化，原有的林地、农田、鱼塘和公路绿化植被等将消失，并增加部分人工绿化景观。若项目建设区域绿化建设能够合理安排，则可以给人以视觉美感与身心愉悦。</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③对陆生生物及栖息地的影响</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项目建设完成后，燃气管道临时占地将使部分陆生动物的觅食地与栖息地消失， 导致这些动物如鼠类、蛙类等迁出，增加区域外这类动物的密度。同时也使蛇类等迁居到高地。但种群数量与种类不会有太大变化。但是项目区域内无珍稀野生动物、无国家保护的濒危动物，因此，项目建设对陆生动物影响不大。</w:t>
            </w:r>
          </w:p>
          <w:p>
            <w:pPr>
              <w:numPr>
                <w:ilvl w:val="0"/>
                <w:numId w:val="0"/>
              </w:num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（2）营运期水生生态环境影响分析</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本工程采用定向钻法建设河流穿越工程，建成后不会对河流水生生物、水动力、河堤安全和水土流失构成不利影响。对原有河道形态和水文条件并无改变和影响。因此项目营运期对水生生态环境质量影响轻微。</w:t>
            </w:r>
          </w:p>
          <w:p>
            <w:pPr>
              <w:adjustRightInd w:val="0"/>
              <w:snapToGrid w:val="0"/>
              <w:spacing w:line="520" w:lineRule="exact"/>
              <w:ind w:firstLine="482" w:firstLineChars="200"/>
              <w:rPr>
                <w:b/>
                <w:sz w:val="24"/>
              </w:rPr>
            </w:pPr>
            <w:r>
              <w:rPr>
                <w:rFonts w:hint="eastAsia"/>
                <w:b/>
                <w:sz w:val="24"/>
              </w:rPr>
              <w:t>5、环境风险分析</w:t>
            </w:r>
          </w:p>
          <w:p>
            <w:pPr>
              <w:pStyle w:val="8"/>
              <w:adjustRightInd w:val="0"/>
              <w:snapToGrid w:val="0"/>
              <w:spacing w:line="520" w:lineRule="exact"/>
              <w:ind w:firstLine="482" w:firstLineChars="200"/>
              <w:jc w:val="left"/>
              <w:rPr>
                <w:rFonts w:ascii="Times New Roman"/>
                <w:b/>
                <w:sz w:val="24"/>
              </w:rPr>
            </w:pPr>
            <w:r>
              <w:rPr>
                <w:rFonts w:hint="eastAsia" w:ascii="Times New Roman"/>
                <w:b/>
                <w:sz w:val="24"/>
              </w:rPr>
              <w:t>5.1风险识别</w:t>
            </w:r>
          </w:p>
          <w:p>
            <w:pPr>
              <w:pStyle w:val="8"/>
              <w:adjustRightInd w:val="0"/>
              <w:snapToGrid w:val="0"/>
              <w:spacing w:line="520" w:lineRule="exact"/>
              <w:ind w:firstLine="480" w:firstLineChars="200"/>
              <w:jc w:val="left"/>
              <w:rPr>
                <w:rFonts w:hint="eastAsia" w:ascii="Times New Roman"/>
                <w:sz w:val="24"/>
              </w:rPr>
            </w:pPr>
            <w:r>
              <w:rPr>
                <w:rFonts w:hint="eastAsia" w:ascii="Times New Roman"/>
                <w:sz w:val="24"/>
              </w:rPr>
              <w:t>环境风险评价的目的是分析和预测建设项目存在的潜在危险，建设项目建设和运行期间发生的突发性事件，有毒有害和易燃易爆等物质的泄漏，所造成的人身安全与环境影响，提出合理可行的防范、应急措施，以使事故率、损失达到可接受水平。</w:t>
            </w:r>
          </w:p>
          <w:p>
            <w:pPr>
              <w:autoSpaceDE w:val="0"/>
              <w:autoSpaceDN w:val="0"/>
              <w:adjustRightInd w:val="0"/>
              <w:snapToGrid w:val="0"/>
              <w:spacing w:line="520" w:lineRule="exact"/>
              <w:ind w:firstLine="470" w:firstLineChars="196"/>
              <w:jc w:val="left"/>
              <w:rPr>
                <w:rFonts w:hint="eastAsia" w:ascii="Times New Roman"/>
                <w:sz w:val="24"/>
              </w:rPr>
            </w:pPr>
            <w:r>
              <w:rPr>
                <w:rFonts w:hint="eastAsia" w:ascii="Times New Roman"/>
                <w:sz w:val="24"/>
              </w:rPr>
              <w:t>该工程的主要工艺是在密闭的系统内输送天然气，因此工程存在的主要环境风险主要为：</w:t>
            </w:r>
          </w:p>
          <w:p>
            <w:pPr>
              <w:autoSpaceDE w:val="0"/>
              <w:autoSpaceDN w:val="0"/>
              <w:adjustRightInd w:val="0"/>
              <w:snapToGrid w:val="0"/>
              <w:spacing w:line="520" w:lineRule="exact"/>
              <w:ind w:firstLine="470" w:firstLineChars="196"/>
              <w:jc w:val="left"/>
              <w:rPr>
                <w:rFonts w:hint="eastAsia" w:ascii="Times New Roman"/>
                <w:sz w:val="24"/>
              </w:rPr>
            </w:pPr>
            <w:r>
              <w:rPr>
                <w:rFonts w:hint="eastAsia" w:ascii="Times New Roman"/>
                <w:sz w:val="24"/>
              </w:rPr>
              <w:t>1)管道破裂时泄漏的天然气对附近环境空气质量造成不良影响；</w:t>
            </w:r>
          </w:p>
          <w:p>
            <w:pPr>
              <w:autoSpaceDE w:val="0"/>
              <w:autoSpaceDN w:val="0"/>
              <w:adjustRightInd w:val="0"/>
              <w:snapToGrid w:val="0"/>
              <w:spacing w:line="520" w:lineRule="exact"/>
              <w:ind w:firstLine="470" w:firstLineChars="196"/>
              <w:jc w:val="left"/>
              <w:rPr>
                <w:rFonts w:hint="eastAsia" w:ascii="Times New Roman"/>
                <w:sz w:val="24"/>
              </w:rPr>
            </w:pPr>
            <w:r>
              <w:rPr>
                <w:rFonts w:hint="eastAsia" w:ascii="Times New Roman"/>
                <w:sz w:val="24"/>
              </w:rPr>
              <w:t>2)发生火灾事故时，火灾产生的大量浓烟对周围大气环境造成的影响；</w:t>
            </w:r>
          </w:p>
          <w:p>
            <w:pPr>
              <w:autoSpaceDE w:val="0"/>
              <w:autoSpaceDN w:val="0"/>
              <w:adjustRightInd w:val="0"/>
              <w:snapToGrid w:val="0"/>
              <w:spacing w:line="520" w:lineRule="exact"/>
              <w:ind w:firstLine="470" w:firstLineChars="196"/>
              <w:jc w:val="left"/>
              <w:rPr>
                <w:rFonts w:hint="eastAsia" w:ascii="Times New Roman"/>
                <w:sz w:val="24"/>
              </w:rPr>
            </w:pPr>
            <w:r>
              <w:rPr>
                <w:rFonts w:hint="eastAsia" w:ascii="Times New Roman"/>
                <w:sz w:val="24"/>
              </w:rPr>
              <w:t>3)穿越河道的管道发生破裂时，泄漏的天然气对河道水环境质量造成不良影响；</w:t>
            </w:r>
          </w:p>
          <w:p>
            <w:pPr>
              <w:autoSpaceDE w:val="0"/>
              <w:autoSpaceDN w:val="0"/>
              <w:adjustRightInd w:val="0"/>
              <w:snapToGrid w:val="0"/>
              <w:spacing w:line="520" w:lineRule="exact"/>
              <w:ind w:firstLine="470" w:firstLineChars="196"/>
              <w:jc w:val="left"/>
              <w:rPr>
                <w:rFonts w:hint="eastAsia" w:ascii="Times New Roman"/>
                <w:sz w:val="24"/>
              </w:rPr>
            </w:pPr>
            <w:r>
              <w:rPr>
                <w:rFonts w:hint="eastAsia" w:ascii="Times New Roman"/>
                <w:sz w:val="24"/>
              </w:rPr>
              <w:t>4)发生火灾事故时，灭火过程中产生的消防废水对水环境质量造成不良影响。</w:t>
            </w:r>
          </w:p>
          <w:p>
            <w:pPr>
              <w:autoSpaceDE w:val="0"/>
              <w:autoSpaceDN w:val="0"/>
              <w:adjustRightInd w:val="0"/>
              <w:snapToGrid w:val="0"/>
              <w:spacing w:line="520" w:lineRule="exact"/>
              <w:ind w:firstLine="472" w:firstLineChars="196"/>
              <w:jc w:val="left"/>
              <w:rPr>
                <w:b/>
                <w:sz w:val="24"/>
              </w:rPr>
            </w:pPr>
            <w:r>
              <w:rPr>
                <w:rFonts w:hint="eastAsia"/>
                <w:b/>
                <w:sz w:val="24"/>
              </w:rPr>
              <w:t>5.2风险防范措施</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1）对穿越公路、河流、城市主要道路的管道，应减少接口，且穿越前应对连接好的管段进行强度和严密性试验。</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2）地下燃气管道不宜与其他管道或光缆同沟敷设，当需要同沟敷设时，必须采取防护措施。</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3）严格控制天然气质量，定期清管，排除管内的给水和污物，以减轻管道腐蚀。</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4）PE 管下沟前必须进行外观检查，回填后必须管线进行全线试压检查。</w:t>
            </w:r>
          </w:p>
          <w:p>
            <w:pPr>
              <w:adjustRightInd w:val="0"/>
              <w:snapToGrid w:val="0"/>
              <w:spacing w:line="520" w:lineRule="exact"/>
              <w:ind w:firstLine="480" w:firstLineChars="200"/>
              <w:rPr>
                <w:rFonts w:hint="eastAsia"/>
                <w:sz w:val="24"/>
              </w:rPr>
            </w:pPr>
            <w:r>
              <w:rPr>
                <w:rFonts w:hint="eastAsia"/>
                <w:sz w:val="24"/>
              </w:rPr>
              <w:t>5）任何单位和个人发现破坏天然气管道设施或者在天然气管道上打孔、锯口盗窃管道输送的天然气，或故意制造污染的行为，应当及时向所在地公安机关报案。</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6）天然气管道设施运营企业应当在下列地点设置永久性安全警示牌；</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①管道线路穿越的人口密集地段和人员活动频繁的地区；</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②车辆、机械频繁穿越管道线路的地段；</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③易遭车辆碰撞和人畜破坏的管道沿线地段；</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④河流的穿跨越地段；</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⑤重点地段、路口及管道经过的村镇应当设立保护管道的宣传牌或警示标志。</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7）天然气管道设施运营企业应依法委托有资质的安全评价机构定期对天然气管道设施进行安全评价，并将评价报告报所在地安全生产监督管理部门备案。</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8）天然气管道设施运营企业应当加强对天然气管道设施的曰常巡护，及时维修保养。</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9）天然气管道设施运营企业可以将天然气管道设施委托所在地的有关单位或者人员负责保护，签订委托保护书，明确委托方和被委托方的权利和义务，并由委托方将委托保护书抄送镇人民政府主管天然气管道设施保护的主管部门备案。天然气管道设施保护人员如有变化应当办理交接手续，重新签订责任书。</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10）受委托保护天然气管道设施的单位和个人应当按照所签协议的要求经常察看天然气管道设施状况；发现天然气管道设施损毁时应及时报告，并保护现场。</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11）任何单位和个人未经批准不得随意拆除、拆迁符合规划的天然气管道设施， 不得在天然气管道设施保护范围内修建各类建(构)筑物、挖砂取土、打井、 排放腐蚀性物质和种植深根作物。</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12）不得移动、拆除、损坏管道设施以及为保护管道设施安全而设置的标志、标识。</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13）不得在管道中心线两侧各5米范围内，取土、挖塘、修渠、修建养殖水场，排放腐蚀性物质，堆放大宗物资，釆石、盖房、建温室、家畜棚圈、修筑其他建筑物、构筑物或者种植深根植物。</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14）不得在管道中心线两侧或者管道设施场区外各50米范围内，爆破、开山和修筑大型建筑物、构筑物工程。</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15）不得在埋地管道设施上方巡查便道上行驶机动车辆或者在地面管道设施、架空管道设施上行走。</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16）不得危害管道设施安全的其他行为。</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17）穿越河流的管道设施，由管道企业与河道、航道管理单位根据国家有关规定确定安全保护范围，并设置标志。</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18）管道设施发生事故时，管道企业应当及时组织抢修，任何单位和个人不得以任何方式阻挠、妨碍抢修工作。</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19）任何单位在管道设施全保护范围内进行下列施工时，应当事先先通知管道企业，并釆取相应的保护措施：</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①新建、改(扩)建铁路、公路、桥梁、河渠、架空电力线路；</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②埋设地下电(光)缆；</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③设置安全或者避雷接地体。</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20）制订应急操作规程，在规程中应说明发生管道事故时应采取的操作步骤，规定抢修进度，限制事故的影响，制定特殊危险事件及突发事件的应急处理计划，并进行必要的实践训练，保证突发情况下的安全；另外还应说明与管道操作人员有关的安全问题。</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21）操作人员每周应进行安全活动，提高职工的安全意识，识别事故发生前的异常状态，并采取相应的措施；建立健全各类安全检查管理规章制度，不断进行安全检查， 及时发现和排除隐患，防止事故发生；并建立安全卫生质量保证体系和信息反馈体系。加强全员教育培训和员工的工作责任心，增强安全意识，提高安全操作技能和事故应急处理能力，安全操作杜绝一切违章非安全行为。</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22）对管道附近的居民加强教育，普及天然气管道安全知识，进一步宣传贯彻、落实《石油天然气管道保护条例》，减少、避免发生第三方破坏的事故。</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23）对重要的仪器设备有完善的检查项目、维护方法；按计划进行定期维护；有专门档案(包括维护记录档案)，文件齐全。</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24）机械或其他外部影响：政府有关部门应高度重视，广泛宣传教育，加强市民使用燃气的安全意识，制订保护燃气设施强制性政策及措施。认真贯彻落实建设部有关文件精神，加强日常巡线检查，制订巡线制度，加强巡线人员的业务水平及责任心，设置地下燃气管标志，消除燃气管网的安全隐患，作好安全预防工作。</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25）材料、设备的质量：材料、设备的选择应认真考察，材料选择应符合当地燃气</w:t>
            </w:r>
          </w:p>
          <w:p>
            <w:pPr>
              <w:adjustRightInd w:val="0"/>
              <w:snapToGrid w:val="0"/>
              <w:spacing w:line="520" w:lineRule="exact"/>
              <w:rPr>
                <w:rFonts w:hint="default" w:ascii="Times New Roman" w:hAnsi="Times New Roman" w:cs="Times New Roman"/>
                <w:sz w:val="24"/>
              </w:rPr>
            </w:pPr>
            <w:r>
              <w:rPr>
                <w:rFonts w:hint="default" w:ascii="Times New Roman" w:hAnsi="Times New Roman" w:cs="Times New Roman"/>
                <w:sz w:val="24"/>
              </w:rPr>
              <w:t>的实际情况，在运行过程中对设备逐步进行改进。制订燃气设备(调压器、 阀门）的维护、保养规程。根据实际情况缩短维护、保养周期。</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26）燃气质量：燃气质量应符合相关的国家标准，根据气候条件适当提高质量标准，落实生产责任制，在生产时应严格把关，随时跟踪检测分析。</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27）技术、施工标准：在天然气工程的设计、施工、验收、运行及维修工作中， 严格执行有关国家标准、规范及规程，技术人员实地勘查，根据实际情况适当提高有关标准。对技术人员、安装人员进行培训，以掌握新工艺、新规范，根据有关国家标准编制本公司的技术、施工标准。</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28）管网运行应配置远程监测系统进行自动控制，一旦发生泄漏可及时发现关闭阀门，杜绝风险事故发生。</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29）输气管道同地面建（构）筑物的最小间距符合《城镇燃气设计规范》 GB50028-2006的要求。</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30）选用优质可靠的管材和关键工艺设备，保障管道的运行安全；关键的阀门选用进口阀门，以减少漏气的可能性。</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31）管道穿越不同地段，采用不同的敷设方式，保证管道安全；如管道穿越城市快速路，应加套管保护，穿越河流等应加大管道埋深。</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32）管线防腐采用外防腐材料和牺牲阳极阴极保护结合的方式保护管道，不同地段防腐级别不同，穿越城市快速路、河流等处应增加防腐级别。</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33）管道配置检漏和抢修设备，能快速、准确地发现漏点，并能及时地进行处理。</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34）管道有专职人员利用专用设备如检漏车，便携式检漏仪等进行巡线，及时发现泄漏情况，并及时处理。</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35）人口密集的村庄及城镇居民区一旦发生燃气泄漏爆炸事故，将会对近距离的居民的生命财产安全造成重大威胁，应采取以下防范措施：</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①全线铺设警示带；</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②人口密集区域管线可以适当增加直缝电阻焊钢管的比例，增加管线材质的抗压强度，减小管道破裂事故的发生概率；</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③沿线每隔 100 米设置一个加密桩，并适当增加警示牌的数量；</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④部分靠近村庄和城镇居民的密集段，为了防止第三方破坏，可以适当的增加盖板进行保护；</w:t>
            </w:r>
          </w:p>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⑤在村庄和城镇居民集聚段，经常开展形式多样的宣传活动，利用新闻媒体大沥宣传违章占压天然气管道的危害，加大监督力度，对违章占压燃气设施的情况进行摸底， 通过积极的方法与占压单位或者个人协商，进行改造消除，保证燃气管线的安全运行。</w:t>
            </w:r>
          </w:p>
          <w:p>
            <w:pPr>
              <w:adjustRightInd w:val="0"/>
              <w:snapToGrid w:val="0"/>
              <w:spacing w:line="520" w:lineRule="exact"/>
              <w:ind w:firstLine="480" w:firstLineChars="200"/>
              <w:rPr>
                <w:rFonts w:hint="eastAsia"/>
                <w:sz w:val="24"/>
              </w:rPr>
            </w:pPr>
            <w:r>
              <w:rPr>
                <w:rFonts w:hint="eastAsia"/>
                <w:sz w:val="24"/>
              </w:rPr>
              <w:t>（3）事故应急预案</w:t>
            </w:r>
          </w:p>
          <w:p>
            <w:pPr>
              <w:adjustRightInd w:val="0"/>
              <w:snapToGrid w:val="0"/>
              <w:spacing w:line="520" w:lineRule="exact"/>
              <w:ind w:firstLine="480" w:firstLineChars="200"/>
              <w:rPr>
                <w:rFonts w:hint="eastAsia"/>
                <w:sz w:val="24"/>
              </w:rPr>
            </w:pPr>
            <w:r>
              <w:rPr>
                <w:rFonts w:hint="eastAsia"/>
                <w:sz w:val="24"/>
              </w:rPr>
              <w:t>1）火灾等事故发生后，应立即向有关环境管理部门报告，请求环境管理部门应急预测工作组进行应急监测，综合分析突发环境事故污染变化趋势，预测突发污染事故的发展情况和污染物的变化情况，作为突发环境事件应急决策的依据。</w:t>
            </w:r>
          </w:p>
          <w:p>
            <w:pPr>
              <w:adjustRightInd w:val="0"/>
              <w:snapToGrid w:val="0"/>
              <w:spacing w:line="520" w:lineRule="exact"/>
              <w:ind w:firstLine="480" w:firstLineChars="200"/>
              <w:rPr>
                <w:rFonts w:hint="eastAsia"/>
                <w:sz w:val="24"/>
              </w:rPr>
            </w:pPr>
            <w:r>
              <w:rPr>
                <w:rFonts w:hint="eastAsia"/>
                <w:sz w:val="24"/>
              </w:rPr>
              <w:t>2）一旦发生火灾后，消防过程中同样会产生二次环境风险，当天然气管线发生泄漏起火事故后，使用干粉和氮气灭火，但还需要通过大量雾状水，将燃烧区周围的物品进行冷却，驱散，因此在燃气管线的灭火过程中会产生大量的消防废水，消防废水如果直接经市政雨水或污水管网进入纳污水体或市政污水处理厂，将对地面水体或污水厂处理效果造成一定影响。建议建设单位拟采取以下风险防范措施对事故消防废水进行处理：</w:t>
            </w:r>
          </w:p>
          <w:p>
            <w:pPr>
              <w:adjustRightInd w:val="0"/>
              <w:snapToGrid w:val="0"/>
              <w:spacing w:line="520" w:lineRule="exact"/>
              <w:ind w:firstLine="480" w:firstLineChars="200"/>
              <w:rPr>
                <w:rFonts w:hint="eastAsia"/>
                <w:sz w:val="24"/>
              </w:rPr>
            </w:pPr>
            <w:r>
              <w:rPr>
                <w:rFonts w:hint="eastAsia"/>
                <w:sz w:val="24"/>
              </w:rPr>
              <w:t>在发生火灾管道的周围用堆土设置围堰对消防废水进行收集，考虑到消防用水一般为净洁用水，整个过程基本上除了水流冲刷泥土外，基本上没有其他污染物进入水中， 因此集水池的污水通过自然沉淀后，上层清水用水排入附近市政污水管网，引至城镇污水处理厂处理，下层泥沙以地表土层为主，可以直接进行填埋。</w:t>
            </w:r>
          </w:p>
          <w:p>
            <w:pPr>
              <w:adjustRightInd w:val="0"/>
              <w:snapToGrid w:val="0"/>
              <w:spacing w:line="520" w:lineRule="exact"/>
              <w:ind w:firstLine="480" w:firstLineChars="200"/>
              <w:rPr>
                <w:rFonts w:hint="eastAsia"/>
                <w:sz w:val="24"/>
              </w:rPr>
            </w:pPr>
            <w:r>
              <w:rPr>
                <w:rFonts w:hint="eastAsia"/>
                <w:sz w:val="24"/>
              </w:rPr>
              <w:t>3）本项目穿越河流路段均采用定向钻工艺，由于天然气密度比空气小，且溶解率很低，一旦输气管道发生破裂，天然气的泄漏一般不会进入水体，而是迅速扩散于空气中，对水质的直接影响很小，通过严格管理，规范施工，可以将影响降低到最小。而且本项目管道穿越的河流均不属于饮用水源保护区，不会对供水安全构成威胁。</w:t>
            </w:r>
          </w:p>
          <w:p>
            <w:pPr>
              <w:adjustRightInd w:val="0"/>
              <w:snapToGrid w:val="0"/>
              <w:spacing w:line="520" w:lineRule="exact"/>
              <w:ind w:firstLine="480" w:firstLineChars="200"/>
              <w:rPr>
                <w:rFonts w:hint="eastAsia"/>
                <w:sz w:val="24"/>
              </w:rPr>
            </w:pPr>
            <w:r>
              <w:rPr>
                <w:rFonts w:hint="eastAsia"/>
                <w:sz w:val="24"/>
              </w:rPr>
              <w:t>（4）环境风险评价结论</w:t>
            </w:r>
          </w:p>
          <w:p>
            <w:pPr>
              <w:adjustRightInd w:val="0"/>
              <w:snapToGrid w:val="0"/>
              <w:spacing w:line="520" w:lineRule="exact"/>
              <w:ind w:firstLine="480" w:firstLineChars="200"/>
              <w:rPr>
                <w:rFonts w:hint="eastAsia"/>
                <w:sz w:val="24"/>
              </w:rPr>
            </w:pPr>
            <w:r>
              <w:rPr>
                <w:rFonts w:hint="eastAsia"/>
                <w:sz w:val="24"/>
              </w:rPr>
              <w:t>综上所述，本项目的环境风险主要是输气管道发生泄漏、火灾、爆炸事故所引发的环境污染，建设单位首先应树立环境风险意识，并在日常运行管理过程当中增强环境风险意识，指定切实可行的环境风险应急预案，当出现事故时，要及时采取应急措施，立即与环境管理部门联络，以控制事故和减少对环境造成的危害。</w:t>
            </w:r>
          </w:p>
          <w:p>
            <w:pPr>
              <w:spacing w:before="156" w:line="520" w:lineRule="exact"/>
              <w:rPr>
                <w:rFonts w:hint="default" w:ascii="Times New Roman" w:hAnsi="Times New Roman" w:cs="Times New Roman"/>
                <w:b/>
                <w:bCs/>
                <w:sz w:val="24"/>
                <w:highlight w:val="none"/>
              </w:rPr>
            </w:pPr>
            <w:r>
              <w:rPr>
                <w:rFonts w:hint="default" w:ascii="Times New Roman" w:hAnsi="Times New Roman" w:cs="Times New Roman"/>
                <w:b/>
                <w:bCs/>
                <w:sz w:val="24"/>
                <w:highlight w:val="none"/>
              </w:rPr>
              <w:t>6、环保设施投资估算</w:t>
            </w:r>
          </w:p>
          <w:p>
            <w:pPr>
              <w:spacing w:before="156" w:line="520" w:lineRule="exact"/>
              <w:ind w:firstLine="480" w:firstLineChars="200"/>
              <w:rPr>
                <w:rFonts w:hint="default" w:ascii="Times New Roman" w:hAnsi="Times New Roman" w:cs="Times New Roman"/>
                <w:kern w:val="44"/>
                <w:sz w:val="24"/>
                <w:highlight w:val="none"/>
              </w:rPr>
            </w:pPr>
            <w:r>
              <w:rPr>
                <w:rFonts w:hint="default" w:ascii="Times New Roman" w:hAnsi="Times New Roman" w:cs="Times New Roman"/>
                <w:sz w:val="24"/>
                <w:highlight w:val="none"/>
              </w:rPr>
              <w:t>本项目总投资</w:t>
            </w:r>
            <w:r>
              <w:rPr>
                <w:rFonts w:hint="eastAsia" w:ascii="Times New Roman" w:hAnsi="Times New Roman" w:cs="Times New Roman"/>
                <w:sz w:val="24"/>
                <w:highlight w:val="none"/>
                <w:lang w:val="en-US" w:eastAsia="zh-CN"/>
              </w:rPr>
              <w:t>280</w:t>
            </w:r>
            <w:r>
              <w:rPr>
                <w:rFonts w:hint="default" w:ascii="Times New Roman" w:hAnsi="Times New Roman" w:cs="Times New Roman"/>
                <w:sz w:val="24"/>
                <w:highlight w:val="none"/>
              </w:rPr>
              <w:t>00万元，其中环保投资</w:t>
            </w:r>
            <w:r>
              <w:rPr>
                <w:rFonts w:hint="default" w:ascii="Times New Roman" w:hAnsi="Times New Roman" w:cs="Times New Roman"/>
                <w:sz w:val="24"/>
                <w:highlight w:val="none"/>
                <w:lang w:val="en-US" w:eastAsia="zh-CN"/>
              </w:rPr>
              <w:t>864.5</w:t>
            </w:r>
            <w:r>
              <w:rPr>
                <w:rFonts w:hint="default" w:ascii="Times New Roman" w:hAnsi="Times New Roman" w:cs="Times New Roman"/>
                <w:sz w:val="24"/>
                <w:highlight w:val="none"/>
              </w:rPr>
              <w:t>万元，占总投资</w:t>
            </w:r>
            <w:r>
              <w:rPr>
                <w:rFonts w:hint="eastAsia" w:ascii="Times New Roman" w:hAnsi="Times New Roman" w:cs="Times New Roman"/>
                <w:sz w:val="24"/>
                <w:highlight w:val="none"/>
                <w:lang w:val="en-US" w:eastAsia="zh-CN"/>
              </w:rPr>
              <w:t>3.08</w:t>
            </w:r>
            <w:r>
              <w:rPr>
                <w:rFonts w:hint="default" w:ascii="Times New Roman" w:hAnsi="Times New Roman" w:cs="Times New Roman"/>
                <w:sz w:val="24"/>
                <w:highlight w:val="none"/>
              </w:rPr>
              <w:t>%，环保投资估算见表</w:t>
            </w:r>
            <w:r>
              <w:rPr>
                <w:rFonts w:hint="eastAsia" w:ascii="Times New Roman" w:hAnsi="Times New Roman" w:cs="Times New Roman"/>
                <w:sz w:val="24"/>
                <w:highlight w:val="none"/>
                <w:lang w:val="en-US" w:eastAsia="zh-CN"/>
              </w:rPr>
              <w:t>18</w:t>
            </w:r>
            <w:r>
              <w:rPr>
                <w:rFonts w:hint="default" w:ascii="Times New Roman" w:hAnsi="Times New Roman" w:cs="Times New Roman"/>
                <w:sz w:val="24"/>
                <w:highlight w:val="none"/>
              </w:rPr>
              <w:t>、环保“三同时”验收一览表见表</w:t>
            </w:r>
            <w:r>
              <w:rPr>
                <w:rFonts w:hint="eastAsia" w:ascii="Times New Roman" w:hAnsi="Times New Roman" w:cs="Times New Roman"/>
                <w:sz w:val="24"/>
                <w:highlight w:val="none"/>
                <w:lang w:val="en-US" w:eastAsia="zh-CN"/>
              </w:rPr>
              <w:t>19</w:t>
            </w:r>
            <w:r>
              <w:rPr>
                <w:rFonts w:hint="default" w:ascii="Times New Roman" w:hAnsi="Times New Roman" w:cs="Times New Roman"/>
                <w:kern w:val="44"/>
                <w:sz w:val="24"/>
                <w:highlight w:val="none"/>
              </w:rPr>
              <w:t>。</w:t>
            </w:r>
          </w:p>
          <w:p>
            <w:pPr>
              <w:spacing w:before="78" w:beforeLines="25" w:line="480" w:lineRule="exact"/>
              <w:ind w:firstLine="2870" w:firstLineChars="1191"/>
              <w:rPr>
                <w:rFonts w:hint="default" w:ascii="Times New Roman" w:hAnsi="Times New Roman" w:cs="Times New Roman"/>
                <w:b/>
                <w:bCs/>
                <w:sz w:val="24"/>
                <w:highlight w:val="none"/>
              </w:rPr>
            </w:pPr>
            <w:r>
              <w:rPr>
                <w:rFonts w:hint="default" w:ascii="Times New Roman" w:hAnsi="Times New Roman" w:cs="Times New Roman"/>
                <w:b/>
                <w:bCs/>
                <w:sz w:val="24"/>
                <w:highlight w:val="none"/>
              </w:rPr>
              <w:t xml:space="preserve">  表</w:t>
            </w:r>
            <w:r>
              <w:rPr>
                <w:rFonts w:hint="eastAsia" w:ascii="Times New Roman" w:hAnsi="Times New Roman" w:cs="Times New Roman"/>
                <w:b/>
                <w:bCs/>
                <w:sz w:val="24"/>
                <w:highlight w:val="none"/>
                <w:lang w:val="en-US" w:eastAsia="zh-CN"/>
              </w:rPr>
              <w:t>18</w:t>
            </w:r>
            <w:r>
              <w:rPr>
                <w:rFonts w:hint="default" w:ascii="Times New Roman" w:hAnsi="Times New Roman" w:cs="Times New Roman"/>
                <w:b/>
                <w:bCs/>
                <w:sz w:val="24"/>
                <w:highlight w:val="none"/>
              </w:rPr>
              <w:t xml:space="preserve">    环保投资估算表</w:t>
            </w:r>
          </w:p>
          <w:tbl>
            <w:tblPr>
              <w:tblStyle w:val="1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705"/>
              <w:gridCol w:w="798"/>
              <w:gridCol w:w="1669"/>
              <w:gridCol w:w="4549"/>
              <w:gridCol w:w="13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68" w:hRule="atLeast"/>
                <w:jc w:val="center"/>
              </w:trPr>
              <w:tc>
                <w:tcPr>
                  <w:tcW w:w="705" w:type="dxa"/>
                  <w:noWrap w:val="0"/>
                  <w:vAlign w:val="center"/>
                </w:tcPr>
                <w:p>
                  <w:pPr>
                    <w:spacing w:line="360" w:lineRule="exact"/>
                    <w:jc w:val="center"/>
                    <w:rPr>
                      <w:rFonts w:hint="default" w:ascii="Times New Roman" w:hAnsi="Times New Roman" w:cs="Times New Roman"/>
                      <w:b/>
                      <w:bCs/>
                      <w:szCs w:val="21"/>
                      <w:highlight w:val="yellow"/>
                    </w:rPr>
                  </w:pPr>
                  <w:r>
                    <w:rPr>
                      <w:rFonts w:hint="default" w:ascii="Times New Roman" w:hAnsi="Times New Roman" w:cs="Times New Roman"/>
                      <w:b/>
                      <w:bCs/>
                      <w:szCs w:val="21"/>
                      <w:highlight w:val="none"/>
                    </w:rPr>
                    <w:t>阶段</w:t>
                  </w:r>
                </w:p>
              </w:tc>
              <w:tc>
                <w:tcPr>
                  <w:tcW w:w="2467" w:type="dxa"/>
                  <w:gridSpan w:val="2"/>
                  <w:noWrap w:val="0"/>
                  <w:vAlign w:val="center"/>
                </w:tcPr>
                <w:p>
                  <w:pPr>
                    <w:spacing w:line="360" w:lineRule="exact"/>
                    <w:jc w:val="center"/>
                    <w:rPr>
                      <w:rFonts w:hint="default" w:ascii="Times New Roman" w:hAnsi="Times New Roman" w:cs="Times New Roman"/>
                      <w:b/>
                      <w:bCs/>
                      <w:szCs w:val="21"/>
                      <w:highlight w:val="yellow"/>
                    </w:rPr>
                  </w:pPr>
                  <w:r>
                    <w:rPr>
                      <w:rFonts w:hint="default" w:ascii="Times New Roman" w:hAnsi="Times New Roman" w:cs="Times New Roman"/>
                      <w:b/>
                      <w:bCs/>
                      <w:szCs w:val="21"/>
                      <w:highlight w:val="none"/>
                    </w:rPr>
                    <w:t>项目</w:t>
                  </w:r>
                </w:p>
              </w:tc>
              <w:tc>
                <w:tcPr>
                  <w:tcW w:w="4549" w:type="dxa"/>
                  <w:noWrap w:val="0"/>
                  <w:vAlign w:val="center"/>
                </w:tcPr>
                <w:p>
                  <w:pPr>
                    <w:spacing w:line="360" w:lineRule="exact"/>
                    <w:jc w:val="center"/>
                    <w:rPr>
                      <w:rFonts w:hint="default" w:ascii="Times New Roman" w:hAnsi="Times New Roman" w:cs="Times New Roman"/>
                      <w:b/>
                      <w:bCs/>
                      <w:szCs w:val="21"/>
                      <w:highlight w:val="yellow"/>
                    </w:rPr>
                  </w:pPr>
                  <w:r>
                    <w:rPr>
                      <w:rFonts w:hint="default" w:ascii="Times New Roman" w:hAnsi="Times New Roman" w:cs="Times New Roman"/>
                      <w:b/>
                      <w:bCs/>
                      <w:szCs w:val="21"/>
                      <w:highlight w:val="none"/>
                    </w:rPr>
                    <w:t>处理措施</w:t>
                  </w:r>
                </w:p>
              </w:tc>
              <w:tc>
                <w:tcPr>
                  <w:tcW w:w="1384" w:type="dxa"/>
                  <w:noWrap w:val="0"/>
                  <w:vAlign w:val="center"/>
                </w:tcPr>
                <w:p>
                  <w:pPr>
                    <w:spacing w:line="360" w:lineRule="exact"/>
                    <w:jc w:val="center"/>
                    <w:rPr>
                      <w:rFonts w:hint="default" w:ascii="Times New Roman" w:hAnsi="Times New Roman" w:cs="Times New Roman"/>
                      <w:b/>
                      <w:bCs/>
                      <w:szCs w:val="21"/>
                      <w:highlight w:val="yellow"/>
                    </w:rPr>
                  </w:pPr>
                  <w:r>
                    <w:rPr>
                      <w:rFonts w:hint="default" w:ascii="Times New Roman" w:hAnsi="Times New Roman" w:cs="Times New Roman"/>
                      <w:b/>
                      <w:bCs/>
                      <w:szCs w:val="21"/>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05" w:type="dxa"/>
                  <w:vMerge w:val="restart"/>
                  <w:noWrap w:val="0"/>
                  <w:vAlign w:val="center"/>
                </w:tcPr>
                <w:p>
                  <w:pPr>
                    <w:spacing w:line="360" w:lineRule="exact"/>
                    <w:jc w:val="center"/>
                    <w:rPr>
                      <w:rFonts w:hint="eastAsia" w:ascii="Times New Roman" w:hAnsi="Times New Roman" w:cs="Times New Roman"/>
                      <w:szCs w:val="21"/>
                      <w:highlight w:val="none"/>
                      <w:lang w:eastAsia="zh-CN"/>
                    </w:rPr>
                  </w:pPr>
                  <w:r>
                    <w:rPr>
                      <w:rFonts w:hint="eastAsia" w:ascii="Times New Roman" w:hAnsi="Times New Roman" w:cs="Times New Roman"/>
                      <w:szCs w:val="21"/>
                      <w:highlight w:val="none"/>
                      <w:lang w:eastAsia="zh-CN"/>
                    </w:rPr>
                    <w:t>施</w:t>
                  </w:r>
                </w:p>
                <w:p>
                  <w:pPr>
                    <w:spacing w:line="360" w:lineRule="exact"/>
                    <w:jc w:val="center"/>
                    <w:rPr>
                      <w:rFonts w:hint="eastAsia" w:ascii="Times New Roman" w:hAnsi="Times New Roman" w:cs="Times New Roman"/>
                      <w:szCs w:val="21"/>
                      <w:highlight w:val="none"/>
                      <w:lang w:eastAsia="zh-CN"/>
                    </w:rPr>
                  </w:pPr>
                  <w:r>
                    <w:rPr>
                      <w:rFonts w:hint="eastAsia" w:ascii="Times New Roman" w:hAnsi="Times New Roman" w:cs="Times New Roman"/>
                      <w:szCs w:val="21"/>
                      <w:highlight w:val="none"/>
                      <w:lang w:eastAsia="zh-CN"/>
                    </w:rPr>
                    <w:t>工</w:t>
                  </w:r>
                </w:p>
                <w:p>
                  <w:pPr>
                    <w:spacing w:line="360" w:lineRule="exact"/>
                    <w:jc w:val="center"/>
                    <w:rPr>
                      <w:rFonts w:hint="default" w:ascii="Times New Roman" w:hAnsi="Times New Roman" w:cs="Times New Roman"/>
                      <w:szCs w:val="21"/>
                      <w:highlight w:val="yellow"/>
                    </w:rPr>
                  </w:pPr>
                  <w:r>
                    <w:rPr>
                      <w:rFonts w:hint="default" w:ascii="Times New Roman" w:hAnsi="Times New Roman" w:cs="Times New Roman"/>
                      <w:szCs w:val="21"/>
                      <w:highlight w:val="none"/>
                    </w:rPr>
                    <w:t>期</w:t>
                  </w:r>
                </w:p>
              </w:tc>
              <w:tc>
                <w:tcPr>
                  <w:tcW w:w="798" w:type="dxa"/>
                  <w:noWrap w:val="0"/>
                  <w:vAlign w:val="center"/>
                </w:tcPr>
                <w:p>
                  <w:pPr>
                    <w:spacing w:line="280" w:lineRule="exact"/>
                    <w:jc w:val="center"/>
                    <w:rPr>
                      <w:rFonts w:hint="default" w:ascii="Times New Roman" w:hAnsi="Times New Roman" w:cs="Times New Roman"/>
                      <w:szCs w:val="21"/>
                      <w:highlight w:val="yellow"/>
                    </w:rPr>
                  </w:pPr>
                  <w:r>
                    <w:rPr>
                      <w:rFonts w:hint="default" w:ascii="Times New Roman" w:hAnsi="Times New Roman" w:cs="Times New Roman"/>
                      <w:szCs w:val="21"/>
                      <w:highlight w:val="none"/>
                    </w:rPr>
                    <w:t>废气</w:t>
                  </w:r>
                </w:p>
              </w:tc>
              <w:tc>
                <w:tcPr>
                  <w:tcW w:w="1669" w:type="dxa"/>
                  <w:noWrap w:val="0"/>
                  <w:vAlign w:val="center"/>
                </w:tcPr>
                <w:p>
                  <w:pPr>
                    <w:spacing w:line="280" w:lineRule="exact"/>
                    <w:jc w:val="center"/>
                    <w:rPr>
                      <w:rFonts w:hint="default" w:ascii="Times New Roman" w:hAnsi="Times New Roman" w:eastAsia="宋体" w:cs="Times New Roman"/>
                      <w:szCs w:val="21"/>
                      <w:highlight w:val="yellow"/>
                      <w:lang w:val="en-US" w:eastAsia="zh-CN"/>
                    </w:rPr>
                  </w:pPr>
                  <w:r>
                    <w:rPr>
                      <w:rFonts w:hint="eastAsia" w:ascii="Times New Roman" w:hAnsi="Times New Roman" w:cs="Times New Roman"/>
                      <w:bCs/>
                      <w:szCs w:val="21"/>
                      <w:highlight w:val="none"/>
                      <w:lang w:eastAsia="zh-CN"/>
                    </w:rPr>
                    <w:t>施工扬尘</w:t>
                  </w:r>
                </w:p>
              </w:tc>
              <w:tc>
                <w:tcPr>
                  <w:tcW w:w="4549" w:type="dxa"/>
                  <w:noWrap w:val="0"/>
                  <w:vAlign w:val="center"/>
                </w:tcPr>
                <w:p>
                  <w:pPr>
                    <w:spacing w:line="280" w:lineRule="exact"/>
                    <w:jc w:val="center"/>
                    <w:rPr>
                      <w:rFonts w:hint="default" w:ascii="Times New Roman" w:hAnsi="Times New Roman" w:cs="Times New Roman"/>
                      <w:szCs w:val="21"/>
                      <w:highlight w:val="yellow"/>
                    </w:rPr>
                  </w:pPr>
                  <w:r>
                    <w:rPr>
                      <w:rFonts w:hint="eastAsia" w:ascii="Times New Roman" w:hAnsi="Times New Roman" w:cs="Times New Roman"/>
                      <w:spacing w:val="-3"/>
                      <w:szCs w:val="21"/>
                      <w:highlight w:val="none"/>
                      <w:lang w:eastAsia="zh-CN"/>
                    </w:rPr>
                    <w:t>施工场地围挡</w:t>
                  </w:r>
                  <w:r>
                    <w:rPr>
                      <w:rFonts w:hint="eastAsia" w:ascii="Times New Roman" w:hAnsi="Times New Roman" w:cs="Times New Roman"/>
                      <w:spacing w:val="-3"/>
                      <w:szCs w:val="21"/>
                      <w:highlight w:val="none"/>
                      <w:lang w:val="en-US" w:eastAsia="zh-CN"/>
                    </w:rPr>
                    <w:t>+场地喷淋设备</w:t>
                  </w:r>
                </w:p>
              </w:tc>
              <w:tc>
                <w:tcPr>
                  <w:tcW w:w="1384" w:type="dxa"/>
                  <w:noWrap w:val="0"/>
                  <w:vAlign w:val="center"/>
                </w:tcPr>
                <w:p>
                  <w:pPr>
                    <w:snapToGrid w:val="0"/>
                    <w:spacing w:line="340" w:lineRule="exact"/>
                    <w:jc w:val="center"/>
                    <w:rPr>
                      <w:rFonts w:hint="default" w:ascii="Times New Roman" w:hAnsi="Times New Roman" w:eastAsia="宋体" w:cs="Times New Roman"/>
                      <w:szCs w:val="21"/>
                      <w:highlight w:val="yellow"/>
                      <w:lang w:val="en-US" w:eastAsia="zh-CN"/>
                    </w:rPr>
                  </w:pPr>
                  <w:r>
                    <w:rPr>
                      <w:rFonts w:hint="eastAsia" w:ascii="Times New Roman" w:hAnsi="Times New Roman" w:eastAsia="宋体" w:cs="Times New Roman"/>
                      <w:bCs/>
                      <w:szCs w:val="21"/>
                      <w:highlight w:val="none"/>
                      <w:lang w:val="en-US" w:eastAsia="zh-CN"/>
                    </w:rPr>
                    <w:t>803.5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05" w:type="dxa"/>
                  <w:vMerge w:val="continue"/>
                  <w:noWrap w:val="0"/>
                  <w:vAlign w:val="center"/>
                </w:tcPr>
                <w:p>
                  <w:pPr>
                    <w:spacing w:line="360" w:lineRule="exact"/>
                    <w:jc w:val="center"/>
                    <w:rPr>
                      <w:rFonts w:hint="default" w:ascii="Times New Roman" w:hAnsi="Times New Roman" w:cs="Times New Roman"/>
                      <w:szCs w:val="21"/>
                      <w:highlight w:val="yellow"/>
                    </w:rPr>
                  </w:pPr>
                </w:p>
              </w:tc>
              <w:tc>
                <w:tcPr>
                  <w:tcW w:w="798" w:type="dxa"/>
                  <w:noWrap w:val="0"/>
                  <w:vAlign w:val="center"/>
                </w:tcPr>
                <w:p>
                  <w:pPr>
                    <w:spacing w:line="280" w:lineRule="exact"/>
                    <w:jc w:val="center"/>
                    <w:rPr>
                      <w:rFonts w:hint="default" w:ascii="Times New Roman" w:hAnsi="Times New Roman" w:cs="Times New Roman"/>
                      <w:szCs w:val="21"/>
                      <w:highlight w:val="yellow"/>
                    </w:rPr>
                  </w:pPr>
                  <w:r>
                    <w:rPr>
                      <w:rFonts w:hint="default" w:ascii="Times New Roman" w:hAnsi="Times New Roman" w:cs="Times New Roman"/>
                      <w:szCs w:val="21"/>
                      <w:highlight w:val="none"/>
                    </w:rPr>
                    <w:t>废水</w:t>
                  </w:r>
                </w:p>
              </w:tc>
              <w:tc>
                <w:tcPr>
                  <w:tcW w:w="1669" w:type="dxa"/>
                  <w:noWrap w:val="0"/>
                  <w:vAlign w:val="center"/>
                </w:tcPr>
                <w:p>
                  <w:pPr>
                    <w:spacing w:line="280" w:lineRule="exact"/>
                    <w:jc w:val="center"/>
                    <w:rPr>
                      <w:rFonts w:hint="default" w:ascii="Times New Roman" w:hAnsi="Times New Roman" w:cs="Times New Roman"/>
                      <w:bCs/>
                      <w:szCs w:val="21"/>
                      <w:highlight w:val="yellow"/>
                    </w:rPr>
                  </w:pPr>
                  <w:r>
                    <w:rPr>
                      <w:rFonts w:hint="default" w:ascii="Times New Roman" w:hAnsi="Times New Roman" w:cs="Times New Roman"/>
                      <w:bCs/>
                      <w:szCs w:val="21"/>
                      <w:highlight w:val="none"/>
                    </w:rPr>
                    <w:t>员工生活</w:t>
                  </w:r>
                </w:p>
              </w:tc>
              <w:tc>
                <w:tcPr>
                  <w:tcW w:w="4549" w:type="dxa"/>
                  <w:noWrap w:val="0"/>
                  <w:vAlign w:val="center"/>
                </w:tcPr>
                <w:p>
                  <w:pPr>
                    <w:spacing w:line="280" w:lineRule="exact"/>
                    <w:jc w:val="center"/>
                    <w:rPr>
                      <w:rFonts w:hint="default" w:ascii="Times New Roman" w:hAnsi="Times New Roman" w:cs="Times New Roman"/>
                      <w:spacing w:val="-3"/>
                      <w:szCs w:val="21"/>
                      <w:highlight w:val="yellow"/>
                    </w:rPr>
                  </w:pPr>
                  <w:r>
                    <w:rPr>
                      <w:rFonts w:hint="default" w:ascii="Times New Roman" w:hAnsi="Times New Roman" w:cs="Times New Roman"/>
                      <w:spacing w:val="-3"/>
                      <w:szCs w:val="21"/>
                      <w:highlight w:val="none"/>
                    </w:rPr>
                    <w:t>化粪池处理后，</w:t>
                  </w:r>
                  <w:r>
                    <w:rPr>
                      <w:rFonts w:hint="eastAsia" w:ascii="Times New Roman" w:hAnsi="Times New Roman" w:cs="Times New Roman"/>
                      <w:spacing w:val="-3"/>
                      <w:szCs w:val="21"/>
                      <w:highlight w:val="none"/>
                      <w:lang w:val="en-US" w:eastAsia="zh-CN"/>
                    </w:rPr>
                    <w:t>用于周边农田肥田</w:t>
                  </w:r>
                </w:p>
              </w:tc>
              <w:tc>
                <w:tcPr>
                  <w:tcW w:w="1384" w:type="dxa"/>
                  <w:noWrap w:val="0"/>
                  <w:vAlign w:val="center"/>
                </w:tcPr>
                <w:p>
                  <w:pPr>
                    <w:snapToGrid w:val="0"/>
                    <w:spacing w:line="340" w:lineRule="exact"/>
                    <w:jc w:val="center"/>
                    <w:rPr>
                      <w:rFonts w:hint="default" w:ascii="Times New Roman" w:hAnsi="Times New Roman" w:eastAsia="宋体" w:cs="Times New Roman"/>
                      <w:bCs/>
                      <w:szCs w:val="21"/>
                      <w:highlight w:val="yellow"/>
                      <w:lang w:val="en-US" w:eastAsia="zh-CN"/>
                    </w:rPr>
                  </w:pPr>
                  <w:r>
                    <w:rPr>
                      <w:rFonts w:hint="default" w:ascii="Times New Roman" w:hAnsi="Times New Roman" w:cs="Times New Roman"/>
                      <w:bCs/>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05" w:type="dxa"/>
                  <w:vMerge w:val="continue"/>
                  <w:noWrap w:val="0"/>
                  <w:vAlign w:val="center"/>
                </w:tcPr>
                <w:p>
                  <w:pPr>
                    <w:spacing w:line="360" w:lineRule="exact"/>
                    <w:jc w:val="center"/>
                    <w:rPr>
                      <w:rFonts w:hint="default" w:ascii="Times New Roman" w:hAnsi="Times New Roman" w:cs="Times New Roman"/>
                      <w:szCs w:val="21"/>
                      <w:highlight w:val="yellow"/>
                    </w:rPr>
                  </w:pPr>
                </w:p>
              </w:tc>
              <w:tc>
                <w:tcPr>
                  <w:tcW w:w="798" w:type="dxa"/>
                  <w:noWrap w:val="0"/>
                  <w:vAlign w:val="center"/>
                </w:tcPr>
                <w:p>
                  <w:pPr>
                    <w:spacing w:line="280" w:lineRule="exact"/>
                    <w:jc w:val="center"/>
                    <w:rPr>
                      <w:rFonts w:hint="default" w:ascii="Times New Roman" w:hAnsi="Times New Roman" w:cs="Times New Roman"/>
                      <w:szCs w:val="21"/>
                      <w:highlight w:val="yellow"/>
                    </w:rPr>
                  </w:pPr>
                  <w:r>
                    <w:rPr>
                      <w:rFonts w:hint="default" w:ascii="Times New Roman" w:hAnsi="Times New Roman" w:cs="Times New Roman"/>
                      <w:szCs w:val="21"/>
                      <w:highlight w:val="none"/>
                    </w:rPr>
                    <w:t>噪声</w:t>
                  </w:r>
                </w:p>
              </w:tc>
              <w:tc>
                <w:tcPr>
                  <w:tcW w:w="1669" w:type="dxa"/>
                  <w:noWrap w:val="0"/>
                  <w:vAlign w:val="center"/>
                </w:tcPr>
                <w:p>
                  <w:pPr>
                    <w:spacing w:line="280" w:lineRule="exact"/>
                    <w:jc w:val="center"/>
                    <w:rPr>
                      <w:rFonts w:hint="default" w:ascii="Times New Roman" w:hAnsi="Times New Roman" w:cs="Times New Roman"/>
                      <w:szCs w:val="21"/>
                      <w:highlight w:val="yellow"/>
                    </w:rPr>
                  </w:pPr>
                  <w:r>
                    <w:rPr>
                      <w:rFonts w:hint="default" w:ascii="Times New Roman" w:hAnsi="Times New Roman" w:cs="Times New Roman"/>
                      <w:bCs/>
                      <w:szCs w:val="21"/>
                      <w:highlight w:val="none"/>
                    </w:rPr>
                    <w:t>机械设备</w:t>
                  </w:r>
                </w:p>
              </w:tc>
              <w:tc>
                <w:tcPr>
                  <w:tcW w:w="4549" w:type="dxa"/>
                  <w:noWrap w:val="0"/>
                  <w:vAlign w:val="center"/>
                </w:tcPr>
                <w:p>
                  <w:pPr>
                    <w:spacing w:line="280" w:lineRule="exact"/>
                    <w:jc w:val="center"/>
                    <w:rPr>
                      <w:rFonts w:hint="default" w:ascii="Times New Roman" w:hAnsi="Times New Roman" w:eastAsia="宋体" w:cs="Times New Roman"/>
                      <w:szCs w:val="21"/>
                      <w:highlight w:val="yellow"/>
                      <w:lang w:val="en-US" w:eastAsia="zh-CN"/>
                    </w:rPr>
                  </w:pPr>
                  <w:r>
                    <w:rPr>
                      <w:rFonts w:hint="default" w:ascii="Times New Roman" w:hAnsi="Times New Roman" w:cs="Times New Roman"/>
                      <w:bCs/>
                      <w:szCs w:val="21"/>
                      <w:highlight w:val="none"/>
                    </w:rPr>
                    <w:t>减振、隔声措施</w:t>
                  </w:r>
                </w:p>
              </w:tc>
              <w:tc>
                <w:tcPr>
                  <w:tcW w:w="1384" w:type="dxa"/>
                  <w:noWrap w:val="0"/>
                  <w:vAlign w:val="center"/>
                </w:tcPr>
                <w:p>
                  <w:pPr>
                    <w:snapToGrid w:val="0"/>
                    <w:spacing w:line="340" w:lineRule="exact"/>
                    <w:jc w:val="center"/>
                    <w:rPr>
                      <w:rFonts w:hint="default" w:ascii="Times New Roman" w:hAnsi="Times New Roman" w:cs="Times New Roman"/>
                      <w:szCs w:val="21"/>
                      <w:highlight w:val="yellow"/>
                    </w:rPr>
                  </w:pPr>
                  <w:r>
                    <w:rPr>
                      <w:rFonts w:hint="eastAsia" w:ascii="Times New Roman" w:hAnsi="Times New Roman" w:cs="Times New Roman"/>
                      <w:bCs/>
                      <w:szCs w:val="21"/>
                      <w:highlight w:val="no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05" w:type="dxa"/>
                  <w:vMerge w:val="continue"/>
                  <w:noWrap w:val="0"/>
                  <w:vAlign w:val="center"/>
                </w:tcPr>
                <w:p>
                  <w:pPr>
                    <w:spacing w:line="360" w:lineRule="exact"/>
                    <w:jc w:val="center"/>
                    <w:rPr>
                      <w:rFonts w:hint="default" w:ascii="Times New Roman" w:hAnsi="Times New Roman" w:cs="Times New Roman"/>
                      <w:szCs w:val="21"/>
                      <w:highlight w:val="yellow"/>
                    </w:rPr>
                  </w:pPr>
                </w:p>
              </w:tc>
              <w:tc>
                <w:tcPr>
                  <w:tcW w:w="798" w:type="dxa"/>
                  <w:vMerge w:val="restart"/>
                  <w:noWrap w:val="0"/>
                  <w:vAlign w:val="center"/>
                </w:tcPr>
                <w:p>
                  <w:pPr>
                    <w:spacing w:line="280" w:lineRule="exact"/>
                    <w:jc w:val="center"/>
                    <w:rPr>
                      <w:rFonts w:hint="default" w:ascii="Times New Roman" w:hAnsi="Times New Roman" w:cs="Times New Roman"/>
                      <w:szCs w:val="21"/>
                      <w:highlight w:val="yellow"/>
                    </w:rPr>
                  </w:pPr>
                  <w:r>
                    <w:rPr>
                      <w:rFonts w:hint="default" w:ascii="Times New Roman" w:hAnsi="Times New Roman" w:cs="Times New Roman"/>
                      <w:szCs w:val="21"/>
                      <w:highlight w:val="none"/>
                    </w:rPr>
                    <w:t>固体废物</w:t>
                  </w:r>
                </w:p>
              </w:tc>
              <w:tc>
                <w:tcPr>
                  <w:tcW w:w="1669" w:type="dxa"/>
                  <w:noWrap w:val="0"/>
                  <w:vAlign w:val="center"/>
                </w:tcPr>
                <w:p>
                  <w:pPr>
                    <w:spacing w:line="280" w:lineRule="exact"/>
                    <w:jc w:val="center"/>
                    <w:rPr>
                      <w:rFonts w:hint="default" w:ascii="Times New Roman" w:hAnsi="Times New Roman" w:cs="Times New Roman"/>
                      <w:szCs w:val="21"/>
                      <w:highlight w:val="yellow"/>
                    </w:rPr>
                  </w:pPr>
                  <w:r>
                    <w:rPr>
                      <w:rFonts w:hint="default" w:ascii="Times New Roman" w:hAnsi="Times New Roman" w:cs="Times New Roman"/>
                      <w:bCs/>
                      <w:szCs w:val="21"/>
                      <w:highlight w:val="none"/>
                    </w:rPr>
                    <w:t>生活垃圾</w:t>
                  </w:r>
                </w:p>
              </w:tc>
              <w:tc>
                <w:tcPr>
                  <w:tcW w:w="4549" w:type="dxa"/>
                  <w:noWrap w:val="0"/>
                  <w:vAlign w:val="center"/>
                </w:tcPr>
                <w:p>
                  <w:pPr>
                    <w:spacing w:line="280" w:lineRule="exact"/>
                    <w:jc w:val="center"/>
                    <w:rPr>
                      <w:rFonts w:hint="default" w:ascii="Times New Roman" w:hAnsi="Times New Roman" w:cs="Times New Roman"/>
                      <w:szCs w:val="21"/>
                      <w:highlight w:val="yellow"/>
                    </w:rPr>
                  </w:pPr>
                  <w:r>
                    <w:rPr>
                      <w:rFonts w:hint="default" w:ascii="Times New Roman" w:hAnsi="Times New Roman" w:cs="Times New Roman"/>
                      <w:spacing w:val="-3"/>
                      <w:szCs w:val="21"/>
                      <w:highlight w:val="none"/>
                    </w:rPr>
                    <w:t>垃圾箱</w:t>
                  </w:r>
                </w:p>
              </w:tc>
              <w:tc>
                <w:tcPr>
                  <w:tcW w:w="1384" w:type="dxa"/>
                  <w:noWrap w:val="0"/>
                  <w:vAlign w:val="center"/>
                </w:tcPr>
                <w:p>
                  <w:pPr>
                    <w:snapToGrid w:val="0"/>
                    <w:spacing w:line="340" w:lineRule="exact"/>
                    <w:jc w:val="center"/>
                    <w:rPr>
                      <w:rFonts w:hint="default" w:ascii="Times New Roman" w:hAnsi="Times New Roman" w:eastAsia="宋体" w:cs="Times New Roman"/>
                      <w:szCs w:val="21"/>
                      <w:highlight w:val="yellow"/>
                      <w:lang w:eastAsia="zh-CN"/>
                    </w:rPr>
                  </w:pPr>
                  <w:r>
                    <w:rPr>
                      <w:rFonts w:hint="default" w:ascii="Times New Roman" w:hAnsi="Times New Roman" w:cs="Times New Roman"/>
                      <w:bCs/>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05" w:type="dxa"/>
                  <w:vMerge w:val="continue"/>
                  <w:noWrap w:val="0"/>
                  <w:vAlign w:val="center"/>
                </w:tcPr>
                <w:p>
                  <w:pPr>
                    <w:spacing w:line="360" w:lineRule="exact"/>
                    <w:jc w:val="center"/>
                    <w:rPr>
                      <w:rFonts w:hint="default" w:ascii="Times New Roman" w:hAnsi="Times New Roman" w:cs="Times New Roman"/>
                      <w:szCs w:val="21"/>
                      <w:highlight w:val="yellow"/>
                    </w:rPr>
                  </w:pPr>
                </w:p>
              </w:tc>
              <w:tc>
                <w:tcPr>
                  <w:tcW w:w="798" w:type="dxa"/>
                  <w:vMerge w:val="continue"/>
                  <w:noWrap w:val="0"/>
                  <w:vAlign w:val="center"/>
                </w:tcPr>
                <w:p>
                  <w:pPr>
                    <w:spacing w:line="280" w:lineRule="exact"/>
                    <w:jc w:val="center"/>
                    <w:rPr>
                      <w:rFonts w:hint="default" w:ascii="Times New Roman" w:hAnsi="Times New Roman" w:cs="Times New Roman"/>
                      <w:szCs w:val="21"/>
                      <w:highlight w:val="yellow"/>
                    </w:rPr>
                  </w:pPr>
                </w:p>
              </w:tc>
              <w:tc>
                <w:tcPr>
                  <w:tcW w:w="1669" w:type="dxa"/>
                  <w:noWrap w:val="0"/>
                  <w:vAlign w:val="center"/>
                </w:tcPr>
                <w:p>
                  <w:pPr>
                    <w:spacing w:line="280" w:lineRule="exact"/>
                    <w:jc w:val="center"/>
                    <w:rPr>
                      <w:rFonts w:hint="default" w:ascii="Times New Roman" w:hAnsi="Times New Roman" w:cs="Times New Roman"/>
                      <w:szCs w:val="21"/>
                      <w:highlight w:val="yellow"/>
                    </w:rPr>
                  </w:pPr>
                  <w:r>
                    <w:rPr>
                      <w:rFonts w:hint="default" w:ascii="Times New Roman" w:hAnsi="Times New Roman" w:cs="Times New Roman"/>
                      <w:bCs/>
                      <w:szCs w:val="21"/>
                      <w:highlight w:val="none"/>
                      <w:lang w:val="en-US" w:eastAsia="zh-CN"/>
                    </w:rPr>
                    <w:t>一般固废</w:t>
                  </w:r>
                </w:p>
              </w:tc>
              <w:tc>
                <w:tcPr>
                  <w:tcW w:w="4549" w:type="dxa"/>
                  <w:noWrap w:val="0"/>
                  <w:vAlign w:val="center"/>
                </w:tcPr>
                <w:p>
                  <w:pPr>
                    <w:spacing w:line="280" w:lineRule="exact"/>
                    <w:jc w:val="center"/>
                    <w:rPr>
                      <w:rFonts w:hint="default" w:ascii="Times New Roman" w:hAnsi="Times New Roman" w:cs="Times New Roman"/>
                      <w:szCs w:val="21"/>
                      <w:highlight w:val="yellow"/>
                    </w:rPr>
                  </w:pPr>
                  <w:r>
                    <w:rPr>
                      <w:rFonts w:hint="default" w:ascii="Times New Roman" w:hAnsi="Times New Roman" w:cs="Times New Roman"/>
                      <w:bCs/>
                      <w:szCs w:val="21"/>
                      <w:highlight w:val="none"/>
                    </w:rPr>
                    <w:t>收集后外售</w:t>
                  </w:r>
                </w:p>
              </w:tc>
              <w:tc>
                <w:tcPr>
                  <w:tcW w:w="1384" w:type="dxa"/>
                  <w:noWrap w:val="0"/>
                  <w:vAlign w:val="center"/>
                </w:tcPr>
                <w:p>
                  <w:pPr>
                    <w:snapToGrid w:val="0"/>
                    <w:spacing w:line="340" w:lineRule="exact"/>
                    <w:jc w:val="center"/>
                    <w:rPr>
                      <w:rFonts w:hint="default" w:ascii="Times New Roman" w:hAnsi="Times New Roman" w:cs="Times New Roman"/>
                      <w:szCs w:val="21"/>
                      <w:highlight w:val="yellow"/>
                    </w:rPr>
                  </w:pPr>
                  <w:r>
                    <w:rPr>
                      <w:rFonts w:hint="default" w:ascii="Times New Roman" w:hAnsi="Times New Roman" w:cs="Times New Roman"/>
                      <w:bCs/>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7721" w:type="dxa"/>
                  <w:gridSpan w:val="4"/>
                  <w:noWrap w:val="0"/>
                  <w:vAlign w:val="center"/>
                </w:tcPr>
                <w:p>
                  <w:pPr>
                    <w:spacing w:line="360" w:lineRule="exact"/>
                    <w:jc w:val="center"/>
                    <w:rPr>
                      <w:rFonts w:hint="default" w:ascii="Times New Roman" w:hAnsi="Times New Roman" w:cs="Times New Roman"/>
                      <w:szCs w:val="21"/>
                      <w:highlight w:val="yellow"/>
                    </w:rPr>
                  </w:pPr>
                  <w:r>
                    <w:rPr>
                      <w:rFonts w:hint="default" w:ascii="Times New Roman" w:hAnsi="Times New Roman" w:cs="Times New Roman"/>
                      <w:szCs w:val="21"/>
                      <w:highlight w:val="none"/>
                    </w:rPr>
                    <w:t>合计</w:t>
                  </w:r>
                </w:p>
              </w:tc>
              <w:tc>
                <w:tcPr>
                  <w:tcW w:w="1384" w:type="dxa"/>
                  <w:noWrap w:val="0"/>
                  <w:vAlign w:val="center"/>
                </w:tcPr>
                <w:p>
                  <w:pPr>
                    <w:spacing w:line="360" w:lineRule="exact"/>
                    <w:jc w:val="center"/>
                    <w:rPr>
                      <w:rFonts w:hint="default" w:ascii="Times New Roman" w:hAnsi="Times New Roman" w:cs="Times New Roman"/>
                      <w:szCs w:val="21"/>
                      <w:highlight w:val="yellow"/>
                      <w:lang w:val="en-US"/>
                    </w:rPr>
                  </w:pPr>
                  <w:r>
                    <w:rPr>
                      <w:rFonts w:hint="eastAsia" w:ascii="Times New Roman" w:hAnsi="Times New Roman" w:cs="Times New Roman"/>
                      <w:szCs w:val="21"/>
                      <w:highlight w:val="none"/>
                      <w:lang w:val="en-US" w:eastAsia="zh-CN"/>
                    </w:rPr>
                    <w:t>864.5</w:t>
                  </w:r>
                </w:p>
              </w:tc>
            </w:tr>
          </w:tbl>
          <w:p>
            <w:pPr>
              <w:spacing w:before="78" w:beforeLines="25" w:line="480" w:lineRule="exact"/>
              <w:rPr>
                <w:rFonts w:hint="default" w:ascii="Times New Roman" w:hAnsi="Times New Roman" w:cs="Times New Roman"/>
                <w:b/>
                <w:bCs/>
                <w:sz w:val="24"/>
                <w:highlight w:val="none"/>
              </w:rPr>
            </w:pPr>
            <w:r>
              <w:rPr>
                <w:rFonts w:hint="default" w:ascii="Times New Roman" w:hAnsi="Times New Roman" w:cs="Times New Roman"/>
                <w:b/>
                <w:bCs/>
                <w:sz w:val="24"/>
                <w:highlight w:val="none"/>
              </w:rPr>
              <w:t>7、项目“三同时”验收一览表</w:t>
            </w:r>
          </w:p>
          <w:p>
            <w:pPr>
              <w:spacing w:before="78" w:beforeLines="25" w:line="480" w:lineRule="exact"/>
              <w:jc w:val="center"/>
              <w:rPr>
                <w:rFonts w:hint="default" w:ascii="Times New Roman" w:hAnsi="Times New Roman" w:cs="Times New Roman"/>
                <w:b/>
                <w:bCs/>
                <w:sz w:val="24"/>
                <w:highlight w:val="none"/>
              </w:rPr>
            </w:pPr>
            <w:r>
              <w:rPr>
                <w:rFonts w:hint="default" w:ascii="Times New Roman" w:hAnsi="Times New Roman" w:cs="Times New Roman"/>
                <w:b/>
                <w:bCs/>
                <w:sz w:val="24"/>
                <w:highlight w:val="none"/>
              </w:rPr>
              <w:t>表</w:t>
            </w:r>
            <w:r>
              <w:rPr>
                <w:rFonts w:hint="eastAsia" w:ascii="Times New Roman" w:hAnsi="Times New Roman" w:cs="Times New Roman"/>
                <w:b/>
                <w:bCs/>
                <w:sz w:val="24"/>
                <w:highlight w:val="none"/>
                <w:lang w:val="en-US" w:eastAsia="zh-CN"/>
              </w:rPr>
              <w:t>19</w:t>
            </w:r>
            <w:r>
              <w:rPr>
                <w:rFonts w:hint="default" w:ascii="Times New Roman" w:hAnsi="Times New Roman" w:cs="Times New Roman"/>
                <w:b/>
                <w:bCs/>
                <w:sz w:val="24"/>
                <w:highlight w:val="none"/>
              </w:rPr>
              <w:t xml:space="preserve">     环保“三同时”验收一览表</w:t>
            </w:r>
          </w:p>
          <w:tbl>
            <w:tblPr>
              <w:tblStyle w:val="1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98"/>
              <w:gridCol w:w="2157"/>
              <w:gridCol w:w="46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tblHeader/>
              </w:trPr>
              <w:tc>
                <w:tcPr>
                  <w:tcW w:w="828" w:type="dxa"/>
                  <w:noWrap w:val="0"/>
                  <w:vAlign w:val="center"/>
                </w:tcPr>
                <w:p>
                  <w:pPr>
                    <w:spacing w:line="320" w:lineRule="exact"/>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项目</w:t>
                  </w:r>
                </w:p>
              </w:tc>
              <w:tc>
                <w:tcPr>
                  <w:tcW w:w="1498" w:type="dxa"/>
                  <w:noWrap w:val="0"/>
                  <w:vAlign w:val="center"/>
                </w:tcPr>
                <w:p>
                  <w:pPr>
                    <w:spacing w:line="320" w:lineRule="exact"/>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治理内容</w:t>
                  </w:r>
                </w:p>
              </w:tc>
              <w:tc>
                <w:tcPr>
                  <w:tcW w:w="2157" w:type="dxa"/>
                  <w:noWrap w:val="0"/>
                  <w:vAlign w:val="center"/>
                </w:tcPr>
                <w:p>
                  <w:pPr>
                    <w:spacing w:line="320" w:lineRule="exact"/>
                    <w:jc w:val="center"/>
                    <w:rPr>
                      <w:rFonts w:hint="default" w:ascii="Times New Roman" w:hAnsi="Times New Roman" w:cs="Times New Roman"/>
                      <w:b/>
                      <w:bCs/>
                      <w:color w:val="000000"/>
                      <w:szCs w:val="21"/>
                      <w:highlight w:val="none"/>
                    </w:rPr>
                  </w:pPr>
                  <w:r>
                    <w:rPr>
                      <w:rFonts w:hint="default" w:ascii="Times New Roman" w:hAnsi="Times New Roman" w:cs="Times New Roman"/>
                      <w:b/>
                      <w:color w:val="000000"/>
                      <w:szCs w:val="21"/>
                      <w:highlight w:val="none"/>
                    </w:rPr>
                    <w:t>环保措施</w:t>
                  </w:r>
                </w:p>
              </w:tc>
              <w:tc>
                <w:tcPr>
                  <w:tcW w:w="4622" w:type="dxa"/>
                  <w:noWrap w:val="0"/>
                  <w:vAlign w:val="center"/>
                </w:tcPr>
                <w:p>
                  <w:pPr>
                    <w:spacing w:line="320" w:lineRule="exact"/>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828"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废气</w:t>
                  </w:r>
                </w:p>
              </w:tc>
              <w:tc>
                <w:tcPr>
                  <w:tcW w:w="1498" w:type="dxa"/>
                  <w:noWrap w:val="0"/>
                  <w:vAlign w:val="center"/>
                </w:tcPr>
                <w:p>
                  <w:pPr>
                    <w:spacing w:line="240" w:lineRule="exact"/>
                    <w:jc w:val="center"/>
                    <w:rPr>
                      <w:rFonts w:hint="default" w:ascii="Times New Roman" w:hAnsi="Times New Roman" w:cs="Times New Roman"/>
                      <w:color w:val="000000"/>
                      <w:kern w:val="0"/>
                      <w:szCs w:val="21"/>
                      <w:highlight w:val="none"/>
                    </w:rPr>
                  </w:pPr>
                  <w:r>
                    <w:rPr>
                      <w:rFonts w:hint="default" w:ascii="Times New Roman" w:hAnsi="Times New Roman" w:cs="Times New Roman"/>
                      <w:highlight w:val="none"/>
                    </w:rPr>
                    <w:t>施工扬尘</w:t>
                  </w:r>
                </w:p>
              </w:tc>
              <w:tc>
                <w:tcPr>
                  <w:tcW w:w="2157" w:type="dxa"/>
                  <w:noWrap w:val="0"/>
                  <w:vAlign w:val="center"/>
                </w:tcPr>
                <w:p>
                  <w:pPr>
                    <w:snapToGrid w:val="0"/>
                    <w:spacing w:line="340" w:lineRule="exact"/>
                    <w:jc w:val="center"/>
                    <w:rPr>
                      <w:rFonts w:hint="default" w:ascii="Times New Roman" w:hAnsi="Times New Roman" w:cs="Times New Roman"/>
                      <w:color w:val="000000"/>
                      <w:kern w:val="0"/>
                      <w:highlight w:val="none"/>
                    </w:rPr>
                  </w:pPr>
                  <w:r>
                    <w:rPr>
                      <w:rFonts w:hint="default" w:ascii="Times New Roman" w:hAnsi="Times New Roman" w:cs="Times New Roman"/>
                      <w:spacing w:val="-3"/>
                      <w:szCs w:val="21"/>
                      <w:highlight w:val="none"/>
                    </w:rPr>
                    <w:t>施工场地围挡+场地喷淋设备</w:t>
                  </w:r>
                </w:p>
              </w:tc>
              <w:tc>
                <w:tcPr>
                  <w:tcW w:w="4622"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color w:val="000000"/>
                      <w:szCs w:val="21"/>
                      <w:highlight w:val="none"/>
                    </w:rPr>
                    <w:t>《大气污染物综合排放标准》（GB16297-1996）表2二级标准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8" w:hRule="atLeast"/>
              </w:trPr>
              <w:tc>
                <w:tcPr>
                  <w:tcW w:w="828"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废水</w:t>
                  </w:r>
                </w:p>
              </w:tc>
              <w:tc>
                <w:tcPr>
                  <w:tcW w:w="1498" w:type="dxa"/>
                  <w:noWrap w:val="0"/>
                  <w:vAlign w:val="center"/>
                </w:tcPr>
                <w:p>
                  <w:pPr>
                    <w:adjustRightInd w:val="0"/>
                    <w:snapToGri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生活污水</w:t>
                  </w:r>
                </w:p>
              </w:tc>
              <w:tc>
                <w:tcPr>
                  <w:tcW w:w="2157" w:type="dxa"/>
                  <w:noWrap w:val="0"/>
                  <w:vAlign w:val="center"/>
                </w:tcPr>
                <w:p>
                  <w:pPr>
                    <w:adjustRightInd w:val="0"/>
                    <w:snapToGrid w:val="0"/>
                    <w:jc w:val="center"/>
                    <w:rPr>
                      <w:rFonts w:hint="default" w:ascii="Times New Roman" w:hAnsi="Times New Roman" w:cs="Times New Roman"/>
                      <w:color w:val="000000"/>
                      <w:szCs w:val="21"/>
                      <w:highlight w:val="none"/>
                    </w:rPr>
                  </w:pPr>
                  <w:r>
                    <w:rPr>
                      <w:rFonts w:hint="default" w:ascii="Times New Roman" w:hAnsi="Times New Roman" w:cs="Times New Roman"/>
                      <w:spacing w:val="-3"/>
                      <w:szCs w:val="21"/>
                      <w:highlight w:val="none"/>
                    </w:rPr>
                    <w:t>化粪池处理后，用于周边农田肥田</w:t>
                  </w:r>
                </w:p>
              </w:tc>
              <w:tc>
                <w:tcPr>
                  <w:tcW w:w="4622" w:type="dxa"/>
                  <w:noWrap w:val="0"/>
                  <w:vAlign w:val="center"/>
                </w:tcPr>
                <w:p>
                  <w:pPr>
                    <w:spacing w:line="320" w:lineRule="exact"/>
                    <w:jc w:val="center"/>
                    <w:rPr>
                      <w:rFonts w:hint="eastAsia" w:ascii="Times New Roman" w:hAnsi="Times New Roman" w:eastAsia="宋体" w:cs="Times New Roman"/>
                      <w:bCs/>
                      <w:color w:val="000000"/>
                      <w:szCs w:val="21"/>
                      <w:highlight w:val="none"/>
                      <w:lang w:eastAsia="zh-CN"/>
                    </w:rPr>
                  </w:pPr>
                  <w:r>
                    <w:rPr>
                      <w:rFonts w:hint="eastAsia" w:ascii="Times New Roman" w:hAnsi="Times New Roman" w:cs="Times New Roman"/>
                      <w:bCs/>
                      <w:color w:val="000000"/>
                      <w:szCs w:val="21"/>
                      <w:highlight w:val="none"/>
                      <w:lang w:eastAsia="zh-CN"/>
                    </w:rPr>
                    <w:t>合理处置不外排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828"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噪声</w:t>
                  </w:r>
                </w:p>
              </w:tc>
              <w:tc>
                <w:tcPr>
                  <w:tcW w:w="1498"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高噪声设备</w:t>
                  </w:r>
                </w:p>
              </w:tc>
              <w:tc>
                <w:tcPr>
                  <w:tcW w:w="2157"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减震基础、</w:t>
                  </w:r>
                  <w:r>
                    <w:rPr>
                      <w:rFonts w:hint="eastAsia" w:ascii="Times New Roman" w:hAnsi="Times New Roman" w:cs="Times New Roman"/>
                      <w:bCs/>
                      <w:color w:val="000000"/>
                      <w:szCs w:val="21"/>
                      <w:highlight w:val="none"/>
                      <w:lang w:eastAsia="zh-CN"/>
                    </w:rPr>
                    <w:t>围挡</w:t>
                  </w:r>
                  <w:r>
                    <w:rPr>
                      <w:rFonts w:hint="default" w:ascii="Times New Roman" w:hAnsi="Times New Roman" w:cs="Times New Roman"/>
                      <w:bCs/>
                      <w:color w:val="000000"/>
                      <w:szCs w:val="21"/>
                      <w:highlight w:val="none"/>
                    </w:rPr>
                    <w:t>隔声</w:t>
                  </w:r>
                </w:p>
              </w:tc>
              <w:tc>
                <w:tcPr>
                  <w:tcW w:w="4622" w:type="dxa"/>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eastAsia="zh-CN"/>
                    </w:rPr>
                    <w:t>建筑施工场界</w:t>
                  </w:r>
                  <w:r>
                    <w:rPr>
                      <w:rFonts w:hint="default" w:ascii="Times New Roman" w:hAnsi="Times New Roman" w:cs="Times New Roman"/>
                      <w:color w:val="000000"/>
                      <w:szCs w:val="21"/>
                      <w:highlight w:val="none"/>
                    </w:rPr>
                    <w:t>环境噪声排放标准》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828" w:type="dxa"/>
                  <w:vMerge w:val="restart"/>
                  <w:noWrap w:val="0"/>
                  <w:vAlign w:val="center"/>
                </w:tcPr>
                <w:p>
                  <w:pPr>
                    <w:spacing w:line="320" w:lineRule="exact"/>
                    <w:jc w:val="center"/>
                    <w:rPr>
                      <w:rFonts w:hint="default" w:ascii="Times New Roman" w:hAnsi="Times New Roman" w:cs="Times New Roman"/>
                      <w:bCs/>
                      <w:color w:val="000000"/>
                      <w:szCs w:val="21"/>
                      <w:highlight w:val="none"/>
                    </w:rPr>
                  </w:pPr>
                  <w:r>
                    <w:rPr>
                      <w:rFonts w:hint="default" w:ascii="Times New Roman" w:hAnsi="Times New Roman" w:cs="Times New Roman"/>
                      <w:bCs/>
                      <w:color w:val="000000"/>
                      <w:szCs w:val="21"/>
                      <w:highlight w:val="none"/>
                    </w:rPr>
                    <w:t>固废</w:t>
                  </w:r>
                </w:p>
              </w:tc>
              <w:tc>
                <w:tcPr>
                  <w:tcW w:w="1498" w:type="dxa"/>
                  <w:noWrap w:val="0"/>
                  <w:vAlign w:val="center"/>
                </w:tcPr>
                <w:p>
                  <w:pPr>
                    <w:adjustRightInd w:val="0"/>
                    <w:snapToGrid w:val="0"/>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一般固废</w:t>
                  </w:r>
                </w:p>
              </w:tc>
              <w:tc>
                <w:tcPr>
                  <w:tcW w:w="2157" w:type="dxa"/>
                  <w:noWrap w:val="0"/>
                  <w:vAlign w:val="center"/>
                </w:tcPr>
                <w:p>
                  <w:pPr>
                    <w:adjustRightInd w:val="0"/>
                    <w:snapToGrid w:val="0"/>
                    <w:jc w:val="center"/>
                    <w:rPr>
                      <w:rFonts w:hint="eastAsia" w:ascii="Times New Roman" w:hAnsi="Times New Roman" w:eastAsia="宋体" w:cs="Times New Roman"/>
                      <w:color w:val="000000"/>
                      <w:szCs w:val="21"/>
                      <w:highlight w:val="none"/>
                      <w:lang w:eastAsia="zh-CN"/>
                    </w:rPr>
                  </w:pPr>
                  <w:r>
                    <w:rPr>
                      <w:rFonts w:hint="eastAsia" w:ascii="Times New Roman" w:hAnsi="Times New Roman" w:cs="Times New Roman"/>
                      <w:color w:val="000000"/>
                      <w:szCs w:val="21"/>
                      <w:highlight w:val="none"/>
                      <w:lang w:val="en-US" w:eastAsia="zh-CN"/>
                    </w:rPr>
                    <w:t>/</w:t>
                  </w:r>
                </w:p>
              </w:tc>
              <w:tc>
                <w:tcPr>
                  <w:tcW w:w="4622" w:type="dxa"/>
                  <w:vMerge w:val="restart"/>
                  <w:noWrap w:val="0"/>
                  <w:vAlign w:val="center"/>
                </w:tcPr>
                <w:p>
                  <w:pPr>
                    <w:spacing w:line="320" w:lineRule="exact"/>
                    <w:jc w:val="center"/>
                    <w:rPr>
                      <w:rFonts w:hint="default" w:ascii="Times New Roman" w:hAnsi="Times New Roman" w:cs="Times New Roman"/>
                      <w:color w:val="000000"/>
                      <w:szCs w:val="21"/>
                      <w:highlight w:val="none"/>
                    </w:rPr>
                  </w:pPr>
                  <w:r>
                    <w:rPr>
                      <w:rFonts w:hint="default" w:ascii="Times New Roman" w:hAnsi="Times New Roman" w:cs="Times New Roman"/>
                      <w:bCs/>
                      <w:color w:val="000000"/>
                      <w:szCs w:val="21"/>
                      <w:highlight w:val="none"/>
                    </w:rPr>
                    <w:t>《一般工业固体废物贮存、处置场污染控制标准》（GB18599-2001）（2013年修改）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28" w:type="dxa"/>
                  <w:vMerge w:val="continue"/>
                  <w:noWrap w:val="0"/>
                  <w:vAlign w:val="center"/>
                </w:tcPr>
                <w:p>
                  <w:pPr>
                    <w:spacing w:line="320" w:lineRule="exact"/>
                    <w:jc w:val="center"/>
                    <w:rPr>
                      <w:rFonts w:hint="default" w:ascii="Times New Roman" w:hAnsi="Times New Roman" w:cs="Times New Roman"/>
                      <w:bCs/>
                      <w:color w:val="000000"/>
                      <w:szCs w:val="21"/>
                      <w:highlight w:val="none"/>
                    </w:rPr>
                  </w:pPr>
                </w:p>
              </w:tc>
              <w:tc>
                <w:tcPr>
                  <w:tcW w:w="1498" w:type="dxa"/>
                  <w:noWrap w:val="0"/>
                  <w:vAlign w:val="center"/>
                </w:tcPr>
                <w:p>
                  <w:pPr>
                    <w:adjustRightInd w:val="0"/>
                    <w:snapToGri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生活垃圾</w:t>
                  </w:r>
                </w:p>
              </w:tc>
              <w:tc>
                <w:tcPr>
                  <w:tcW w:w="2157" w:type="dxa"/>
                  <w:noWrap w:val="0"/>
                  <w:vAlign w:val="center"/>
                </w:tcPr>
                <w:p>
                  <w:pPr>
                    <w:adjustRightInd w:val="0"/>
                    <w:snapToGri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垃圾桶若干</w:t>
                  </w:r>
                </w:p>
              </w:tc>
              <w:tc>
                <w:tcPr>
                  <w:tcW w:w="4622" w:type="dxa"/>
                  <w:vMerge w:val="continue"/>
                  <w:noWrap w:val="0"/>
                  <w:vAlign w:val="center"/>
                </w:tcPr>
                <w:p>
                  <w:pPr>
                    <w:spacing w:line="320" w:lineRule="exact"/>
                    <w:jc w:val="center"/>
                    <w:rPr>
                      <w:rFonts w:hint="default" w:ascii="Times New Roman" w:hAnsi="Times New Roman" w:cs="Times New Roman"/>
                      <w:bCs/>
                      <w:color w:val="000000"/>
                      <w:szCs w:val="21"/>
                      <w:highlight w:val="none"/>
                    </w:rPr>
                  </w:pPr>
                </w:p>
              </w:tc>
            </w:tr>
          </w:tbl>
          <w:p>
            <w:pPr>
              <w:adjustRightInd w:val="0"/>
              <w:snapToGrid w:val="0"/>
              <w:spacing w:before="156" w:beforeLines="50" w:line="440" w:lineRule="exact"/>
              <w:rPr>
                <w:rFonts w:hint="default" w:ascii="Times New Roman" w:hAnsi="Times New Roman" w:cs="Times New Roman"/>
                <w:sz w:val="24"/>
                <w:highlight w:val="none"/>
              </w:rPr>
            </w:pPr>
          </w:p>
        </w:tc>
      </w:tr>
    </w:tbl>
    <w:p>
      <w:pPr>
        <w:spacing w:line="360" w:lineRule="auto"/>
        <w:rPr>
          <w:rFonts w:eastAsia="黑体"/>
          <w:sz w:val="32"/>
          <w:szCs w:val="32"/>
          <w:highlight w:val="yellow"/>
        </w:rPr>
      </w:pPr>
      <w:r>
        <w:rPr>
          <w:rFonts w:eastAsia="黑体"/>
          <w:sz w:val="32"/>
          <w:szCs w:val="32"/>
          <w:highlight w:val="none"/>
        </w:rPr>
        <w:t>建设项目拟采取的防治措施及预期治理效果</w:t>
      </w:r>
    </w:p>
    <w:tbl>
      <w:tblPr>
        <w:tblStyle w:val="15"/>
        <w:tblW w:w="93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68"/>
        <w:gridCol w:w="1420"/>
        <w:gridCol w:w="2640"/>
        <w:gridCol w:w="28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119" w:type="dxa"/>
            <w:noWrap w:val="0"/>
            <w:vAlign w:val="center"/>
          </w:tcPr>
          <w:p>
            <w:pPr>
              <w:jc w:val="center"/>
              <w:rPr>
                <w:sz w:val="24"/>
              </w:rPr>
            </w:pPr>
            <w:r>
              <w:rPr>
                <w:sz w:val="24"/>
              </w:rPr>
              <w:t>内容</w:t>
            </w:r>
          </w:p>
          <w:p>
            <w:pPr>
              <w:jc w:val="center"/>
              <w:rPr>
                <w:sz w:val="24"/>
              </w:rPr>
            </w:pPr>
            <w:r>
              <w:rPr>
                <w:sz w:val="24"/>
              </w:rPr>
              <w:t>类型</w:t>
            </w:r>
          </w:p>
        </w:tc>
        <w:tc>
          <w:tcPr>
            <w:tcW w:w="1268" w:type="dxa"/>
            <w:noWrap w:val="0"/>
            <w:vAlign w:val="center"/>
          </w:tcPr>
          <w:p>
            <w:pPr>
              <w:jc w:val="center"/>
              <w:rPr>
                <w:sz w:val="24"/>
              </w:rPr>
            </w:pPr>
            <w:r>
              <w:rPr>
                <w:sz w:val="24"/>
              </w:rPr>
              <w:t>排放源</w:t>
            </w:r>
          </w:p>
          <w:p>
            <w:pPr>
              <w:jc w:val="center"/>
              <w:rPr>
                <w:sz w:val="24"/>
              </w:rPr>
            </w:pPr>
            <w:r>
              <w:rPr>
                <w:sz w:val="24"/>
              </w:rPr>
              <w:t>(编号)</w:t>
            </w:r>
          </w:p>
        </w:tc>
        <w:tc>
          <w:tcPr>
            <w:tcW w:w="1420" w:type="dxa"/>
            <w:noWrap w:val="0"/>
            <w:vAlign w:val="center"/>
          </w:tcPr>
          <w:p>
            <w:pPr>
              <w:jc w:val="center"/>
              <w:rPr>
                <w:sz w:val="24"/>
              </w:rPr>
            </w:pPr>
            <w:r>
              <w:rPr>
                <w:sz w:val="24"/>
              </w:rPr>
              <w:t>污染物</w:t>
            </w:r>
          </w:p>
          <w:p>
            <w:pPr>
              <w:jc w:val="center"/>
              <w:rPr>
                <w:sz w:val="24"/>
              </w:rPr>
            </w:pPr>
            <w:r>
              <w:rPr>
                <w:sz w:val="24"/>
              </w:rPr>
              <w:t>名称</w:t>
            </w:r>
          </w:p>
        </w:tc>
        <w:tc>
          <w:tcPr>
            <w:tcW w:w="2640" w:type="dxa"/>
            <w:noWrap w:val="0"/>
            <w:vAlign w:val="center"/>
          </w:tcPr>
          <w:p>
            <w:pPr>
              <w:jc w:val="center"/>
              <w:rPr>
                <w:sz w:val="24"/>
              </w:rPr>
            </w:pPr>
            <w:r>
              <w:rPr>
                <w:sz w:val="24"/>
              </w:rPr>
              <w:t>防治措施</w:t>
            </w:r>
          </w:p>
        </w:tc>
        <w:tc>
          <w:tcPr>
            <w:tcW w:w="2861" w:type="dxa"/>
            <w:noWrap w:val="0"/>
            <w:vAlign w:val="center"/>
          </w:tcPr>
          <w:p>
            <w:pPr>
              <w:jc w:val="center"/>
              <w:rPr>
                <w:sz w:val="24"/>
              </w:rPr>
            </w:pPr>
            <w:r>
              <w:rPr>
                <w:sz w:val="24"/>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119" w:type="dxa"/>
            <w:noWrap w:val="0"/>
            <w:vAlign w:val="center"/>
          </w:tcPr>
          <w:p>
            <w:pPr>
              <w:jc w:val="center"/>
              <w:rPr>
                <w:rFonts w:hint="eastAsia"/>
                <w:sz w:val="24"/>
              </w:rPr>
            </w:pPr>
            <w:r>
              <w:rPr>
                <w:rFonts w:hint="eastAsia"/>
                <w:sz w:val="24"/>
              </w:rPr>
              <w:t>废气污染物</w:t>
            </w:r>
          </w:p>
        </w:tc>
        <w:tc>
          <w:tcPr>
            <w:tcW w:w="1268" w:type="dxa"/>
            <w:noWrap w:val="0"/>
            <w:vAlign w:val="center"/>
          </w:tcPr>
          <w:p>
            <w:pPr>
              <w:snapToGrid w:val="0"/>
              <w:spacing w:line="340" w:lineRule="exact"/>
              <w:jc w:val="center"/>
              <w:rPr>
                <w:rFonts w:hint="eastAsia"/>
                <w:szCs w:val="21"/>
              </w:rPr>
            </w:pPr>
            <w:r>
              <w:rPr>
                <w:rFonts w:hint="eastAsia"/>
                <w:bCs/>
                <w:szCs w:val="21"/>
                <w:lang w:eastAsia="zh-CN"/>
              </w:rPr>
              <w:t>施工扬尘</w:t>
            </w:r>
          </w:p>
        </w:tc>
        <w:tc>
          <w:tcPr>
            <w:tcW w:w="1420" w:type="dxa"/>
            <w:noWrap w:val="0"/>
            <w:vAlign w:val="center"/>
          </w:tcPr>
          <w:p>
            <w:pPr>
              <w:snapToGrid w:val="0"/>
              <w:spacing w:line="340" w:lineRule="exact"/>
              <w:jc w:val="center"/>
              <w:rPr>
                <w:rFonts w:hint="eastAsia"/>
                <w:szCs w:val="21"/>
              </w:rPr>
            </w:pPr>
            <w:r>
              <w:rPr>
                <w:rFonts w:hint="eastAsia"/>
                <w:bCs/>
                <w:szCs w:val="21"/>
              </w:rPr>
              <w:t>颗粒物</w:t>
            </w:r>
          </w:p>
        </w:tc>
        <w:tc>
          <w:tcPr>
            <w:tcW w:w="2640" w:type="dxa"/>
            <w:noWrap w:val="0"/>
            <w:vAlign w:val="center"/>
          </w:tcPr>
          <w:p>
            <w:pPr>
              <w:snapToGrid w:val="0"/>
              <w:spacing w:line="340" w:lineRule="exact"/>
              <w:jc w:val="center"/>
              <w:rPr>
                <w:rFonts w:hint="eastAsia"/>
                <w:szCs w:val="21"/>
              </w:rPr>
            </w:pPr>
            <w:r>
              <w:rPr>
                <w:rFonts w:hint="eastAsia" w:hAnsi="仿宋_GB2312"/>
                <w:spacing w:val="-3"/>
                <w:szCs w:val="21"/>
              </w:rPr>
              <w:t>施工场地围挡+场地喷淋设备</w:t>
            </w:r>
          </w:p>
        </w:tc>
        <w:tc>
          <w:tcPr>
            <w:tcW w:w="2861" w:type="dxa"/>
            <w:noWrap w:val="0"/>
            <w:vAlign w:val="center"/>
          </w:tcPr>
          <w:p>
            <w:pPr>
              <w:ind w:firstLine="18" w:firstLineChars="9"/>
              <w:jc w:val="center"/>
              <w:rPr>
                <w:rFonts w:hint="eastAsia"/>
                <w:szCs w:val="21"/>
              </w:rPr>
            </w:pPr>
            <w:r>
              <w:rPr>
                <w:rFonts w:hint="eastAsia"/>
                <w:szCs w:val="21"/>
              </w:rPr>
              <w:t>满足</w:t>
            </w:r>
            <w:r>
              <w:rPr>
                <w:szCs w:val="21"/>
              </w:rPr>
              <w:t>《大气污染物综合排放标准》（GB16297-1996）</w:t>
            </w:r>
            <w:r>
              <w:rPr>
                <w:rFonts w:hint="eastAsia"/>
                <w:szCs w:val="21"/>
              </w:rPr>
              <w:t>有组织排放浓度限值及无组织排放</w:t>
            </w:r>
            <w:r>
              <w:rPr>
                <w:szCs w:val="21"/>
              </w:rPr>
              <w:t>监控浓度要求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119" w:type="dxa"/>
            <w:noWrap w:val="0"/>
            <w:vAlign w:val="center"/>
          </w:tcPr>
          <w:p>
            <w:pPr>
              <w:jc w:val="center"/>
              <w:rPr>
                <w:rFonts w:hint="eastAsia"/>
                <w:sz w:val="24"/>
              </w:rPr>
            </w:pPr>
            <w:r>
              <w:rPr>
                <w:rFonts w:hint="eastAsia"/>
                <w:sz w:val="24"/>
              </w:rPr>
              <w:t>水</w:t>
            </w:r>
            <w:r>
              <w:rPr>
                <w:sz w:val="24"/>
              </w:rPr>
              <w:t>污染物</w:t>
            </w:r>
          </w:p>
        </w:tc>
        <w:tc>
          <w:tcPr>
            <w:tcW w:w="1268" w:type="dxa"/>
            <w:noWrap w:val="0"/>
            <w:vAlign w:val="center"/>
          </w:tcPr>
          <w:p>
            <w:pPr>
              <w:snapToGrid w:val="0"/>
              <w:spacing w:line="340" w:lineRule="exact"/>
              <w:jc w:val="center"/>
              <w:rPr>
                <w:rFonts w:hint="eastAsia"/>
                <w:bCs/>
                <w:szCs w:val="21"/>
              </w:rPr>
            </w:pPr>
            <w:r>
              <w:rPr>
                <w:rFonts w:hint="eastAsia"/>
                <w:bCs/>
                <w:szCs w:val="21"/>
              </w:rPr>
              <w:t>员工生活</w:t>
            </w:r>
          </w:p>
        </w:tc>
        <w:tc>
          <w:tcPr>
            <w:tcW w:w="1420" w:type="dxa"/>
            <w:noWrap w:val="0"/>
            <w:vAlign w:val="center"/>
          </w:tcPr>
          <w:p>
            <w:pPr>
              <w:snapToGrid w:val="0"/>
              <w:spacing w:line="340" w:lineRule="exact"/>
              <w:jc w:val="center"/>
              <w:rPr>
                <w:rFonts w:hint="eastAsia"/>
                <w:bCs/>
                <w:szCs w:val="21"/>
              </w:rPr>
            </w:pPr>
            <w:r>
              <w:rPr>
                <w:rFonts w:hint="eastAsia" w:hAnsi="仿宋_GB2312"/>
                <w:spacing w:val="-3"/>
                <w:szCs w:val="21"/>
              </w:rPr>
              <w:t>COD、氨氮</w:t>
            </w:r>
          </w:p>
        </w:tc>
        <w:tc>
          <w:tcPr>
            <w:tcW w:w="2640" w:type="dxa"/>
            <w:noWrap w:val="0"/>
            <w:vAlign w:val="center"/>
          </w:tcPr>
          <w:p>
            <w:pPr>
              <w:adjustRightInd w:val="0"/>
              <w:snapToGrid w:val="0"/>
              <w:jc w:val="center"/>
              <w:rPr>
                <w:rFonts w:hint="eastAsia" w:hAnsi="仿宋_GB2312"/>
                <w:spacing w:val="-3"/>
                <w:szCs w:val="21"/>
              </w:rPr>
            </w:pPr>
            <w:r>
              <w:rPr>
                <w:rFonts w:hint="eastAsia"/>
                <w:sz w:val="21"/>
                <w:szCs w:val="21"/>
                <w:lang w:val="en-US" w:eastAsia="zh-CN"/>
              </w:rPr>
              <w:t>化粪池处理后用于周边农田肥田</w:t>
            </w:r>
          </w:p>
        </w:tc>
        <w:tc>
          <w:tcPr>
            <w:tcW w:w="2861" w:type="dxa"/>
            <w:noWrap w:val="0"/>
            <w:vAlign w:val="center"/>
          </w:tcPr>
          <w:p>
            <w:pPr>
              <w:adjustRightInd w:val="0"/>
              <w:snapToGrid w:val="0"/>
              <w:jc w:val="center"/>
              <w:rPr>
                <w:rFonts w:hint="eastAsia"/>
                <w:szCs w:val="21"/>
              </w:rPr>
            </w:pPr>
            <w:r>
              <w:rPr>
                <w:rFonts w:hint="eastAsia"/>
                <w:sz w:val="21"/>
                <w:szCs w:val="21"/>
                <w:lang w:eastAsia="zh-CN"/>
              </w:rPr>
              <w:t>合理处置不外排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119" w:type="dxa"/>
            <w:vMerge w:val="restart"/>
            <w:noWrap w:val="0"/>
            <w:vAlign w:val="center"/>
          </w:tcPr>
          <w:p>
            <w:pPr>
              <w:jc w:val="center"/>
              <w:rPr>
                <w:sz w:val="24"/>
              </w:rPr>
            </w:pPr>
            <w:r>
              <w:rPr>
                <w:sz w:val="24"/>
              </w:rPr>
              <w:t>固</w:t>
            </w:r>
          </w:p>
          <w:p>
            <w:pPr>
              <w:jc w:val="center"/>
              <w:rPr>
                <w:sz w:val="24"/>
              </w:rPr>
            </w:pPr>
            <w:r>
              <w:rPr>
                <w:sz w:val="24"/>
              </w:rPr>
              <w:t>体</w:t>
            </w:r>
          </w:p>
          <w:p>
            <w:pPr>
              <w:jc w:val="center"/>
              <w:rPr>
                <w:sz w:val="24"/>
              </w:rPr>
            </w:pPr>
            <w:r>
              <w:rPr>
                <w:sz w:val="24"/>
              </w:rPr>
              <w:t>废</w:t>
            </w:r>
          </w:p>
          <w:p>
            <w:pPr>
              <w:jc w:val="center"/>
              <w:rPr>
                <w:rFonts w:hint="eastAsia"/>
                <w:sz w:val="24"/>
              </w:rPr>
            </w:pPr>
            <w:r>
              <w:rPr>
                <w:sz w:val="24"/>
              </w:rPr>
              <w:t>物</w:t>
            </w:r>
          </w:p>
        </w:tc>
        <w:tc>
          <w:tcPr>
            <w:tcW w:w="1268" w:type="dxa"/>
            <w:noWrap w:val="0"/>
            <w:vAlign w:val="center"/>
          </w:tcPr>
          <w:p>
            <w:pPr>
              <w:jc w:val="center"/>
              <w:rPr>
                <w:rFonts w:hint="eastAsia"/>
                <w:szCs w:val="21"/>
              </w:rPr>
            </w:pPr>
            <w:r>
              <w:rPr>
                <w:rFonts w:hint="eastAsia"/>
                <w:szCs w:val="21"/>
              </w:rPr>
              <w:t>生活</w:t>
            </w:r>
          </w:p>
        </w:tc>
        <w:tc>
          <w:tcPr>
            <w:tcW w:w="1420" w:type="dxa"/>
            <w:noWrap w:val="0"/>
            <w:vAlign w:val="center"/>
          </w:tcPr>
          <w:p>
            <w:pPr>
              <w:jc w:val="center"/>
              <w:rPr>
                <w:szCs w:val="21"/>
              </w:rPr>
            </w:pPr>
            <w:r>
              <w:rPr>
                <w:rFonts w:hint="eastAsia"/>
                <w:szCs w:val="21"/>
              </w:rPr>
              <w:t>生活垃圾</w:t>
            </w:r>
          </w:p>
        </w:tc>
        <w:tc>
          <w:tcPr>
            <w:tcW w:w="2640" w:type="dxa"/>
            <w:noWrap w:val="0"/>
            <w:vAlign w:val="center"/>
          </w:tcPr>
          <w:p>
            <w:pPr>
              <w:jc w:val="center"/>
              <w:rPr>
                <w:sz w:val="21"/>
                <w:szCs w:val="21"/>
                <w:vertAlign w:val="superscript"/>
              </w:rPr>
            </w:pPr>
            <w:r>
              <w:rPr>
                <w:rFonts w:hint="eastAsia"/>
                <w:szCs w:val="21"/>
              </w:rPr>
              <w:t>生活垃圾经收集后交由环卫部门统一清运处理</w:t>
            </w:r>
          </w:p>
        </w:tc>
        <w:tc>
          <w:tcPr>
            <w:tcW w:w="2861" w:type="dxa"/>
            <w:vMerge w:val="restart"/>
            <w:noWrap w:val="0"/>
            <w:vAlign w:val="center"/>
          </w:tcPr>
          <w:p>
            <w:pPr>
              <w:jc w:val="center"/>
              <w:rPr>
                <w:sz w:val="21"/>
                <w:szCs w:val="21"/>
              </w:rPr>
            </w:pPr>
            <w:r>
              <w:rPr>
                <w:rFonts w:hint="eastAsia"/>
                <w:szCs w:val="21"/>
              </w:rPr>
              <w:t>《一般工业固体废物贮存、处置场污染控制标准》（GB18599—2001）（2013修改版）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119" w:type="dxa"/>
            <w:vMerge w:val="continue"/>
            <w:noWrap w:val="0"/>
            <w:vAlign w:val="center"/>
          </w:tcPr>
          <w:p>
            <w:pPr>
              <w:jc w:val="center"/>
              <w:rPr>
                <w:sz w:val="24"/>
              </w:rPr>
            </w:pPr>
          </w:p>
        </w:tc>
        <w:tc>
          <w:tcPr>
            <w:tcW w:w="1268" w:type="dxa"/>
            <w:noWrap w:val="0"/>
            <w:vAlign w:val="center"/>
          </w:tcPr>
          <w:p>
            <w:pPr>
              <w:ind w:left="-119" w:right="-102"/>
              <w:jc w:val="center"/>
              <w:rPr>
                <w:szCs w:val="21"/>
              </w:rPr>
            </w:pPr>
            <w:r>
              <w:rPr>
                <w:rFonts w:hint="eastAsia"/>
                <w:szCs w:val="21"/>
              </w:rPr>
              <w:t>生产</w:t>
            </w:r>
          </w:p>
          <w:p>
            <w:pPr>
              <w:rPr>
                <w:rFonts w:hint="eastAsia"/>
                <w:szCs w:val="21"/>
              </w:rPr>
            </w:pPr>
          </w:p>
        </w:tc>
        <w:tc>
          <w:tcPr>
            <w:tcW w:w="1420" w:type="dxa"/>
            <w:noWrap w:val="0"/>
            <w:vAlign w:val="center"/>
          </w:tcPr>
          <w:p>
            <w:pPr>
              <w:adjustRightInd w:val="0"/>
              <w:snapToGrid w:val="0"/>
              <w:jc w:val="center"/>
              <w:rPr>
                <w:rFonts w:hint="eastAsia"/>
                <w:szCs w:val="21"/>
              </w:rPr>
            </w:pPr>
            <w:r>
              <w:rPr>
                <w:rFonts w:hint="eastAsia"/>
                <w:color w:val="000000"/>
                <w:szCs w:val="21"/>
                <w:lang w:val="en-US" w:eastAsia="zh-CN"/>
              </w:rPr>
              <w:t>一般固废</w:t>
            </w:r>
          </w:p>
        </w:tc>
        <w:tc>
          <w:tcPr>
            <w:tcW w:w="2640" w:type="dxa"/>
            <w:noWrap w:val="0"/>
            <w:vAlign w:val="center"/>
          </w:tcPr>
          <w:p>
            <w:pPr>
              <w:adjustRightInd w:val="0"/>
              <w:snapToGrid w:val="0"/>
              <w:jc w:val="center"/>
              <w:rPr>
                <w:rFonts w:hint="eastAsia"/>
                <w:szCs w:val="21"/>
              </w:rPr>
            </w:pPr>
            <w:r>
              <w:rPr>
                <w:rFonts w:hint="eastAsia"/>
                <w:color w:val="000000"/>
                <w:sz w:val="21"/>
                <w:szCs w:val="21"/>
                <w:vertAlign w:val="baseline"/>
                <w:lang w:val="en-US" w:eastAsia="zh-CN"/>
              </w:rPr>
              <w:t>收集后外售</w:t>
            </w:r>
          </w:p>
        </w:tc>
        <w:tc>
          <w:tcPr>
            <w:tcW w:w="2861" w:type="dxa"/>
            <w:vMerge w:val="continue"/>
            <w:noWrap w:val="0"/>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5" w:hRule="atLeast"/>
          <w:jc w:val="center"/>
        </w:trPr>
        <w:tc>
          <w:tcPr>
            <w:tcW w:w="1119" w:type="dxa"/>
            <w:noWrap w:val="0"/>
            <w:vAlign w:val="center"/>
          </w:tcPr>
          <w:p>
            <w:pPr>
              <w:jc w:val="center"/>
              <w:rPr>
                <w:sz w:val="24"/>
              </w:rPr>
            </w:pPr>
            <w:r>
              <w:rPr>
                <w:sz w:val="24"/>
              </w:rPr>
              <w:t>噪</w:t>
            </w:r>
          </w:p>
          <w:p>
            <w:pPr>
              <w:jc w:val="center"/>
              <w:rPr>
                <w:sz w:val="24"/>
              </w:rPr>
            </w:pPr>
            <w:r>
              <w:rPr>
                <w:sz w:val="24"/>
              </w:rPr>
              <w:t>声</w:t>
            </w:r>
          </w:p>
        </w:tc>
        <w:tc>
          <w:tcPr>
            <w:tcW w:w="8189" w:type="dxa"/>
            <w:gridSpan w:val="4"/>
            <w:noWrap w:val="0"/>
            <w:vAlign w:val="center"/>
          </w:tcPr>
          <w:p>
            <w:pPr>
              <w:spacing w:line="400" w:lineRule="exact"/>
              <w:ind w:left="-5" w:leftChars="0" w:firstLine="378" w:firstLineChars="180"/>
              <w:jc w:val="left"/>
              <w:rPr>
                <w:rFonts w:hint="eastAsia"/>
                <w:szCs w:val="21"/>
              </w:rPr>
            </w:pPr>
            <w:r>
              <w:rPr>
                <w:color w:val="000000"/>
                <w:szCs w:val="21"/>
              </w:rPr>
              <w:t>本项目的噪声源主要为</w:t>
            </w:r>
            <w:r>
              <w:rPr>
                <w:rFonts w:hint="eastAsia"/>
                <w:color w:val="000000"/>
                <w:szCs w:val="21"/>
                <w:lang w:eastAsia="zh-CN"/>
              </w:rPr>
              <w:t>施工期</w:t>
            </w:r>
            <w:r>
              <w:rPr>
                <w:rFonts w:hint="eastAsia"/>
                <w:szCs w:val="21"/>
              </w:rPr>
              <w:t>设备工作产生的机械噪声，设备运行噪声声压级范围为70-95dB（A）</w:t>
            </w:r>
            <w:r>
              <w:rPr>
                <w:color w:val="000000"/>
                <w:szCs w:val="21"/>
              </w:rPr>
              <w:t>。经采取安装减基础和隔声后，本项目</w:t>
            </w:r>
            <w:r>
              <w:rPr>
                <w:rFonts w:hint="eastAsia"/>
                <w:color w:val="000000"/>
                <w:szCs w:val="21"/>
                <w:lang w:eastAsia="zh-CN"/>
              </w:rPr>
              <w:t>施工期</w:t>
            </w:r>
            <w:r>
              <w:rPr>
                <w:color w:val="000000"/>
                <w:szCs w:val="21"/>
              </w:rPr>
              <w:t>时昼间各厂界噪声均能够达到《</w:t>
            </w:r>
            <w:r>
              <w:rPr>
                <w:rFonts w:hint="eastAsia"/>
                <w:color w:val="000000"/>
                <w:szCs w:val="21"/>
                <w:lang w:eastAsia="zh-CN"/>
              </w:rPr>
              <w:t>建筑施工场界</w:t>
            </w:r>
            <w:r>
              <w:rPr>
                <w:color w:val="000000"/>
                <w:szCs w:val="21"/>
              </w:rPr>
              <w:t>环境噪声排放标准》要求。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3" w:hRule="atLeast"/>
          <w:jc w:val="center"/>
        </w:trPr>
        <w:tc>
          <w:tcPr>
            <w:tcW w:w="1119" w:type="dxa"/>
            <w:noWrap w:val="0"/>
            <w:vAlign w:val="center"/>
          </w:tcPr>
          <w:p>
            <w:pPr>
              <w:jc w:val="center"/>
              <w:rPr>
                <w:sz w:val="24"/>
              </w:rPr>
            </w:pPr>
            <w:r>
              <w:rPr>
                <w:sz w:val="24"/>
              </w:rPr>
              <w:t>生态</w:t>
            </w:r>
          </w:p>
          <w:p>
            <w:pPr>
              <w:jc w:val="center"/>
              <w:rPr>
                <w:sz w:val="24"/>
              </w:rPr>
            </w:pPr>
            <w:r>
              <w:rPr>
                <w:sz w:val="24"/>
              </w:rPr>
              <w:t>保护</w:t>
            </w:r>
          </w:p>
          <w:p>
            <w:pPr>
              <w:jc w:val="center"/>
              <w:rPr>
                <w:sz w:val="24"/>
              </w:rPr>
            </w:pPr>
            <w:r>
              <w:rPr>
                <w:sz w:val="24"/>
              </w:rPr>
              <w:t>措施</w:t>
            </w:r>
          </w:p>
        </w:tc>
        <w:tc>
          <w:tcPr>
            <w:tcW w:w="8189" w:type="dxa"/>
            <w:gridSpan w:val="4"/>
            <w:noWrap w:val="0"/>
            <w:vAlign w:val="center"/>
          </w:tcPr>
          <w:p>
            <w:pPr>
              <w:rPr>
                <w:rFonts w:hint="eastAsia"/>
                <w:szCs w:val="21"/>
              </w:rPr>
            </w:pPr>
          </w:p>
          <w:p>
            <w:pPr>
              <w:adjustRightInd w:val="0"/>
              <w:snapToGrid w:val="0"/>
              <w:spacing w:line="520" w:lineRule="exact"/>
              <w:rPr>
                <w:rFonts w:hint="eastAsia"/>
                <w:color w:val="000000"/>
                <w:szCs w:val="21"/>
              </w:rPr>
            </w:pPr>
            <w:r>
              <w:rPr>
                <w:rFonts w:hint="eastAsia"/>
                <w:color w:val="000000"/>
                <w:szCs w:val="21"/>
              </w:rPr>
              <w:t xml:space="preserve">    </w:t>
            </w:r>
          </w:p>
          <w:p>
            <w:pPr>
              <w:adjustRightInd w:val="0"/>
              <w:snapToGrid w:val="0"/>
              <w:spacing w:line="520" w:lineRule="exact"/>
              <w:rPr>
                <w:rFonts w:hint="eastAsia"/>
                <w:color w:val="000000"/>
                <w:szCs w:val="21"/>
              </w:rPr>
            </w:pPr>
          </w:p>
          <w:p>
            <w:pPr>
              <w:adjustRightInd w:val="0"/>
              <w:snapToGrid w:val="0"/>
              <w:spacing w:line="520" w:lineRule="exact"/>
              <w:rPr>
                <w:rFonts w:hint="eastAsia"/>
                <w:color w:val="000000"/>
                <w:szCs w:val="21"/>
              </w:rPr>
            </w:pPr>
          </w:p>
          <w:p>
            <w:pPr>
              <w:adjustRightInd w:val="0"/>
              <w:snapToGrid w:val="0"/>
              <w:spacing w:line="520" w:lineRule="exact"/>
              <w:rPr>
                <w:color w:val="000000"/>
                <w:szCs w:val="21"/>
              </w:rPr>
            </w:pPr>
            <w:r>
              <w:rPr>
                <w:color w:val="000000"/>
                <w:szCs w:val="21"/>
              </w:rPr>
              <w:t>本项目为新建项目，</w:t>
            </w:r>
            <w:r>
              <w:rPr>
                <w:rFonts w:hint="eastAsia"/>
                <w:color w:val="000000"/>
                <w:szCs w:val="21"/>
              </w:rPr>
              <w:t>本次建设</w:t>
            </w:r>
            <w:r>
              <w:rPr>
                <w:color w:val="000000"/>
                <w:szCs w:val="21"/>
              </w:rPr>
              <w:t>不改变原有的地形地貌，对周围自然环境不造成破坏，项目建设对生态环境影响较小。</w:t>
            </w:r>
          </w:p>
          <w:p>
            <w:pPr>
              <w:pStyle w:val="2"/>
              <w:outlineLvl w:val="0"/>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szCs w:val="21"/>
              </w:rPr>
            </w:pPr>
          </w:p>
        </w:tc>
      </w:tr>
    </w:tbl>
    <w:p>
      <w:pPr>
        <w:spacing w:before="156" w:beforeLines="50" w:line="480" w:lineRule="exact"/>
        <w:rPr>
          <w:rFonts w:eastAsia="黑体"/>
          <w:bCs/>
          <w:sz w:val="32"/>
          <w:szCs w:val="32"/>
        </w:rPr>
      </w:pPr>
      <w:r>
        <w:rPr>
          <w:rFonts w:eastAsia="黑体"/>
          <w:bCs/>
          <w:sz w:val="32"/>
          <w:szCs w:val="32"/>
        </w:rPr>
        <w:t>结论与建议</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01"/>
        <w:gridCol w:w="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575" w:type="dxa"/>
            <w:gridSpan w:val="2"/>
            <w:noWrap w:val="0"/>
            <w:vAlign w:val="top"/>
          </w:tcPr>
          <w:p>
            <w:pPr>
              <w:spacing w:line="520" w:lineRule="exact"/>
              <w:rPr>
                <w:rFonts w:eastAsia="黑体"/>
                <w:bCs/>
                <w:sz w:val="24"/>
              </w:rPr>
            </w:pPr>
            <w:r>
              <w:rPr>
                <w:rFonts w:eastAsia="黑体"/>
                <w:bCs/>
                <w:sz w:val="24"/>
              </w:rPr>
              <w:t>结论：</w:t>
            </w:r>
          </w:p>
          <w:p>
            <w:pPr>
              <w:numPr>
                <w:ilvl w:val="0"/>
                <w:numId w:val="2"/>
              </w:numPr>
              <w:spacing w:line="520" w:lineRule="exact"/>
              <w:rPr>
                <w:b/>
                <w:bCs/>
                <w:sz w:val="24"/>
              </w:rPr>
            </w:pPr>
            <w:r>
              <w:rPr>
                <w:rFonts w:hint="eastAsia"/>
                <w:b/>
                <w:bCs/>
                <w:sz w:val="24"/>
              </w:rPr>
              <w:t>项目慨况</w:t>
            </w:r>
          </w:p>
          <w:p>
            <w:pPr>
              <w:spacing w:line="520" w:lineRule="exact"/>
              <w:ind w:firstLine="480" w:firstLineChars="200"/>
              <w:rPr>
                <w:rFonts w:hint="eastAsia"/>
                <w:bCs/>
                <w:spacing w:val="-3"/>
                <w:sz w:val="24"/>
                <w:highlight w:val="none"/>
              </w:rPr>
            </w:pPr>
            <w:r>
              <w:rPr>
                <w:rFonts w:hint="eastAsia"/>
                <w:sz w:val="24"/>
                <w:highlight w:val="none"/>
              </w:rPr>
              <w:t>淮滨县城区燃气管道建设项目拟投资</w:t>
            </w:r>
            <w:r>
              <w:rPr>
                <w:rFonts w:hint="eastAsia"/>
                <w:sz w:val="24"/>
                <w:highlight w:val="none"/>
                <w:lang w:val="en-US" w:eastAsia="zh-CN"/>
              </w:rPr>
              <w:t>28000</w:t>
            </w:r>
            <w:r>
              <w:rPr>
                <w:rFonts w:hint="eastAsia"/>
                <w:sz w:val="24"/>
                <w:highlight w:val="none"/>
              </w:rPr>
              <w:t>万元，在</w:t>
            </w:r>
            <w:r>
              <w:rPr>
                <w:rFonts w:hint="eastAsia"/>
                <w:bCs/>
                <w:sz w:val="24"/>
                <w:highlight w:val="none"/>
              </w:rPr>
              <w:t>信阳市淮滨县</w:t>
            </w:r>
            <w:r>
              <w:rPr>
                <w:rFonts w:hint="eastAsia"/>
                <w:bCs/>
                <w:sz w:val="24"/>
                <w:highlight w:val="none"/>
                <w:lang w:val="en-US" w:eastAsia="zh-CN"/>
              </w:rPr>
              <w:t>城区</w:t>
            </w:r>
            <w:r>
              <w:rPr>
                <w:rFonts w:hint="eastAsia"/>
                <w:bCs/>
                <w:sz w:val="24"/>
                <w:highlight w:val="none"/>
              </w:rPr>
              <w:t>建设</w:t>
            </w:r>
            <w:r>
              <w:rPr>
                <w:rFonts w:hint="eastAsia"/>
                <w:sz w:val="24"/>
                <w:highlight w:val="none"/>
              </w:rPr>
              <w:t>淮滨县城区燃气管道建设项目。</w:t>
            </w:r>
          </w:p>
          <w:p>
            <w:pPr>
              <w:spacing w:line="520" w:lineRule="exact"/>
              <w:rPr>
                <w:b/>
                <w:sz w:val="24"/>
              </w:rPr>
            </w:pPr>
            <w:r>
              <w:rPr>
                <w:rFonts w:hint="eastAsia"/>
                <w:b/>
                <w:sz w:val="24"/>
              </w:rPr>
              <w:t>2、</w:t>
            </w:r>
            <w:r>
              <w:rPr>
                <w:b/>
                <w:sz w:val="24"/>
              </w:rPr>
              <w:t>项目选址可行</w:t>
            </w:r>
            <w:r>
              <w:rPr>
                <w:rFonts w:hint="eastAsia"/>
                <w:b/>
                <w:sz w:val="24"/>
              </w:rPr>
              <w:t>性分析</w:t>
            </w:r>
          </w:p>
          <w:p>
            <w:pPr>
              <w:adjustRightInd w:val="0"/>
              <w:snapToGrid w:val="0"/>
              <w:spacing w:line="360" w:lineRule="auto"/>
              <w:ind w:firstLine="480" w:firstLineChars="200"/>
              <w:rPr>
                <w:rFonts w:hint="eastAsia"/>
                <w:sz w:val="24"/>
              </w:rPr>
            </w:pPr>
            <w:r>
              <w:rPr>
                <w:sz w:val="24"/>
              </w:rPr>
              <w:t>本项目位于</w:t>
            </w:r>
            <w:r>
              <w:rPr>
                <w:rFonts w:hint="eastAsia" w:eastAsia="宋体"/>
                <w:sz w:val="24"/>
                <w:lang w:val="en-US" w:eastAsia="zh-CN"/>
              </w:rPr>
              <w:t>信阳市</w:t>
            </w:r>
            <w:r>
              <w:rPr>
                <w:rFonts w:hint="eastAsia"/>
                <w:sz w:val="24"/>
              </w:rPr>
              <w:t>淮滨县</w:t>
            </w:r>
            <w:r>
              <w:rPr>
                <w:rFonts w:hint="eastAsia" w:eastAsia="宋体"/>
                <w:sz w:val="24"/>
                <w:lang w:eastAsia="zh-CN"/>
              </w:rPr>
              <w:t>，</w:t>
            </w:r>
            <w:r>
              <w:rPr>
                <w:rFonts w:hint="eastAsia"/>
                <w:bCs/>
                <w:sz w:val="24"/>
                <w:lang w:val="en-US" w:eastAsia="zh-CN"/>
              </w:rPr>
              <w:t>项目建设</w:t>
            </w:r>
            <w:r>
              <w:rPr>
                <w:rFonts w:hint="eastAsia"/>
                <w:bCs/>
                <w:sz w:val="24"/>
              </w:rPr>
              <w:t>符合新一轮土地利用总体规划</w:t>
            </w:r>
            <w:r>
              <w:rPr>
                <w:rFonts w:hint="eastAsia"/>
                <w:sz w:val="24"/>
              </w:rPr>
              <w:t>。</w:t>
            </w:r>
          </w:p>
          <w:p>
            <w:pPr>
              <w:adjustRightInd w:val="0"/>
              <w:snapToGrid w:val="0"/>
              <w:spacing w:line="360" w:lineRule="auto"/>
              <w:ind w:firstLine="480" w:firstLineChars="200"/>
              <w:rPr>
                <w:rFonts w:hint="eastAsia"/>
                <w:bCs/>
                <w:sz w:val="24"/>
              </w:rPr>
            </w:pPr>
            <w:r>
              <w:rPr>
                <w:bCs/>
                <w:sz w:val="24"/>
              </w:rPr>
              <w:t>项目</w:t>
            </w:r>
            <w:r>
              <w:rPr>
                <w:rFonts w:hint="eastAsia"/>
                <w:bCs/>
                <w:sz w:val="24"/>
              </w:rPr>
              <w:t>运营</w:t>
            </w:r>
            <w:r>
              <w:rPr>
                <w:bCs/>
                <w:sz w:val="24"/>
              </w:rPr>
              <w:t>期间产生的废气、废水、噪声和固体废物等方面环境影响，在采用相应的污染防治措施后，均可达标排放，对周围环境影响不大。</w:t>
            </w:r>
          </w:p>
          <w:p>
            <w:pPr>
              <w:adjustRightInd w:val="0"/>
              <w:snapToGrid w:val="0"/>
              <w:spacing w:line="360" w:lineRule="auto"/>
              <w:ind w:firstLine="480" w:firstLineChars="200"/>
              <w:rPr>
                <w:sz w:val="24"/>
              </w:rPr>
            </w:pPr>
            <w:r>
              <w:rPr>
                <w:rFonts w:hint="eastAsia"/>
                <w:sz w:val="24"/>
              </w:rPr>
              <w:t>项目</w:t>
            </w:r>
            <w:r>
              <w:rPr>
                <w:sz w:val="24"/>
              </w:rPr>
              <w:t>厂址周围500m范围内无自然保护区、风景名胜区、生态环境敏感区等敏感目标。</w:t>
            </w:r>
          </w:p>
          <w:p>
            <w:pPr>
              <w:adjustRightInd w:val="0"/>
              <w:snapToGrid w:val="0"/>
              <w:spacing w:line="360" w:lineRule="auto"/>
              <w:ind w:firstLine="480" w:firstLineChars="200"/>
              <w:rPr>
                <w:rFonts w:hint="eastAsia"/>
                <w:sz w:val="24"/>
              </w:rPr>
            </w:pPr>
            <w:r>
              <w:rPr>
                <w:sz w:val="24"/>
              </w:rPr>
              <w:t>综上所述，项目选址可行。</w:t>
            </w:r>
          </w:p>
          <w:p>
            <w:pPr>
              <w:spacing w:line="520" w:lineRule="exact"/>
              <w:rPr>
                <w:b/>
                <w:sz w:val="24"/>
              </w:rPr>
            </w:pPr>
            <w:r>
              <w:rPr>
                <w:b/>
                <w:sz w:val="24"/>
              </w:rPr>
              <w:t>3、环境质量现状评价结论</w:t>
            </w:r>
          </w:p>
          <w:p>
            <w:pPr>
              <w:adjustRightInd w:val="0"/>
              <w:snapToGrid w:val="0"/>
              <w:spacing w:line="520" w:lineRule="exact"/>
              <w:ind w:firstLine="480" w:firstLineChars="200"/>
              <w:rPr>
                <w:sz w:val="24"/>
              </w:rPr>
            </w:pPr>
            <w:r>
              <w:rPr>
                <w:rFonts w:hint="eastAsia"/>
                <w:sz w:val="24"/>
              </w:rPr>
              <w:t>环境空气：</w:t>
            </w:r>
            <w:r>
              <w:rPr>
                <w:rFonts w:hint="eastAsia"/>
                <w:sz w:val="24"/>
                <w:szCs w:val="28"/>
              </w:rPr>
              <w:t>项目所在区域环境空气中的</w:t>
            </w:r>
            <w:r>
              <w:rPr>
                <w:sz w:val="24"/>
                <w:szCs w:val="28"/>
              </w:rPr>
              <w:t xml:space="preserve"> NO</w:t>
            </w:r>
            <w:r>
              <w:rPr>
                <w:sz w:val="24"/>
                <w:szCs w:val="28"/>
                <w:vertAlign w:val="subscript"/>
              </w:rPr>
              <w:t>2</w:t>
            </w:r>
            <w:r>
              <w:rPr>
                <w:rFonts w:hint="eastAsia"/>
                <w:sz w:val="24"/>
                <w:szCs w:val="28"/>
              </w:rPr>
              <w:t>、</w:t>
            </w:r>
            <w:r>
              <w:rPr>
                <w:sz w:val="24"/>
                <w:szCs w:val="28"/>
              </w:rPr>
              <w:t>PM</w:t>
            </w:r>
            <w:r>
              <w:rPr>
                <w:sz w:val="24"/>
                <w:szCs w:val="28"/>
                <w:vertAlign w:val="subscript"/>
              </w:rPr>
              <w:t>10</w:t>
            </w:r>
            <w:r>
              <w:rPr>
                <w:rFonts w:hint="eastAsia"/>
                <w:sz w:val="24"/>
                <w:szCs w:val="28"/>
              </w:rPr>
              <w:t>和</w:t>
            </w:r>
            <w:r>
              <w:rPr>
                <w:sz w:val="24"/>
                <w:szCs w:val="28"/>
              </w:rPr>
              <w:t xml:space="preserve"> SO</w:t>
            </w:r>
            <w:r>
              <w:rPr>
                <w:sz w:val="24"/>
                <w:szCs w:val="28"/>
                <w:vertAlign w:val="subscript"/>
              </w:rPr>
              <w:t>2</w:t>
            </w:r>
            <w:r>
              <w:rPr>
                <w:rFonts w:hint="eastAsia"/>
                <w:sz w:val="24"/>
                <w:szCs w:val="28"/>
              </w:rPr>
              <w:t>浓度均能满足《环境空气质量标准》（</w:t>
            </w:r>
            <w:r>
              <w:rPr>
                <w:sz w:val="24"/>
                <w:szCs w:val="28"/>
              </w:rPr>
              <w:t>GB3095-2012</w:t>
            </w:r>
            <w:r>
              <w:rPr>
                <w:rFonts w:hint="eastAsia"/>
                <w:sz w:val="24"/>
                <w:szCs w:val="28"/>
              </w:rPr>
              <w:t>）二级标准要求，表明区域环境空气质量现状较好</w:t>
            </w:r>
            <w:r>
              <w:rPr>
                <w:sz w:val="24"/>
              </w:rPr>
              <w:t>。</w:t>
            </w:r>
          </w:p>
          <w:p>
            <w:pPr>
              <w:adjustRightInd w:val="0"/>
              <w:snapToGrid w:val="0"/>
              <w:spacing w:line="520" w:lineRule="exact"/>
              <w:ind w:firstLine="480" w:firstLineChars="200"/>
              <w:rPr>
                <w:rFonts w:hint="eastAsia"/>
                <w:bCs/>
                <w:sz w:val="24"/>
              </w:rPr>
            </w:pPr>
            <w:r>
              <w:rPr>
                <w:rFonts w:hint="eastAsia"/>
                <w:sz w:val="24"/>
              </w:rPr>
              <w:t>地表水：淮河淮滨水文站</w:t>
            </w:r>
            <w:r>
              <w:rPr>
                <w:rFonts w:hint="eastAsia" w:hAnsi="宋体"/>
                <w:sz w:val="24"/>
              </w:rPr>
              <w:t>断面</w:t>
            </w:r>
            <w:r>
              <w:rPr>
                <w:rFonts w:hAnsi="宋体"/>
                <w:sz w:val="24"/>
              </w:rPr>
              <w:t>COD</w:t>
            </w:r>
            <w:r>
              <w:rPr>
                <w:rFonts w:hint="eastAsia" w:hAnsi="宋体"/>
                <w:sz w:val="24"/>
              </w:rPr>
              <w:t>、氨氮均能满足《地表水环境质量标准》（</w:t>
            </w:r>
            <w:r>
              <w:rPr>
                <w:rFonts w:hAnsi="宋体"/>
                <w:sz w:val="24"/>
              </w:rPr>
              <w:t>GB3838-2002</w:t>
            </w:r>
            <w:r>
              <w:rPr>
                <w:rFonts w:hint="eastAsia" w:hAnsi="宋体"/>
                <w:sz w:val="24"/>
              </w:rPr>
              <w:t>）Ⅲ类标准要求，</w:t>
            </w:r>
            <w:r>
              <w:rPr>
                <w:rFonts w:hint="eastAsia"/>
                <w:sz w:val="24"/>
              </w:rPr>
              <w:t>区域地表水环境质量状况良好</w:t>
            </w:r>
            <w:r>
              <w:rPr>
                <w:rFonts w:hint="eastAsia" w:hAnsi="宋体"/>
                <w:sz w:val="24"/>
              </w:rPr>
              <w:t>。</w:t>
            </w:r>
          </w:p>
          <w:p>
            <w:pPr>
              <w:adjustRightInd w:val="0"/>
              <w:snapToGrid w:val="0"/>
              <w:spacing w:line="520" w:lineRule="exact"/>
              <w:ind w:firstLine="480" w:firstLineChars="200"/>
              <w:rPr>
                <w:rFonts w:hint="eastAsia"/>
                <w:sz w:val="24"/>
              </w:rPr>
            </w:pPr>
            <w:r>
              <w:rPr>
                <w:rFonts w:hint="eastAsia"/>
                <w:sz w:val="24"/>
              </w:rPr>
              <w:t>声环境：经监测，项目所在区域昼夜</w:t>
            </w:r>
            <w:r>
              <w:rPr>
                <w:sz w:val="24"/>
              </w:rPr>
              <w:t>噪声均能满足《声环境质量标准》（GB3096-2008）</w:t>
            </w:r>
            <w:r>
              <w:rPr>
                <w:rFonts w:hint="eastAsia"/>
                <w:sz w:val="24"/>
              </w:rPr>
              <w:t>相关</w:t>
            </w:r>
            <w:r>
              <w:rPr>
                <w:sz w:val="24"/>
              </w:rPr>
              <w:t>标准</w:t>
            </w:r>
            <w:r>
              <w:rPr>
                <w:rFonts w:hint="eastAsia"/>
                <w:sz w:val="24"/>
              </w:rPr>
              <w:t>要求</w:t>
            </w:r>
            <w:r>
              <w:rPr>
                <w:sz w:val="24"/>
              </w:rPr>
              <w:t>。</w:t>
            </w:r>
          </w:p>
          <w:p>
            <w:pPr>
              <w:adjustRightInd w:val="0"/>
              <w:snapToGrid w:val="0"/>
              <w:spacing w:line="520" w:lineRule="exact"/>
              <w:ind w:firstLine="480" w:firstLineChars="200"/>
              <w:rPr>
                <w:bCs/>
                <w:kern w:val="0"/>
                <w:sz w:val="24"/>
              </w:rPr>
            </w:pPr>
            <w:r>
              <w:rPr>
                <w:rFonts w:hint="eastAsia"/>
                <w:bCs/>
                <w:kern w:val="0"/>
                <w:sz w:val="24"/>
              </w:rPr>
              <w:t>项目所在区域环境质量现状较好</w:t>
            </w:r>
            <w:r>
              <w:rPr>
                <w:bCs/>
                <w:kern w:val="0"/>
                <w:sz w:val="24"/>
              </w:rPr>
              <w:t>。</w:t>
            </w:r>
          </w:p>
          <w:p>
            <w:pPr>
              <w:spacing w:line="520" w:lineRule="exact"/>
              <w:rPr>
                <w:rFonts w:hint="eastAsia"/>
                <w:b/>
                <w:bCs/>
                <w:sz w:val="24"/>
              </w:rPr>
            </w:pPr>
            <w:r>
              <w:rPr>
                <w:rFonts w:hint="eastAsia"/>
                <w:b/>
                <w:bCs/>
                <w:sz w:val="24"/>
              </w:rPr>
              <w:t>4</w:t>
            </w:r>
            <w:r>
              <w:rPr>
                <w:b/>
                <w:bCs/>
                <w:sz w:val="24"/>
              </w:rPr>
              <w:t>、</w:t>
            </w:r>
            <w:r>
              <w:rPr>
                <w:rFonts w:hint="eastAsia"/>
                <w:b/>
                <w:sz w:val="24"/>
              </w:rPr>
              <w:t>污染治理措施及</w:t>
            </w:r>
            <w:r>
              <w:rPr>
                <w:b/>
                <w:sz w:val="24"/>
              </w:rPr>
              <w:t>环境影响分析</w:t>
            </w:r>
          </w:p>
          <w:p>
            <w:pPr>
              <w:adjustRightInd w:val="0"/>
              <w:snapToGrid w:val="0"/>
              <w:spacing w:line="520" w:lineRule="exact"/>
              <w:ind w:firstLine="480" w:firstLineChars="200"/>
              <w:rPr>
                <w:rFonts w:hint="eastAsia"/>
                <w:sz w:val="24"/>
              </w:rPr>
            </w:pPr>
            <w:r>
              <w:rPr>
                <w:rFonts w:hint="eastAsia"/>
                <w:sz w:val="24"/>
              </w:rPr>
              <w:t>（1）水环境影响分析结论</w:t>
            </w:r>
          </w:p>
          <w:p>
            <w:pPr>
              <w:adjustRightInd w:val="0"/>
              <w:snapToGrid w:val="0"/>
              <w:spacing w:line="520" w:lineRule="exact"/>
              <w:ind w:firstLine="480" w:firstLineChars="200"/>
              <w:rPr>
                <w:rFonts w:hint="eastAsia"/>
                <w:sz w:val="24"/>
              </w:rPr>
            </w:pPr>
            <w:r>
              <w:rPr>
                <w:rFonts w:hint="eastAsia"/>
                <w:sz w:val="24"/>
              </w:rPr>
              <w:t>本工程为天然气输配工程，管道正常运行时没有生产废水产生。</w:t>
            </w:r>
          </w:p>
          <w:p>
            <w:pPr>
              <w:adjustRightInd w:val="0"/>
              <w:snapToGrid w:val="0"/>
              <w:spacing w:line="520" w:lineRule="exact"/>
              <w:ind w:firstLine="480" w:firstLineChars="200"/>
              <w:rPr>
                <w:rFonts w:hint="eastAsia"/>
                <w:sz w:val="24"/>
              </w:rPr>
            </w:pPr>
            <w:r>
              <w:rPr>
                <w:rFonts w:hint="eastAsia"/>
                <w:sz w:val="24"/>
              </w:rPr>
              <w:t>（2）大气环境影响分析结论</w:t>
            </w:r>
          </w:p>
          <w:p>
            <w:pPr>
              <w:adjustRightInd w:val="0"/>
              <w:snapToGrid w:val="0"/>
              <w:spacing w:line="520" w:lineRule="exact"/>
              <w:ind w:firstLine="480" w:firstLineChars="200"/>
              <w:rPr>
                <w:rFonts w:hint="eastAsia"/>
                <w:sz w:val="24"/>
              </w:rPr>
            </w:pPr>
            <w:r>
              <w:rPr>
                <w:rFonts w:hint="eastAsia"/>
                <w:sz w:val="24"/>
              </w:rPr>
              <w:t>本工程为天然气管道工程，正常情况下，输气管道密闭运行，无废气排放，因此不会造成空气污染。只有在管道检修等非正常工况下，会有少量天然气在管道中释放出来，由于管道检修一次泄露量很少，对其采取收集就地燃烧的措施处理，基本不会对环境空气质量产生影响。</w:t>
            </w:r>
          </w:p>
          <w:p>
            <w:pPr>
              <w:adjustRightInd w:val="0"/>
              <w:snapToGrid w:val="0"/>
              <w:spacing w:line="520" w:lineRule="exact"/>
              <w:ind w:firstLine="480" w:firstLineChars="200"/>
              <w:rPr>
                <w:rFonts w:hint="eastAsia"/>
                <w:sz w:val="24"/>
              </w:rPr>
            </w:pPr>
            <w:r>
              <w:rPr>
                <w:rFonts w:hint="eastAsia"/>
                <w:sz w:val="24"/>
              </w:rPr>
              <w:t>（3）声环境影响评价结论：</w:t>
            </w:r>
          </w:p>
          <w:p>
            <w:pPr>
              <w:adjustRightInd w:val="0"/>
              <w:snapToGrid w:val="0"/>
              <w:spacing w:line="520" w:lineRule="exact"/>
              <w:ind w:firstLine="480" w:firstLineChars="200"/>
              <w:rPr>
                <w:rFonts w:hint="eastAsia"/>
                <w:sz w:val="24"/>
              </w:rPr>
            </w:pPr>
            <w:r>
              <w:rPr>
                <w:rFonts w:hint="eastAsia"/>
                <w:sz w:val="24"/>
              </w:rPr>
              <w:t>管道正常运行过程无噪声产生。</w:t>
            </w:r>
          </w:p>
          <w:p>
            <w:pPr>
              <w:adjustRightInd w:val="0"/>
              <w:snapToGrid w:val="0"/>
              <w:spacing w:line="520" w:lineRule="exact"/>
              <w:ind w:firstLine="480" w:firstLineChars="200"/>
              <w:rPr>
                <w:rFonts w:hint="eastAsia"/>
                <w:sz w:val="24"/>
              </w:rPr>
            </w:pPr>
            <w:r>
              <w:rPr>
                <w:rFonts w:hint="eastAsia"/>
                <w:sz w:val="24"/>
              </w:rPr>
              <w:t>（4）固废环境影响分析结论</w:t>
            </w:r>
          </w:p>
          <w:p>
            <w:pPr>
              <w:adjustRightInd w:val="0"/>
              <w:snapToGrid w:val="0"/>
              <w:spacing w:line="520" w:lineRule="exact"/>
              <w:ind w:firstLine="480" w:firstLineChars="200"/>
              <w:rPr>
                <w:rFonts w:hint="eastAsia"/>
                <w:sz w:val="24"/>
              </w:rPr>
            </w:pPr>
            <w:r>
              <w:rPr>
                <w:rFonts w:hint="eastAsia"/>
                <w:sz w:val="24"/>
              </w:rPr>
              <w:t>本项目营运期无固体废物产生。</w:t>
            </w:r>
          </w:p>
          <w:p>
            <w:pPr>
              <w:adjustRightInd w:val="0"/>
              <w:snapToGrid w:val="0"/>
              <w:spacing w:line="520" w:lineRule="exact"/>
              <w:ind w:firstLine="480" w:firstLineChars="200"/>
              <w:rPr>
                <w:rFonts w:hint="eastAsia"/>
                <w:sz w:val="24"/>
              </w:rPr>
            </w:pPr>
            <w:r>
              <w:rPr>
                <w:rFonts w:hint="eastAsia"/>
                <w:sz w:val="24"/>
              </w:rPr>
              <w:t>（5）生态和社会影响评价结论</w:t>
            </w:r>
          </w:p>
          <w:p>
            <w:pPr>
              <w:adjustRightInd w:val="0"/>
              <w:snapToGrid w:val="0"/>
              <w:spacing w:line="520" w:lineRule="exact"/>
              <w:ind w:firstLine="480" w:firstLineChars="200"/>
              <w:rPr>
                <w:rFonts w:hint="eastAsia"/>
                <w:sz w:val="24"/>
              </w:rPr>
            </w:pPr>
            <w:r>
              <w:rPr>
                <w:rFonts w:hint="eastAsia"/>
                <w:sz w:val="24"/>
              </w:rPr>
              <w:t>本工程的管道工程建成投入运行后，管沟开挖部分通过植被恢复可大大降低项目建设对陆生生态的影响，对城区道路的影响也即消除。供应的天然气属清洁能源，替代部分重油、煤等污染较大的能源后，可减少大气污染物的排放，间接降低大气污染物排放对生态环境的影响。但天然气管道属安全和消防重点保护对象，管线附近用地会受到限制，对城镇发展构成一定影响。</w:t>
            </w:r>
          </w:p>
          <w:p>
            <w:pPr>
              <w:adjustRightInd w:val="0"/>
              <w:snapToGrid w:val="0"/>
              <w:spacing w:line="520" w:lineRule="exact"/>
              <w:rPr>
                <w:rFonts w:hint="eastAsia"/>
                <w:sz w:val="24"/>
              </w:rPr>
            </w:pPr>
            <w:r>
              <w:rPr>
                <w:rFonts w:hint="eastAsia"/>
                <w:sz w:val="24"/>
              </w:rPr>
              <w:t>采用定向钻法建设河流穿越工程，建成后不会对河流水生生物、水动力、河堤安全和水土流失构成不利影响。</w:t>
            </w:r>
          </w:p>
          <w:p>
            <w:pPr>
              <w:adjustRightInd w:val="0"/>
              <w:snapToGrid w:val="0"/>
              <w:spacing w:line="520" w:lineRule="exact"/>
              <w:rPr>
                <w:b/>
                <w:sz w:val="24"/>
              </w:rPr>
            </w:pPr>
            <w:r>
              <w:rPr>
                <w:rFonts w:hint="eastAsia"/>
                <w:b/>
                <w:sz w:val="24"/>
              </w:rPr>
              <w:t>5</w:t>
            </w:r>
            <w:r>
              <w:rPr>
                <w:b/>
                <w:sz w:val="24"/>
              </w:rPr>
              <w:t>、达标排放与总量控制</w:t>
            </w:r>
          </w:p>
          <w:p>
            <w:pPr>
              <w:spacing w:line="520" w:lineRule="exact"/>
              <w:ind w:firstLine="420" w:firstLineChars="200"/>
              <w:rPr>
                <w:rFonts w:hint="eastAsia" w:eastAsia="宋体"/>
                <w:lang w:val="en-US" w:eastAsia="zh-CN"/>
              </w:rPr>
            </w:pPr>
            <w:r>
              <w:rPr>
                <w:rFonts w:hint="eastAsia" w:eastAsia="宋体"/>
                <w:lang w:val="en-US" w:eastAsia="zh-CN"/>
              </w:rPr>
              <w:t>本项目不设总量控制指标。</w:t>
            </w:r>
          </w:p>
          <w:p>
            <w:pPr>
              <w:spacing w:line="520" w:lineRule="exact"/>
              <w:ind w:firstLine="482" w:firstLineChars="200"/>
              <w:rPr>
                <w:b/>
                <w:sz w:val="24"/>
              </w:rPr>
            </w:pPr>
            <w:r>
              <w:rPr>
                <w:b/>
                <w:sz w:val="24"/>
              </w:rPr>
              <w:t>综上所述，本项目符合国家产业政策要求，项目运行过程，要严格执行有关环保法规 和“三同时”制度，认真落实本报告提出的各项污染防治措施。项目生产过程中产生的废气和噪声均能实现达标排放，固体废物、废水得到合理的处置，而且本项目对所在区域的经济发展起到一定的促进作用。从环境保护角度分析，本项目可行。</w:t>
            </w:r>
          </w:p>
          <w:p>
            <w:pPr>
              <w:spacing w:line="520" w:lineRule="exact"/>
              <w:rPr>
                <w:rFonts w:eastAsia="黑体"/>
                <w:bCs/>
                <w:sz w:val="24"/>
              </w:rPr>
            </w:pPr>
            <w:r>
              <w:rPr>
                <w:rFonts w:eastAsia="黑体"/>
                <w:bCs/>
                <w:sz w:val="24"/>
              </w:rPr>
              <w:t>建议：</w:t>
            </w:r>
          </w:p>
          <w:p>
            <w:pPr>
              <w:spacing w:line="520" w:lineRule="exact"/>
              <w:ind w:firstLine="480" w:firstLineChars="200"/>
              <w:rPr>
                <w:rFonts w:hint="eastAsia"/>
                <w:bCs/>
                <w:sz w:val="24"/>
              </w:rPr>
            </w:pPr>
            <w:r>
              <w:rPr>
                <w:bCs/>
                <w:sz w:val="24"/>
              </w:rPr>
              <w:t xml:space="preserve">1、严格落实“三同时”制度，确保污染治理设施与主体工程同时设计，同时施工， 同时投产； </w:t>
            </w:r>
          </w:p>
          <w:p>
            <w:pPr>
              <w:spacing w:line="520" w:lineRule="exact"/>
              <w:ind w:firstLine="480" w:firstLineChars="200"/>
              <w:rPr>
                <w:bCs/>
                <w:sz w:val="24"/>
              </w:rPr>
            </w:pPr>
            <w:r>
              <w:rPr>
                <w:bCs/>
                <w:sz w:val="24"/>
              </w:rPr>
              <w:t>2、严格执行环评中所提出的各项污染防治措施，加强劳动保护措施；</w:t>
            </w:r>
          </w:p>
          <w:p>
            <w:pPr>
              <w:spacing w:line="520" w:lineRule="exact"/>
              <w:ind w:firstLine="480" w:firstLineChars="200"/>
              <w:rPr>
                <w:bCs/>
                <w:sz w:val="24"/>
              </w:rPr>
            </w:pPr>
            <w:r>
              <w:rPr>
                <w:bCs/>
                <w:sz w:val="24"/>
              </w:rPr>
              <w:t>3、加强环境管理，对各环保设施加强日常维修，确保正常运行</w:t>
            </w:r>
            <w:r>
              <w:rPr>
                <w:rFonts w:hint="eastAsia"/>
                <w:bCs/>
                <w:sz w:val="24"/>
              </w:rPr>
              <w:t>。</w:t>
            </w:r>
          </w:p>
          <w:p>
            <w:pPr>
              <w:spacing w:line="520" w:lineRule="exact"/>
              <w:ind w:firstLine="480" w:firstLineChars="200"/>
              <w:rPr>
                <w:bCs/>
                <w:sz w:val="24"/>
              </w:rPr>
            </w:pPr>
          </w:p>
          <w:p>
            <w:pPr>
              <w:spacing w:line="520" w:lineRule="exact"/>
              <w:ind w:firstLine="480" w:firstLineChars="200"/>
              <w:rPr>
                <w:bCs/>
                <w:sz w:val="24"/>
              </w:rPr>
            </w:pPr>
          </w:p>
          <w:p>
            <w:pPr>
              <w:spacing w:line="520" w:lineRule="exact"/>
              <w:ind w:firstLine="480" w:firstLineChars="200"/>
              <w:rPr>
                <w:bCs/>
                <w:sz w:val="24"/>
              </w:rPr>
            </w:pPr>
          </w:p>
          <w:p>
            <w:pPr>
              <w:spacing w:line="520" w:lineRule="exact"/>
              <w:ind w:firstLine="480" w:firstLineChars="200"/>
              <w:rPr>
                <w:bCs/>
                <w:sz w:val="24"/>
              </w:rPr>
            </w:pPr>
          </w:p>
          <w:p>
            <w:pPr>
              <w:spacing w:line="520" w:lineRule="exact"/>
              <w:ind w:firstLine="480" w:firstLineChars="200"/>
              <w:rPr>
                <w:bCs/>
                <w:sz w:val="24"/>
              </w:rPr>
            </w:pPr>
          </w:p>
          <w:p>
            <w:pPr>
              <w:spacing w:line="520" w:lineRule="exact"/>
              <w:rPr>
                <w:rFonts w:hint="eastAsia"/>
                <w:bCs/>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9" w:type="dxa"/>
          <w:trHeight w:val="6846" w:hRule="atLeast"/>
          <w:jc w:val="center"/>
        </w:trPr>
        <w:tc>
          <w:tcPr>
            <w:tcW w:w="9401" w:type="dxa"/>
            <w:noWrap w:val="0"/>
            <w:vAlign w:val="top"/>
          </w:tcPr>
          <w:p>
            <w:pPr>
              <w:spacing w:before="156" w:beforeLines="50" w:line="480" w:lineRule="exact"/>
              <w:rPr>
                <w:sz w:val="28"/>
                <w:szCs w:val="28"/>
              </w:rPr>
            </w:pPr>
            <w:r>
              <w:rPr>
                <w:rFonts w:hint="eastAsia"/>
              </w:rPr>
              <w:t xml:space="preserve">  </w:t>
            </w:r>
            <w:r>
              <w:rPr>
                <w:sz w:val="28"/>
                <w:szCs w:val="28"/>
              </w:rPr>
              <w:t>预审意见：</w:t>
            </w: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ind w:firstLine="319" w:firstLineChars="114"/>
              <w:rPr>
                <w:sz w:val="28"/>
                <w:szCs w:val="28"/>
              </w:rPr>
            </w:pPr>
          </w:p>
          <w:p>
            <w:pPr>
              <w:spacing w:line="480" w:lineRule="exact"/>
              <w:rPr>
                <w:sz w:val="28"/>
                <w:szCs w:val="28"/>
              </w:rPr>
            </w:pPr>
          </w:p>
          <w:p>
            <w:pPr>
              <w:spacing w:after="156" w:afterLines="50" w:line="480" w:lineRule="exact"/>
              <w:ind w:firstLine="6059" w:firstLineChars="2164"/>
              <w:rPr>
                <w:sz w:val="28"/>
                <w:szCs w:val="28"/>
              </w:rPr>
            </w:pPr>
            <w:r>
              <w:rPr>
                <w:sz w:val="28"/>
                <w:szCs w:val="28"/>
              </w:rPr>
              <w:t>公   章</w:t>
            </w:r>
          </w:p>
          <w:p>
            <w:pPr>
              <w:spacing w:line="480" w:lineRule="exact"/>
              <w:ind w:firstLine="280" w:firstLineChars="100"/>
              <w:rPr>
                <w:sz w:val="30"/>
              </w:rPr>
            </w:pPr>
            <w:r>
              <w:rPr>
                <w:sz w:val="28"/>
                <w:szCs w:val="28"/>
              </w:rPr>
              <w:t>经办人：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gridAfter w:val="1"/>
          <w:wAfter w:w="69" w:type="dxa"/>
          <w:trHeight w:val="6571" w:hRule="atLeast"/>
          <w:jc w:val="center"/>
        </w:trPr>
        <w:tc>
          <w:tcPr>
            <w:tcW w:w="9401" w:type="dxa"/>
            <w:noWrap w:val="0"/>
            <w:vAlign w:val="top"/>
          </w:tcPr>
          <w:p>
            <w:pPr>
              <w:spacing w:line="480" w:lineRule="exact"/>
              <w:rPr>
                <w:sz w:val="28"/>
              </w:rPr>
            </w:pPr>
            <w:r>
              <w:rPr>
                <w:sz w:val="28"/>
              </w:rPr>
              <w:t>下一级环境保护行政主管部门审查意见：</w:t>
            </w:r>
          </w:p>
          <w:p>
            <w:pPr>
              <w:spacing w:line="480" w:lineRule="exact"/>
              <w:rPr>
                <w:sz w:val="28"/>
              </w:rPr>
            </w:pPr>
          </w:p>
          <w:p>
            <w:pPr>
              <w:spacing w:line="480" w:lineRule="exact"/>
              <w:ind w:firstLine="319" w:firstLineChars="114"/>
              <w:rPr>
                <w:sz w:val="28"/>
              </w:rPr>
            </w:pPr>
          </w:p>
          <w:p>
            <w:pPr>
              <w:spacing w:line="480" w:lineRule="exact"/>
              <w:ind w:firstLine="319" w:firstLineChars="114"/>
              <w:rPr>
                <w:sz w:val="28"/>
              </w:rPr>
            </w:pPr>
          </w:p>
          <w:p>
            <w:pPr>
              <w:spacing w:line="480" w:lineRule="exact"/>
              <w:ind w:firstLine="319" w:firstLineChars="114"/>
              <w:rPr>
                <w:sz w:val="28"/>
              </w:rPr>
            </w:pPr>
          </w:p>
          <w:p>
            <w:pPr>
              <w:spacing w:line="480" w:lineRule="exact"/>
              <w:ind w:firstLine="319" w:firstLineChars="114"/>
              <w:rPr>
                <w:sz w:val="28"/>
              </w:rPr>
            </w:pPr>
          </w:p>
          <w:p>
            <w:pPr>
              <w:spacing w:line="480" w:lineRule="exact"/>
              <w:ind w:firstLine="319" w:firstLineChars="114"/>
              <w:rPr>
                <w:sz w:val="28"/>
              </w:rPr>
            </w:pPr>
          </w:p>
          <w:p>
            <w:pPr>
              <w:spacing w:line="480" w:lineRule="exact"/>
              <w:ind w:firstLine="319" w:firstLineChars="114"/>
              <w:rPr>
                <w:sz w:val="28"/>
              </w:rPr>
            </w:pPr>
          </w:p>
          <w:p>
            <w:pPr>
              <w:spacing w:line="480" w:lineRule="exact"/>
              <w:rPr>
                <w:sz w:val="28"/>
              </w:rPr>
            </w:pPr>
          </w:p>
          <w:p>
            <w:pPr>
              <w:spacing w:line="480" w:lineRule="exact"/>
              <w:ind w:firstLine="6753" w:firstLineChars="2412"/>
              <w:rPr>
                <w:sz w:val="28"/>
              </w:rPr>
            </w:pPr>
          </w:p>
          <w:p>
            <w:pPr>
              <w:spacing w:after="156" w:afterLines="50" w:line="480" w:lineRule="exact"/>
              <w:ind w:firstLine="6753" w:firstLineChars="2412"/>
              <w:rPr>
                <w:sz w:val="28"/>
              </w:rPr>
            </w:pPr>
            <w:r>
              <w:rPr>
                <w:sz w:val="28"/>
              </w:rPr>
              <w:t>公  章</w:t>
            </w:r>
          </w:p>
          <w:p>
            <w:pPr>
              <w:spacing w:line="480" w:lineRule="exact"/>
              <w:ind w:firstLine="280" w:firstLineChars="100"/>
              <w:rPr>
                <w:sz w:val="28"/>
              </w:rPr>
            </w:pPr>
            <w:r>
              <w:rPr>
                <w:sz w:val="28"/>
              </w:rPr>
              <w:t>经办人：                                  年    月    日</w:t>
            </w:r>
          </w:p>
        </w:tc>
      </w:tr>
    </w:tbl>
    <w:p>
      <w:pPr>
        <w:rPr>
          <w:vanish/>
        </w:rPr>
      </w:pPr>
    </w:p>
    <w:tbl>
      <w:tblPr>
        <w:tblStyle w:val="15"/>
        <w:tblpPr w:leftFromText="180" w:rightFromText="180" w:vertAnchor="text" w:horzAnchor="margin" w:tblpXSpec="center" w:tblpY="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51" w:hRule="atLeast"/>
        </w:trPr>
        <w:tc>
          <w:tcPr>
            <w:tcW w:w="9286" w:type="dxa"/>
            <w:noWrap w:val="0"/>
            <w:vAlign w:val="top"/>
          </w:tcPr>
          <w:p>
            <w:pPr>
              <w:spacing w:line="480" w:lineRule="exact"/>
              <w:rPr>
                <w:sz w:val="28"/>
                <w:szCs w:val="28"/>
              </w:rPr>
            </w:pPr>
            <w:r>
              <w:rPr>
                <w:sz w:val="28"/>
                <w:szCs w:val="28"/>
              </w:rPr>
              <w:t>审批意见：</w:t>
            </w: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ind w:firstLine="358" w:firstLineChars="128"/>
              <w:rPr>
                <w:sz w:val="28"/>
                <w:szCs w:val="28"/>
              </w:rPr>
            </w:pPr>
          </w:p>
          <w:p>
            <w:pPr>
              <w:spacing w:line="480" w:lineRule="exact"/>
              <w:rPr>
                <w:sz w:val="28"/>
                <w:szCs w:val="28"/>
              </w:rPr>
            </w:pPr>
          </w:p>
          <w:p>
            <w:pPr>
              <w:spacing w:line="480" w:lineRule="exact"/>
              <w:rPr>
                <w:sz w:val="28"/>
                <w:szCs w:val="28"/>
              </w:rPr>
            </w:pPr>
          </w:p>
          <w:p>
            <w:pPr>
              <w:spacing w:line="480" w:lineRule="exact"/>
              <w:rPr>
                <w:sz w:val="28"/>
                <w:szCs w:val="28"/>
              </w:rPr>
            </w:pPr>
          </w:p>
          <w:p>
            <w:pPr>
              <w:spacing w:line="480" w:lineRule="exact"/>
              <w:rPr>
                <w:sz w:val="28"/>
                <w:szCs w:val="28"/>
              </w:rPr>
            </w:pPr>
          </w:p>
          <w:p>
            <w:pPr>
              <w:spacing w:line="480" w:lineRule="exact"/>
              <w:rPr>
                <w:sz w:val="28"/>
                <w:szCs w:val="28"/>
              </w:rPr>
            </w:pPr>
          </w:p>
          <w:p>
            <w:pPr>
              <w:spacing w:after="156" w:afterLines="50" w:line="480" w:lineRule="exact"/>
              <w:ind w:firstLine="6935" w:firstLineChars="2477"/>
              <w:rPr>
                <w:sz w:val="28"/>
                <w:szCs w:val="28"/>
              </w:rPr>
            </w:pPr>
            <w:r>
              <w:rPr>
                <w:sz w:val="28"/>
                <w:szCs w:val="28"/>
              </w:rPr>
              <w:t>公  章</w:t>
            </w:r>
          </w:p>
          <w:p>
            <w:pPr>
              <w:spacing w:line="480" w:lineRule="exact"/>
              <w:ind w:firstLine="420" w:firstLineChars="150"/>
              <w:rPr>
                <w:sz w:val="28"/>
              </w:rPr>
            </w:pPr>
            <w:r>
              <w:rPr>
                <w:sz w:val="28"/>
                <w:szCs w:val="28"/>
              </w:rPr>
              <w:t>经办人：                                  年    月    日</w:t>
            </w:r>
          </w:p>
        </w:tc>
      </w:tr>
    </w:tbl>
    <w:p>
      <w:pPr>
        <w:spacing w:before="156" w:beforeLines="50" w:line="480" w:lineRule="exact"/>
        <w:rPr>
          <w:rFonts w:hint="eastAsia"/>
        </w:rPr>
        <w:sectPr>
          <w:pgSz w:w="11906" w:h="16838"/>
          <w:pgMar w:top="1440" w:right="1800" w:bottom="1440" w:left="1800" w:header="851" w:footer="992" w:gutter="0"/>
          <w:cols w:space="425" w:num="1"/>
          <w:docGrid w:type="lines" w:linePitch="312" w:charSpace="0"/>
        </w:sectPr>
      </w:pPr>
      <w:r>
        <w:rPr>
          <w:rFonts w:hint="eastAsia"/>
        </w:rPr>
        <w:t xml:space="preserve">                                           </w:t>
      </w:r>
    </w:p>
    <w:p>
      <w:r>
        <w:drawing>
          <wp:anchor distT="0" distB="0" distL="114300" distR="114300" simplePos="0" relativeHeight="384269312" behindDoc="1" locked="0" layoutInCell="1" allowOverlap="1">
            <wp:simplePos x="0" y="0"/>
            <wp:positionH relativeFrom="column">
              <wp:posOffset>188595</wp:posOffset>
            </wp:positionH>
            <wp:positionV relativeFrom="paragraph">
              <wp:posOffset>-24765</wp:posOffset>
            </wp:positionV>
            <wp:extent cx="8476615" cy="4819650"/>
            <wp:effectExtent l="9525" t="9525" r="10160" b="9525"/>
            <wp:wrapNone/>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3"/>
                    <a:stretch>
                      <a:fillRect/>
                    </a:stretch>
                  </pic:blipFill>
                  <pic:spPr>
                    <a:xfrm>
                      <a:off x="0" y="0"/>
                      <a:ext cx="8476615" cy="4819650"/>
                    </a:xfrm>
                    <a:prstGeom prst="rect">
                      <a:avLst/>
                    </a:prstGeom>
                    <a:noFill/>
                    <a:ln w="9525" cap="flat" cmpd="sng">
                      <a:solidFill>
                        <a:srgbClr val="000000"/>
                      </a:solidFill>
                      <a:prstDash val="solid"/>
                      <a:miter/>
                      <a:headEnd type="none" w="med" len="med"/>
                      <a:tailEnd type="none" w="med" len="med"/>
                    </a:ln>
                  </pic:spPr>
                </pic:pic>
              </a:graphicData>
            </a:graphic>
          </wp:anchor>
        </w:drawing>
      </w:r>
    </w:p>
    <w:p>
      <w:r>
        <w:rPr>
          <w:rFonts w:hint="eastAsia"/>
          <w:lang w:val="en-US" w:eastAsia="zh-CN"/>
        </w:rPr>
        <w:t xml:space="preserve">     </w:t>
      </w:r>
      <w:r>
        <w:drawing>
          <wp:inline distT="0" distB="0" distL="114300" distR="114300">
            <wp:extent cx="1019175" cy="971550"/>
            <wp:effectExtent l="0" t="0" r="9525"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4"/>
                    <a:stretch>
                      <a:fillRect/>
                    </a:stretch>
                  </pic:blipFill>
                  <pic:spPr>
                    <a:xfrm>
                      <a:off x="0" y="0"/>
                      <a:ext cx="1019175" cy="971550"/>
                    </a:xfrm>
                    <a:prstGeom prst="rect">
                      <a:avLst/>
                    </a:prstGeom>
                    <a:noFill/>
                    <a:ln w="9525">
                      <a:noFill/>
                    </a:ln>
                  </pic:spPr>
                </pic:pic>
              </a:graphicData>
            </a:graphic>
          </wp:inline>
        </w:drawing>
      </w:r>
    </w:p>
    <w:p/>
    <w:p/>
    <w:p/>
    <w:p/>
    <w:p/>
    <w:p/>
    <w:p/>
    <w:p>
      <w:r>
        <mc:AlternateContent>
          <mc:Choice Requires="wps">
            <w:drawing>
              <wp:anchor distT="0" distB="0" distL="114300" distR="114300" simplePos="0" relativeHeight="384277504" behindDoc="0" locked="0" layoutInCell="1" allowOverlap="1">
                <wp:simplePos x="0" y="0"/>
                <wp:positionH relativeFrom="column">
                  <wp:posOffset>4837430</wp:posOffset>
                </wp:positionH>
                <wp:positionV relativeFrom="paragraph">
                  <wp:posOffset>1270</wp:posOffset>
                </wp:positionV>
                <wp:extent cx="76200" cy="76200"/>
                <wp:effectExtent l="4445" t="4445" r="14605" b="14605"/>
                <wp:wrapNone/>
                <wp:docPr id="29" name="矩形 5"/>
                <wp:cNvGraphicFramePr/>
                <a:graphic xmlns:a="http://schemas.openxmlformats.org/drawingml/2006/main">
                  <a:graphicData uri="http://schemas.microsoft.com/office/word/2010/wordprocessingShape">
                    <wps:wsp>
                      <wps:cNvSpPr/>
                      <wps:spPr>
                        <a:xfrm>
                          <a:off x="0" y="0"/>
                          <a:ext cx="76200" cy="76200"/>
                        </a:xfrm>
                        <a:prstGeom prst="rect">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380.9pt;margin-top:0.1pt;height:6pt;width:6pt;z-index:384277504;mso-width-relative:page;mso-height-relative:page;" fillcolor="#FF0000" filled="t" stroked="t" coordsize="21600,21600" o:gfxdata="UEsDBAoAAAAAAIdO4kAAAAAAAAAAAAAAAAAEAAAAZHJzL1BLAwQUAAAACACHTuJA849ohNUAAAAH&#10;AQAADwAAAGRycy9kb3ducmV2LnhtbE2OsU7DQBBEeyT+4bRIdORsR8TE8TlSIlEhCkIo6Db2xbbw&#10;7Vl3m9j8PUsF5WhGb165nd2grjbE3pOBdJGAslT7pqfWwPH9+eEJVGSkBgdP1sC3jbCtbm9KLBo/&#10;0Zu9HrhVAqFYoIGOeSy0jnVnHcaFHy1Jd/bBIUsMrW4CTgJ3g86SZKUd9iQPHY5239n663BxBia/&#10;+1w+rvFlnzOHMH+87o712pj7uzTZgGI7898YfvVFHSpxOvkLNVENBvJVKupsIAMldZ4vJZ5kl2Wg&#10;q1L/969+AFBLAwQUAAAACACHTuJAdTo5Yt4BAADOAwAADgAAAGRycy9lMm9Eb2MueG1srVPNbhMx&#10;EL4j8Q6W72Q3kVLoKpseCOGCoFLpA0xs764l/8njZpOnQeLGQ/A4iNdg7A1pCz1UiD14Zzzjz/N9&#10;M15dHaxhexVRe9fy+azmTDnhpXZ9y28/b1+94QwTOAnGO9Xyo0J+tX75YjWGRi384I1UkRGIw2YM&#10;LR9SCk1VoRiUBZz5oBwFOx8tJHJjX8kII6FbUy3q+qIafZQheqEQaXczBfm64HedEulT16FKzLSc&#10;aktljWXd5bVar6DpI4RBi1MZ8A9VWNCOLj1DbSABu4v6LyirRfTouzQT3la+67RQhQOxmdd/sLkZ&#10;IKjChcTBcJYJ/x+s+Li/jkzLli8uOXNgqUc/v3z78f0rW2ZxxoAN5dyE63jykMzM9NBFm//EgR2K&#10;oMezoOqQmKDN1xfUI84ERSaTMKr7oyFieq+8ZdloeaRuFRFh/wHTlPo7Jd+E3mi51cYUJ/a7tyay&#10;PVBnt9uavlwvoT9KM46NLb9cLpZUBtCAdQYSmTYQZXR9ue/RCXwInGGfBs6FbQCHqYCCMA2T1Ull&#10;raAZFMh3TrJ0DKSqo/nnuRirJGdG0XPJVslMoM1zMomdcUQyd2XqQ7Z2Xh6piXch6n4gHedFiByh&#10;oSmSnAY8T+VDvyDdP8P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OPaITVAAAABwEAAA8AAAAA&#10;AAAAAQAgAAAAIgAAAGRycy9kb3ducmV2LnhtbFBLAQIUABQAAAAIAIdO4kB1Ojli3gEAAM4DAAAO&#10;AAAAAAAAAAEAIAAAACQBAABkcnMvZTJvRG9jLnhtbFBLBQYAAAAABgAGAFkBAAB0BQAAAAA=&#10;">
                <v:fill on="t" focussize="0,0"/>
                <v:stroke color="#000000" joinstyle="miter"/>
                <v:imagedata o:title=""/>
                <o:lock v:ext="edit" aspectratio="f"/>
              </v:rect>
            </w:pict>
          </mc:Fallback>
        </mc:AlternateContent>
      </w:r>
    </w:p>
    <w:p/>
    <w:p/>
    <w:p/>
    <w:p/>
    <w:p>
      <w:r>
        <w:rPr>
          <w:sz w:val="21"/>
        </w:rPr>
        <mc:AlternateContent>
          <mc:Choice Requires="wps">
            <w:drawing>
              <wp:anchor distT="0" distB="0" distL="114300" distR="114300" simplePos="0" relativeHeight="384269312" behindDoc="0" locked="0" layoutInCell="1" allowOverlap="1">
                <wp:simplePos x="0" y="0"/>
                <wp:positionH relativeFrom="column">
                  <wp:posOffset>2193925</wp:posOffset>
                </wp:positionH>
                <wp:positionV relativeFrom="paragraph">
                  <wp:posOffset>81280</wp:posOffset>
                </wp:positionV>
                <wp:extent cx="1485900" cy="1143000"/>
                <wp:effectExtent l="6350" t="1042035" r="1212850" b="24765"/>
                <wp:wrapNone/>
                <wp:docPr id="30" name="椭圆形标注 30"/>
                <wp:cNvGraphicFramePr/>
                <a:graphic xmlns:a="http://schemas.openxmlformats.org/drawingml/2006/main">
                  <a:graphicData uri="http://schemas.microsoft.com/office/word/2010/wordprocessingShape">
                    <wps:wsp>
                      <wps:cNvSpPr/>
                      <wps:spPr>
                        <a:xfrm>
                          <a:off x="3831590" y="2856865"/>
                          <a:ext cx="1485900" cy="1143000"/>
                        </a:xfrm>
                        <a:prstGeom prst="wedgeEllipseCallout">
                          <a:avLst>
                            <a:gd name="adj1" fmla="val 128205"/>
                            <a:gd name="adj2" fmla="val -1381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FF0000"/>
                                <w:lang w:eastAsia="zh-CN"/>
                              </w:rPr>
                            </w:pPr>
                            <w:r>
                              <w:rPr>
                                <w:rFonts w:hint="eastAsia"/>
                                <w:color w:val="FF0000"/>
                                <w:lang w:eastAsia="zh-CN"/>
                              </w:rPr>
                              <w:t>项目厂址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3" type="#_x0000_t63" style="position:absolute;left:0pt;margin-left:172.75pt;margin-top:6.4pt;height:90pt;width:117pt;z-index:384269312;v-text-anchor:middle;mso-width-relative:page;mso-height-relative:page;" filled="f" stroked="t" coordsize="21600,21600" o:gfxdata="UEsDBAoAAAAAAIdO4kAAAAAAAAAAAAAAAAAEAAAAZHJzL1BLAwQUAAAACACHTuJA8T46gdgAAAAK&#10;AQAADwAAAGRycy9kb3ducmV2LnhtbE2PzU7DMBCE70i8g7VIXBB1bAjQEKcHKsSlhzblwNFNliQl&#10;Xke2+8Pbs5zguDOj2W/KxdmN4oghDp4MqFkGAqnx7UCdgfft6+0TiJgstXb0hAa+McKiurwobdH6&#10;E23wWKdOcAnFwhroU5oKKWPTo7Nx5ick9j59cDbxGTrZBnvicjdKnWUP0tmB+ENvJ3zpsfmqD87A&#10;2zqo1ceqU3Kjl1qrer/c32yNub5S2TOIhOf0F4ZffEaHipl2/kBtFKOBu/s85ygbmidwIH+cs7Bj&#10;Yc6KrEr5f0L1A1BLAwQUAAAACACHTuJAZvKQZKICAAADBQAADgAAAGRycy9lMm9Eb2MueG1srVTN&#10;bhMxEL4j8Q6W7+1mN0m7jbqpopQgpIpWKoiz47U3Rv7DdrIpD0BfggNCHLhw4szjtM/B2Ltpw88J&#10;cfHO7Iy/mflmxqdnWyXRhjkvjK5wfjjAiGlqaqGbCr9+tTgoMfKB6JpIo1mFb5jHZ9OnT05bO2GF&#10;WRlZM4cARPtJayu8CsFOsszTFVPEHxrLNBi5cYoEUF2T1Y60gK5kVgwGR1lrXG2docx7+HveGfE0&#10;4XPOaLjk3LOAZIUht5BOl85lPLPpKZk0jtiVoH0a5B+yUERoCPoAdU4CQWsn/oBSgjrjDQ+H1KjM&#10;cC4oSzVANfngt2quV8SyVAuQ4+0DTf7/wdKXmyuHRF3hIdCjiYIe3X/5dvfxw92Pz/efbu+/f0Vg&#10;AZpa6yfgfW2vXK95EGPNW+5U/EI1aAtA5TAfnwDaTYWLcnxUHo07mtk2IAoO+agEOzhQ8Mjz0XAA&#10;CmBmj1DW+fCcGYWiUOGW1Q17JqWwns2JlGYdEttkc+FDor3ucyf12xwjriR0cUMkyouyGPTxmz2n&#10;Yt/pIB+WeZ73OfSgkM0uixhBm4WQMo2L1KiFxIvjVAOBqeWSBChHWeDR6wYjIhtYBxpcStMbKep4&#10;PQJ51yzn0iHIrsKLBdS+K/4Xtxj7nPhV55dMHYtKBNgYKVSFy3h5d1tqYDA2qWtLlMJ2ue17tTT1&#10;DTTamW4DvKULAREuiA9XxAFZ0A5Y43AJB5cG6jO9hNHKuPd/+x/9YRLBilELKwS1v1sTxzCSLzTM&#10;6Ek+GgFsSMpofFyA4vYty32LXqu5AUqgfZBdEqN/kDuRO6PewLbPYlQwEU0hdsdyr8xDt9rwXlA2&#10;myU32DNLwoW+tjSCd72crYPhIsShi0R17PQKbFqaxf5ViKu8ryevx7dr+h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xPjqB2AAAAAoBAAAPAAAAAAAAAAEAIAAAACIAAABkcnMvZG93bnJldi54bWxQ&#10;SwECFAAUAAAACACHTuJAZvKQZKICAAADBQAADgAAAAAAAAABACAAAAAnAQAAZHJzL2Uyb0RvYy54&#10;bWxQSwUGAAAAAAYABgBZAQAAOwYAAAAA&#10;" adj="38492,-19032">
                <v:fill on="f" focussize="0,0"/>
                <v:stroke weight="1pt" color="#FF0000 [3204]" miterlimit="8" joinstyle="miter"/>
                <v:imagedata o:title=""/>
                <o:lock v:ext="edit" aspectratio="f"/>
                <v:textbox>
                  <w:txbxContent>
                    <w:p>
                      <w:pPr>
                        <w:jc w:val="center"/>
                        <w:rPr>
                          <w:rFonts w:hint="eastAsia" w:eastAsiaTheme="minorEastAsia"/>
                          <w:color w:val="FF0000"/>
                          <w:lang w:eastAsia="zh-CN"/>
                        </w:rPr>
                      </w:pPr>
                      <w:r>
                        <w:rPr>
                          <w:rFonts w:hint="eastAsia"/>
                          <w:color w:val="FF0000"/>
                          <w:lang w:eastAsia="zh-CN"/>
                        </w:rPr>
                        <w:t>项目厂址</w:t>
                      </w:r>
                    </w:p>
                  </w:txbxContent>
                </v:textbox>
              </v:shape>
            </w:pict>
          </mc:Fallback>
        </mc:AlternateContent>
      </w:r>
    </w:p>
    <w:p/>
    <w:p/>
    <w:p>
      <w:r>
        <w:drawing>
          <wp:inline distT="0" distB="0" distL="114300" distR="114300">
            <wp:extent cx="1042670" cy="311150"/>
            <wp:effectExtent l="0" t="0" r="5080"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5"/>
                    <a:stretch>
                      <a:fillRect/>
                    </a:stretch>
                  </pic:blipFill>
                  <pic:spPr>
                    <a:xfrm>
                      <a:off x="0" y="0"/>
                      <a:ext cx="1042670" cy="311150"/>
                    </a:xfrm>
                    <a:prstGeom prst="rect">
                      <a:avLst/>
                    </a:prstGeom>
                    <a:noFill/>
                    <a:ln w="9525">
                      <a:noFill/>
                    </a:ln>
                  </pic:spPr>
                </pic:pic>
              </a:graphicData>
            </a:graphic>
          </wp:inline>
        </w:drawing>
      </w:r>
    </w:p>
    <w:p>
      <w:pPr>
        <w:jc w:val="both"/>
        <w:rPr>
          <w:rFonts w:hint="eastAsia" w:ascii="宋体" w:hAnsi="宋体" w:cs="宋体"/>
          <w:b/>
          <w:bCs/>
          <w:sz w:val="28"/>
          <w:szCs w:val="28"/>
        </w:rPr>
      </w:pPr>
    </w:p>
    <w:p>
      <w:pPr>
        <w:jc w:val="center"/>
        <w:rPr>
          <w:rFonts w:hint="eastAsia" w:ascii="宋体" w:hAnsi="宋体" w:cs="宋体" w:eastAsiaTheme="minorEastAsia"/>
          <w:b/>
          <w:bCs/>
          <w:sz w:val="28"/>
          <w:szCs w:val="28"/>
          <w:lang w:val="en-US" w:eastAsia="zh-CN"/>
        </w:rPr>
      </w:pPr>
      <w:r>
        <w:rPr>
          <w:rFonts w:hint="eastAsia" w:ascii="宋体" w:hAnsi="宋体" w:cs="宋体"/>
          <w:b/>
          <w:bCs/>
          <w:sz w:val="28"/>
          <w:szCs w:val="28"/>
        </w:rPr>
        <w:t>附图1       项目地理位置</w:t>
      </w:r>
      <w:r>
        <w:rPr>
          <w:rFonts w:hint="eastAsia" w:ascii="宋体" w:hAnsi="宋体" w:cs="宋体"/>
          <w:b/>
          <w:bCs/>
          <w:sz w:val="28"/>
          <w:szCs w:val="28"/>
          <w:lang w:val="en-US" w:eastAsia="zh-CN"/>
        </w:rPr>
        <w:t>图</w:t>
      </w:r>
    </w:p>
    <w:p>
      <w:pPr>
        <w:tabs>
          <w:tab w:val="left" w:pos="7056"/>
        </w:tabs>
        <w:jc w:val="center"/>
        <w:rPr>
          <w:rFonts w:hint="eastAsia" w:eastAsiaTheme="minorEastAsia"/>
          <w:lang w:eastAsia="zh-CN"/>
        </w:rPr>
        <w:sectPr>
          <w:pgSz w:w="16838" w:h="11906" w:orient="landscape"/>
          <w:pgMar w:top="1800" w:right="1440" w:bottom="1800" w:left="1440" w:header="851" w:footer="992" w:gutter="0"/>
          <w:cols w:space="425" w:num="1"/>
          <w:docGrid w:type="lines" w:linePitch="312" w:charSpace="0"/>
        </w:sectPr>
      </w:pPr>
      <w:r>
        <w:rPr>
          <w:sz w:val="21"/>
        </w:rPr>
        <mc:AlternateContent>
          <mc:Choice Requires="wps">
            <w:drawing>
              <wp:anchor distT="0" distB="0" distL="114300" distR="114300" simplePos="0" relativeHeight="819145728" behindDoc="0" locked="0" layoutInCell="1" allowOverlap="1">
                <wp:simplePos x="0" y="0"/>
                <wp:positionH relativeFrom="column">
                  <wp:posOffset>2653665</wp:posOffset>
                </wp:positionH>
                <wp:positionV relativeFrom="paragraph">
                  <wp:posOffset>5138420</wp:posOffset>
                </wp:positionV>
                <wp:extent cx="4041775" cy="419100"/>
                <wp:effectExtent l="0" t="0" r="0" b="0"/>
                <wp:wrapNone/>
                <wp:docPr id="31" name="矩形 31"/>
                <wp:cNvGraphicFramePr/>
                <a:graphic xmlns:a="http://schemas.openxmlformats.org/drawingml/2006/main">
                  <a:graphicData uri="http://schemas.microsoft.com/office/word/2010/wordprocessingShape">
                    <wps:wsp>
                      <wps:cNvSpPr/>
                      <wps:spPr>
                        <a:xfrm>
                          <a:off x="0" y="0"/>
                          <a:ext cx="40417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w:t>
                            </w: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图2    项目在淮滨县总体规划中的位置图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95pt;margin-top:404.6pt;height:33pt;width:318.25pt;z-index:819145728;v-text-anchor:middle;mso-width-relative:page;mso-height-relative:page;" filled="f" stroked="f" coordsize="21600,21600" o:gfxdata="UEsDBAoAAAAAAIdO4kAAAAAAAAAAAAAAAAAEAAAAZHJzL1BLAwQUAAAACACHTuJASqlpMtoAAAAM&#10;AQAADwAAAGRycy9kb3ducmV2LnhtbE2PwU7DMAyG70i8Q2Qkbixp1bGuNJ0EEkJoB8SAe5p4bUXj&#10;VE3abm9PdmJH259+f3+5O9mezTj6zpGEZCWAIWlnOmokfH+9PuTAfFBkVO8IJZzRw666vSlVYdxC&#10;nzgfQsNiCPlCSWhDGArOvW7RKr9yA1K8Hd1oVYjj2HAzqiWG256nQjxyqzqKH1o14EuL+vcwWQk/&#10;7vi8WF3T+3z+6Ka3/ah1vpfy/i4RT8ACnsI/DBf9qA5VdKrdRMazXkKWbLYRlZCLbQrsQoh1lgGr&#10;42qzToFXJb8uUf0BUEsDBBQAAAAIAIdO4kDTkYqeRgIAAGEEAAAOAAAAZHJzL2Uyb0RvYy54bWyt&#10;VN1u0zAUvkfiHSzfsySlo1vVdKpWDSFNbNJAXLuO01jyH7bbdLwMEnc8xB4H8Rp8drKtAq4QuXDO&#10;8Tk5P9/5ThYXB63IXvggralpdVJSIgy3jTTbmn78cPXqjJIQmWmYskbU9F4EerF8+WLRu7mY2M6q&#10;RniCICbMe1fTLkY3L4rAO6FZOLFOGBhb6zWLUP22aDzrEV2rYlKWb4re+sZ5y0UIuF0PRrrM8dtW&#10;8HjTtkFEomqK2mI+fT436SyWCzbfeuY6yccy2D9UoZk0SPoUas0iIzsv/wilJfc22DaecKsL27aS&#10;i9wDuqnK37q565gTuReAE9wTTOH/heXv97eeyKamrytKDNOY0c+v3388fCO4ADq9C3M43blbP2oB&#10;Ymr10Hqd3miCHDKi90+IikMkHJfTclrNZqeUcNim1XlVZsiL56+dD/GtsJokoaYeE8tAsv11iMgI&#10;10eXlMzYK6lUnpoypAflJjPEJJyBPK1iEaJ2aCeYLSVMbcFKHn0OefRtCrlmoSN7BmIEq2QzUEHL&#10;CD4qqWt6VqYnXaMGZfBKWAzdJykeNocRko1t7gGjtwO/guNXEhmuWYi3zINQqBBLEm9wtMqibDtK&#10;lHTWf/nbffLHnGGlpAdBUebnHfOCEvXOgAHn1XSaGJ2V6elsAsUfWzbHFrPTlxatYsioLovJP6pH&#10;sfVWf8IurVJWmJjhyD2ANyqXcVgcbCMXq1V2A4sdi9fmzvEUfBjRahdtK/P0ElADOiN+4HEGdNy5&#10;tCjHevZ6/jMs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KqWky2gAAAAwBAAAPAAAAAAAAAAEA&#10;IAAAACIAAABkcnMvZG93bnJldi54bWxQSwECFAAUAAAACACHTuJA05GKnkYCAABhBAAADgAAAAAA&#10;AAABACAAAAApAQAAZHJzL2Uyb0RvYy54bWxQSwUGAAAAAAYABgBZAQAA4QUAAAAA&#10;">
                <v:fill on="f" focussize="0,0"/>
                <v:stroke on="f" weight="1pt" miterlimit="8" joinstyle="miter"/>
                <v:imagedata o:title=""/>
                <o:lock v:ext="edit" aspectratio="f"/>
                <v:textbox>
                  <w:txbxContent>
                    <w:p>
                      <w:pPr>
                        <w:jc w:val="center"/>
                        <w:rPr>
                          <w:rFonts w:hint="eastAsia" w:eastAsiaTheme="minorEastAsia"/>
                          <w:color w:val="000000" w:themeColor="text1"/>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附</w:t>
                      </w: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图2    项目在淮滨县总体规划中的位置图</w:t>
                      </w:r>
                    </w:p>
                  </w:txbxContent>
                </v:textbox>
              </v:rect>
            </w:pict>
          </mc:Fallback>
        </mc:AlternateContent>
      </w:r>
      <w:r>
        <w:rPr>
          <w:rFonts w:hint="eastAsia" w:eastAsiaTheme="minorEastAsia"/>
          <w:lang w:eastAsia="zh-CN"/>
        </w:rPr>
        <w:drawing>
          <wp:inline distT="0" distB="0" distL="114300" distR="114300">
            <wp:extent cx="7259955" cy="5136515"/>
            <wp:effectExtent l="0" t="0" r="17145" b="6985"/>
            <wp:docPr id="32" name="图片 32" descr="1527449007678862-152744900807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27449007678862-1527449008079622"/>
                    <pic:cNvPicPr>
                      <a:picLocks noChangeAspect="1"/>
                    </pic:cNvPicPr>
                  </pic:nvPicPr>
                  <pic:blipFill>
                    <a:blip r:embed="rId26"/>
                    <a:stretch>
                      <a:fillRect/>
                    </a:stretch>
                  </pic:blipFill>
                  <pic:spPr>
                    <a:xfrm>
                      <a:off x="0" y="0"/>
                      <a:ext cx="7259955" cy="5136515"/>
                    </a:xfrm>
                    <a:prstGeom prst="rect">
                      <a:avLst/>
                    </a:prstGeom>
                  </pic:spPr>
                </pic:pic>
              </a:graphicData>
            </a:graphic>
          </wp:inline>
        </w:drawing>
      </w:r>
    </w:p>
    <w:p>
      <w:pPr>
        <w:pStyle w:val="2"/>
        <w:jc w:val="both"/>
        <w:rPr>
          <w:rFonts w:hint="eastAsia"/>
          <w:lang w:eastAsia="zh-CN"/>
        </w:rPr>
      </w:pPr>
      <w:r>
        <w:rPr>
          <w:sz w:val="28"/>
        </w:rPr>
        <mc:AlternateContent>
          <mc:Choice Requires="wps">
            <w:drawing>
              <wp:anchor distT="0" distB="0" distL="114300" distR="114300" simplePos="0" relativeHeight="819146752" behindDoc="0" locked="0" layoutInCell="1" allowOverlap="1">
                <wp:simplePos x="0" y="0"/>
                <wp:positionH relativeFrom="column">
                  <wp:posOffset>4681220</wp:posOffset>
                </wp:positionH>
                <wp:positionV relativeFrom="paragraph">
                  <wp:posOffset>170815</wp:posOffset>
                </wp:positionV>
                <wp:extent cx="914400" cy="361950"/>
                <wp:effectExtent l="4445" t="4445" r="14605" b="14605"/>
                <wp:wrapNone/>
                <wp:docPr id="34" name="文本框 34"/>
                <wp:cNvGraphicFramePr/>
                <a:graphic xmlns:a="http://schemas.openxmlformats.org/drawingml/2006/main">
                  <a:graphicData uri="http://schemas.microsoft.com/office/word/2010/wordprocessingShape">
                    <wps:wsp>
                      <wps:cNvSpPr txBox="1"/>
                      <wps:spPr>
                        <a:xfrm>
                          <a:off x="5595620" y="1487170"/>
                          <a:ext cx="914400" cy="361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6pt;margin-top:13.45pt;height:28.5pt;width:72pt;z-index:819146752;mso-width-relative:page;mso-height-relative:page;" fillcolor="#FFFFFF [3201]" filled="t" stroked="t" coordsize="21600,21600" o:gfxdata="UEsDBAoAAAAAAIdO4kAAAAAAAAAAAAAAAAAEAAAAZHJzL1BLAwQUAAAACACHTuJAo4h4m9UAAAAJ&#10;AQAADwAAAGRycy9kb3ducmV2LnhtbE2Py07DMBBF90j8gzVI7KjzkNI0xKkEEhJiR8mGnRtPkwh7&#10;HNluU/6eYQW7eRzdOdPur86KC4Y4e1KQbzIQSIM3M40K+o+XhxpETJqMtp5QwTdG2He3N61ujF/p&#10;HS+HNAoOodhoBVNKSyNlHCZ0Om78gsS7kw9OJ27DKE3QK4c7K4ssq6TTM/GFSS/4POHwdTg7Ba/V&#10;U/rE3ryZsij92sshnGxU6v4uzx5BJLymPxh+9VkdOnY6+jOZKKyCbbktGFVQVDsQDNR1zoMjF+UO&#10;ZNfK/x90P1BLAwQUAAAACACHTuJAxCzP3EYCAAB2BAAADgAAAGRycy9lMm9Eb2MueG1srVTNbhMx&#10;EL4j8Q6W73Tz3zbqpgqtgpAiWqkgzo7Xm6zweoztZDc8AH0DTly481x5Dj47SVsoJ0QOztjz5ZuZ&#10;b2ZycdnWmm2U8xWZnHdPOpwpI6mozDLnH97PXp1x5oMwhdBkVM63yvPLycsXF40dqx6tSBfKMZAY&#10;P25szlch2HGWeblStfAnZJWBsyRXi4CrW2aFEw3Ya531Op1R1pArrCOpvMfr9d7JJ4m/LJUMN2Xp&#10;VWA658gtpNOlcxHPbHIhxksn7KqShzTEP2RRi8og6APVtQiCrV31jKqupCNPZTiRVGdUlpVUqQZU&#10;0+38Uc3dSliVaoE43j7I5P8frXy3uXWsKnLeH3BmRI0e7b7d777/3P34yvAGgRrrx8DdWSBD+5pa&#10;NPr47vEY625LV8dvVMTgHw7Ph6MeBN8COzg77Z4epFZtYBKA8+5g0IFfAtAfdc+HyZ89ElnnwxtF&#10;NYtGzh06mQQWm7kPSArQIyTG9aSrYlZpnS5uubjSjm0Euj5Ln5gvfvIbTBvW5HzUR+xnFJH7gWKh&#10;hfz0nAF82oA26rPXIVqhXbQH0RZUbKGZo/3YeStnFXjnwodb4TBnEAC7E25wlJqQDB0szlbkvvzt&#10;PeLRfng5azC3Ofef18IpzvRbg8FIwmLQ02UwPI1NcE89i6ces66vCCJ1saVWJjPigz6apaP6I1Zs&#10;GqPCJYxE7JyHo3kV9tuEFZVqOk0gjLYVYW7urIzUUVxD03WgskqtizLttTmoh+FO7TksYtyep/eE&#10;evy7m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4h4m9UAAAAJAQAADwAAAAAAAAABACAAAAAi&#10;AAAAZHJzL2Rvd25yZXYueG1sUEsBAhQAFAAAAAgAh07iQMQsz9xGAgAAdgQAAA4AAAAAAAAAAQAg&#10;AAAAJAEAAGRycy9lMm9Eb2MueG1sUEsFBgAAAAAGAAYAWQEAANwF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附件1</w:t>
                      </w:r>
                    </w:p>
                  </w:txbxContent>
                </v:textbox>
              </v:shape>
            </w:pict>
          </mc:Fallback>
        </mc:AlternateContent>
      </w:r>
      <w:r>
        <w:drawing>
          <wp:inline distT="0" distB="0" distL="114300" distR="114300">
            <wp:extent cx="5690235" cy="8129905"/>
            <wp:effectExtent l="0" t="0" r="5715" b="444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27"/>
                    <a:stretch>
                      <a:fillRect/>
                    </a:stretch>
                  </pic:blipFill>
                  <pic:spPr>
                    <a:xfrm>
                      <a:off x="0" y="0"/>
                      <a:ext cx="5690235" cy="8129905"/>
                    </a:xfrm>
                    <a:prstGeom prst="rect">
                      <a:avLst/>
                    </a:prstGeom>
                    <a:noFill/>
                    <a:ln>
                      <a:noFill/>
                    </a:ln>
                  </pic:spPr>
                </pic:pic>
              </a:graphicData>
            </a:graphic>
          </wp:inline>
        </w:drawing>
      </w:r>
    </w:p>
    <w:p>
      <w:pPr>
        <w:jc w:val="center"/>
        <w:rPr>
          <w:rFonts w:hint="eastAsia" w:eastAsiaTheme="minorEastAsia"/>
          <w:lang w:eastAsia="zh-CN"/>
        </w:rPr>
      </w:pPr>
      <w:r>
        <w:rPr>
          <w:sz w:val="21"/>
        </w:rPr>
        <mc:AlternateContent>
          <mc:Choice Requires="wps">
            <w:drawing>
              <wp:anchor distT="0" distB="0" distL="114300" distR="114300" simplePos="0" relativeHeight="819147776" behindDoc="0" locked="0" layoutInCell="1" allowOverlap="1">
                <wp:simplePos x="0" y="0"/>
                <wp:positionH relativeFrom="column">
                  <wp:posOffset>4462145</wp:posOffset>
                </wp:positionH>
                <wp:positionV relativeFrom="paragraph">
                  <wp:posOffset>266065</wp:posOffset>
                </wp:positionV>
                <wp:extent cx="914400" cy="410210"/>
                <wp:effectExtent l="4445" t="4445" r="14605" b="23495"/>
                <wp:wrapNone/>
                <wp:docPr id="40" name="文本框 40"/>
                <wp:cNvGraphicFramePr/>
                <a:graphic xmlns:a="http://schemas.openxmlformats.org/drawingml/2006/main">
                  <a:graphicData uri="http://schemas.microsoft.com/office/word/2010/wordprocessingShape">
                    <wps:wsp>
                      <wps:cNvSpPr txBox="1"/>
                      <wps:spPr>
                        <a:xfrm>
                          <a:off x="5376545" y="1410970"/>
                          <a:ext cx="914400" cy="4102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35pt;margin-top:20.95pt;height:32.3pt;width:72pt;z-index:819147776;mso-width-relative:page;mso-height-relative:page;" fillcolor="#FFFFFF [3201]" filled="t" stroked="t" coordsize="21600,21600" o:gfxdata="UEsDBAoAAAAAAIdO4kAAAAAAAAAAAAAAAAAEAAAAZHJzL1BLAwQUAAAACACHTuJAAHjdNtcAAAAK&#10;AQAADwAAAGRycy9kb3ducmV2LnhtbE2PwU7DMAyG70i8Q+RJ3FjSbnSjNJ0EEhLixuiFW9Z4bbXE&#10;qZpsHW+POcHR9qff31/trt6JC05xCKQhWyoQSG2wA3Uams/X+y2ImAxZ4wKhhm+MsKtvbypT2jDT&#10;B172qRMcQrE0GvqUxlLK2PboTVyGEYlvxzB5k3icOmknM3O4dzJXqpDeDMQfejPiS4/taX/2Gt6K&#10;5/SFjX23q3wV5ka209FFre8WmXoCkfCa/mD41Wd1qNnpEM5ko3AaNirfMKphnT2CYGC7LnhxYFIV&#10;DyDrSv6vUP8AUEsDBBQAAAAIAIdO4kC5wXV5RwIAAHYEAAAOAAAAZHJzL2Uyb0RvYy54bWytVMFu&#10;EzEQvSPxD5bvdDdp0tKomyqkCkKqaKWCODteb7LC6zG2k93yAfQPOHHhznflO3h2kjalnBA5OGPP&#10;y5uZNzM5v+gazdbK+ZpMwXtHOWfKSCprsyj4xw+zV68580GYUmgyquB3yvOL8csX560dqT4tSZfK&#10;MZAYP2ptwZch2FGWeblUjfBHZJWBsyLXiICrW2SlEy3YG5318/wka8mV1pFU3uP1cuvk48RfVUqG&#10;66ryKjBdcOQW0unSOY9nNj4Xo4UTdlnLXRriH7JoRG0Q9IHqUgTBVq5+RtXU0pGnKhxJajKqqlqq&#10;VAOq6eV/VHO7FFalWiCOtw8y+f9HK9+vbxyry4IPII8RDXq0+X6/+fFr8/MbwxsEaq0fAXdrgQzd&#10;G+rQ6P27x2Osu6tcE79REYN/eHx6MhwMObsDdtDLz053UqsuMAnAWW8wyBFRAgB/v5f82SORdT68&#10;VdSwaBTcoZNJYLG+8gFJAbqHxLiedF3Oaq3TxS3mU+3YWqDrs/SJ+eInT2DasLbgJ8fDPDE/8UXu&#10;B4q5FvLzcwbwaQPaqM9Wh2iFbt7tRJtTeQfNHG3Hzls5q8F7JXy4EQ5zBgGwO+EaR6UJydDO4mxJ&#10;7uvf3iMe7YeXsxZzW3D/ZSWc4ky/MxiMJCwGPV0Gw9M+YrhDz/zQY1bNlCBSD1tqZTIjPui9WTlq&#10;PmHFJjEqXMJIxC542JvTsN0mrKhUk0kCYbStCFfm1spIHVtiaLIKVNWpdVGmrTY79TDcqT27RYzb&#10;c3hPqMe/i/F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HjdNtcAAAAKAQAADwAAAAAAAAABACAA&#10;AAAiAAAAZHJzL2Rvd25yZXYueG1sUEsBAhQAFAAAAAgAh07iQLnBdXlHAgAAdgQAAA4AAAAAAAAA&#10;AQAgAAAAJgEAAGRycy9lMm9Eb2MueG1sUEsFBgAAAAAGAAYAWQEAAN8FA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附件2</w:t>
                      </w:r>
                    </w:p>
                  </w:txbxContent>
                </v:textbox>
              </v:shape>
            </w:pict>
          </mc:Fallback>
        </mc:AlternateContent>
      </w:r>
      <w:r>
        <w:rPr>
          <w:rFonts w:hint="eastAsia" w:eastAsiaTheme="minorEastAsia"/>
          <w:lang w:eastAsia="zh-CN"/>
        </w:rPr>
        <w:drawing>
          <wp:inline distT="0" distB="0" distL="114300" distR="114300">
            <wp:extent cx="8020050" cy="5547360"/>
            <wp:effectExtent l="0" t="0" r="15240" b="0"/>
            <wp:docPr id="37" name="图片 37" descr="966d1b598b917bc0e78b1be8468f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966d1b598b917bc0e78b1be8468f90f"/>
                    <pic:cNvPicPr>
                      <a:picLocks noChangeAspect="1"/>
                    </pic:cNvPicPr>
                  </pic:nvPicPr>
                  <pic:blipFill>
                    <a:blip r:embed="rId28"/>
                    <a:srcRect l="1090" t="2543" b="5449"/>
                    <a:stretch>
                      <a:fillRect/>
                    </a:stretch>
                  </pic:blipFill>
                  <pic:spPr>
                    <a:xfrm rot="16200000">
                      <a:off x="0" y="0"/>
                      <a:ext cx="8020050" cy="554736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7988935" cy="5663565"/>
            <wp:effectExtent l="0" t="0" r="13335" b="12065"/>
            <wp:docPr id="38" name="图片 38" descr="463a73a9bc32a191b87de4161363b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63a73a9bc32a191b87de4161363b93"/>
                    <pic:cNvPicPr>
                      <a:picLocks noChangeAspect="1"/>
                    </pic:cNvPicPr>
                  </pic:nvPicPr>
                  <pic:blipFill>
                    <a:blip r:embed="rId29"/>
                    <a:srcRect l="1019" t="7985" r="4969" b="4927"/>
                    <a:stretch>
                      <a:fillRect/>
                    </a:stretch>
                  </pic:blipFill>
                  <pic:spPr>
                    <a:xfrm rot="16200000">
                      <a:off x="0" y="0"/>
                      <a:ext cx="7988935" cy="566356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drawing>
          <wp:inline distT="0" distB="0" distL="114300" distR="114300">
            <wp:extent cx="5690870" cy="7597140"/>
            <wp:effectExtent l="0" t="0" r="5080" b="3810"/>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30"/>
                    <a:stretch>
                      <a:fillRect/>
                    </a:stretch>
                  </pic:blipFill>
                  <pic:spPr>
                    <a:xfrm>
                      <a:off x="0" y="0"/>
                      <a:ext cx="5690870" cy="7597140"/>
                    </a:xfrm>
                    <a:prstGeom prst="rect">
                      <a:avLst/>
                    </a:prstGeom>
                    <a:noFill/>
                    <a:ln>
                      <a:noFill/>
                    </a:ln>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
      <w:pPr>
        <w:jc w:val="center"/>
        <w:rPr>
          <w:rFonts w:hint="eastAsia" w:eastAsiaTheme="minorEastAsia"/>
          <w:lang w:eastAsia="zh-CN"/>
        </w:rPr>
      </w:pPr>
    </w:p>
    <w:p/>
    <w:sectPr>
      <w:pgSz w:w="11849" w:h="16781"/>
      <w:pgMar w:top="1803" w:right="1440" w:bottom="1803" w:left="144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7"/>
      </w:rPr>
    </w:pPr>
    <w:r>
      <w:fldChar w:fldCharType="begin"/>
    </w:r>
    <w:r>
      <w:rPr>
        <w:rStyle w:val="17"/>
      </w:rPr>
      <w:instrText xml:space="preserve">PAGE  </w:instrText>
    </w:r>
    <w:r>
      <w:fldChar w:fldCharType="separate"/>
    </w:r>
    <w:r>
      <w:fldChar w:fldCharType="end"/>
    </w:r>
  </w:p>
  <w:p>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A83BC"/>
    <w:multiLevelType w:val="singleLevel"/>
    <w:tmpl w:val="549A83BC"/>
    <w:lvl w:ilvl="0" w:tentative="0">
      <w:start w:val="1"/>
      <w:numFmt w:val="decimal"/>
      <w:suff w:val="nothing"/>
      <w:lvlText w:val="%1、"/>
      <w:lvlJc w:val="left"/>
    </w:lvl>
  </w:abstractNum>
  <w:abstractNum w:abstractNumId="1">
    <w:nsid w:val="5848C68E"/>
    <w:multiLevelType w:val="singleLevel"/>
    <w:tmpl w:val="5848C68E"/>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6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DF4E94"/>
    <w:rsid w:val="15DF4E94"/>
    <w:rsid w:val="43D80DF6"/>
    <w:rsid w:val="7A8550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jc w:val="center"/>
      <w:outlineLvl w:val="0"/>
    </w:pPr>
    <w:rPr>
      <w:b/>
      <w:bCs/>
      <w:sz w:val="28"/>
    </w:rPr>
  </w:style>
  <w:style w:type="paragraph" w:styleId="3">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szCs w:val="20"/>
    </w:rPr>
  </w:style>
  <w:style w:type="paragraph" w:styleId="5">
    <w:name w:val="caption"/>
    <w:basedOn w:val="1"/>
    <w:next w:val="1"/>
    <w:qFormat/>
    <w:uiPriority w:val="0"/>
    <w:pPr>
      <w:spacing w:before="152" w:after="160"/>
    </w:pPr>
    <w:rPr>
      <w:rFonts w:ascii="Arial" w:hAnsi="Arial" w:eastAsia="黑体"/>
      <w:b/>
      <w:bCs/>
      <w:sz w:val="28"/>
      <w:szCs w:val="28"/>
    </w:rPr>
  </w:style>
  <w:style w:type="paragraph" w:styleId="6">
    <w:name w:val="annotation text"/>
    <w:basedOn w:val="1"/>
    <w:semiHidden/>
    <w:qFormat/>
    <w:uiPriority w:val="0"/>
    <w:pPr>
      <w:jc w:val="left"/>
    </w:pPr>
  </w:style>
  <w:style w:type="paragraph" w:styleId="7">
    <w:name w:val="Body Text"/>
    <w:basedOn w:val="1"/>
    <w:qFormat/>
    <w:uiPriority w:val="0"/>
    <w:pPr>
      <w:adjustRightInd w:val="0"/>
      <w:spacing w:line="312" w:lineRule="atLeast"/>
      <w:jc w:val="center"/>
      <w:textAlignment w:val="baseline"/>
    </w:pPr>
    <w:rPr>
      <w:kern w:val="0"/>
      <w:szCs w:val="21"/>
    </w:rPr>
  </w:style>
  <w:style w:type="paragraph" w:styleId="8">
    <w:name w:val="Body Text Indent"/>
    <w:basedOn w:val="1"/>
    <w:uiPriority w:val="0"/>
    <w:pPr>
      <w:spacing w:line="320" w:lineRule="exact"/>
      <w:ind w:firstLine="113"/>
      <w:jc w:val="center"/>
    </w:pPr>
    <w:rPr>
      <w:rFonts w:ascii="宋体" w:hAnsi="宋体"/>
      <w:sz w:val="24"/>
    </w:rPr>
  </w:style>
  <w:style w:type="paragraph" w:styleId="9">
    <w:name w:val="Plain Text"/>
    <w:basedOn w:val="1"/>
    <w:uiPriority w:val="0"/>
    <w:rPr>
      <w:rFonts w:ascii="宋体" w:hAnsi="Courier New"/>
      <w:szCs w:val="20"/>
    </w:rPr>
  </w:style>
  <w:style w:type="paragraph" w:styleId="10">
    <w:name w:val="Body Text Indent 2"/>
    <w:basedOn w:val="1"/>
    <w:qFormat/>
    <w:uiPriority w:val="0"/>
    <w:pPr>
      <w:ind w:firstLine="645"/>
    </w:pPr>
    <w:rPr>
      <w:sz w:val="28"/>
    </w:rPr>
  </w:style>
  <w:style w:type="paragraph" w:styleId="11">
    <w:name w:val="footer"/>
    <w:basedOn w:val="1"/>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List"/>
    <w:basedOn w:val="1"/>
    <w:qFormat/>
    <w:uiPriority w:val="0"/>
    <w:pPr>
      <w:spacing w:line="320" w:lineRule="exact"/>
      <w:jc w:val="center"/>
    </w:pPr>
    <w:rPr>
      <w:snapToGrid w:val="0"/>
      <w:szCs w:val="20"/>
    </w:rPr>
  </w:style>
  <w:style w:type="paragraph" w:styleId="14">
    <w:name w:val="Body Text Indent 3"/>
    <w:basedOn w:val="1"/>
    <w:qFormat/>
    <w:uiPriority w:val="0"/>
    <w:pPr>
      <w:ind w:firstLine="549" w:firstLineChars="200"/>
    </w:pPr>
    <w:rPr>
      <w:rFonts w:ascii="宋体" w:hAnsi="宋体"/>
      <w:sz w:val="28"/>
    </w:rPr>
  </w:style>
  <w:style w:type="character" w:styleId="17">
    <w:name w:val="page number"/>
    <w:basedOn w:val="16"/>
    <w:uiPriority w:val="0"/>
  </w:style>
  <w:style w:type="paragraph" w:customStyle="1" w:styleId="18">
    <w:name w:val="Table Paragraph"/>
    <w:basedOn w:val="1"/>
    <w:qFormat/>
    <w:uiPriority w:val="1"/>
    <w:rPr>
      <w:rFonts w:ascii="宋体" w:hAnsi="宋体" w:eastAsia="宋体" w:cs="宋体"/>
      <w:lang w:val="zh-CN" w:eastAsia="zh-CN" w:bidi="zh-CN"/>
    </w:rPr>
  </w:style>
  <w:style w:type="paragraph" w:customStyle="1" w:styleId="19">
    <w:name w:val="默认段落字体 Para Char Char Char Char"/>
    <w:basedOn w:val="1"/>
    <w:uiPriority w:val="0"/>
    <w:rPr>
      <w:sz w:val="24"/>
    </w:rPr>
  </w:style>
  <w:style w:type="paragraph" w:customStyle="1" w:styleId="20">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21">
    <w:name w:val="表格文字2"/>
    <w:basedOn w:val="1"/>
    <w:qFormat/>
    <w:uiPriority w:val="0"/>
    <w:pPr>
      <w:spacing w:before="60" w:beforeLines="0"/>
      <w:jc w:val="center"/>
    </w:pPr>
    <w:rPr>
      <w:rFonts w:ascii="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2020-08-03T10:47:00Z</dcterms:created>
  <dc:creator>69004</dc:creator>
  <cp:lastModifiedBy>69004</cp:lastModifiedBy>
  <dcterms:modified xsi:type="dcterms:W3CDTF">2020-08-03T11:06:21Z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