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72405" cy="8592820"/>
            <wp:effectExtent l="0" t="0" r="4445" b="17780"/>
            <wp:docPr id="20" name="图片 20" descr="159644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96449629(1)"/>
                    <pic:cNvPicPr>
                      <a:picLocks noChangeAspect="1"/>
                    </pic:cNvPicPr>
                  </pic:nvPicPr>
                  <pic:blipFill>
                    <a:blip r:embed="rId7"/>
                    <a:stretch>
                      <a:fillRect/>
                    </a:stretch>
                  </pic:blipFill>
                  <pic:spPr>
                    <a:xfrm>
                      <a:off x="0" y="0"/>
                      <a:ext cx="5272405" cy="8592820"/>
                    </a:xfrm>
                    <a:prstGeom prst="rect">
                      <a:avLst/>
                    </a:prstGeom>
                  </pic:spPr>
                </pic:pic>
              </a:graphicData>
            </a:graphic>
          </wp:inline>
        </w:drawing>
      </w:r>
    </w:p>
    <w:p>
      <w:pPr>
        <w:pStyle w:val="2"/>
        <w:jc w:val="both"/>
      </w:pPr>
      <w:r>
        <w:drawing>
          <wp:inline distT="0" distB="0" distL="114300" distR="114300">
            <wp:extent cx="5666740" cy="8505190"/>
            <wp:effectExtent l="0" t="0" r="10160" b="1016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8"/>
                    <a:stretch>
                      <a:fillRect/>
                    </a:stretch>
                  </pic:blipFill>
                  <pic:spPr>
                    <a:xfrm>
                      <a:off x="0" y="0"/>
                      <a:ext cx="5666740" cy="8505190"/>
                    </a:xfrm>
                    <a:prstGeom prst="rect">
                      <a:avLst/>
                    </a:prstGeom>
                    <a:noFill/>
                    <a:ln>
                      <a:noFill/>
                    </a:ln>
                  </pic:spPr>
                </pic:pic>
              </a:graphicData>
            </a:graphic>
          </wp:inline>
        </w:drawing>
      </w:r>
    </w:p>
    <w:p>
      <w:r>
        <w:drawing>
          <wp:inline distT="0" distB="0" distL="114300" distR="114300">
            <wp:extent cx="5762625" cy="8601075"/>
            <wp:effectExtent l="0" t="0" r="9525" b="952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9"/>
                    <a:stretch>
                      <a:fillRect/>
                    </a:stretch>
                  </pic:blipFill>
                  <pic:spPr>
                    <a:xfrm>
                      <a:off x="0" y="0"/>
                      <a:ext cx="5762625" cy="8601075"/>
                    </a:xfrm>
                    <a:prstGeom prst="rect">
                      <a:avLst/>
                    </a:prstGeom>
                    <a:noFill/>
                    <a:ln>
                      <a:noFill/>
                    </a:ln>
                  </pic:spPr>
                </pic:pic>
              </a:graphicData>
            </a:graphic>
          </wp:inline>
        </w:drawing>
      </w:r>
    </w:p>
    <w:p>
      <w:pPr>
        <w:pStyle w:val="2"/>
        <w:jc w:val="both"/>
      </w:pPr>
      <w:r>
        <w:drawing>
          <wp:inline distT="0" distB="0" distL="114300" distR="114300">
            <wp:extent cx="5695315" cy="8543925"/>
            <wp:effectExtent l="0" t="0" r="635" b="952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10"/>
                    <a:stretch>
                      <a:fillRect/>
                    </a:stretch>
                  </pic:blipFill>
                  <pic:spPr>
                    <a:xfrm>
                      <a:off x="0" y="0"/>
                      <a:ext cx="5695315" cy="8543925"/>
                    </a:xfrm>
                    <a:prstGeom prst="rect">
                      <a:avLst/>
                    </a:prstGeom>
                    <a:noFill/>
                    <a:ln>
                      <a:noFill/>
                    </a:ln>
                  </pic:spPr>
                </pic:pic>
              </a:graphicData>
            </a:graphic>
          </wp:inline>
        </w:drawing>
      </w:r>
    </w:p>
    <w:p>
      <w:pPr>
        <w:rPr>
          <w:rFonts w:hint="eastAsia"/>
          <w:lang w:eastAsia="zh-CN"/>
        </w:rPr>
      </w:pPr>
    </w:p>
    <w:p>
      <w:pPr>
        <w:pStyle w:val="2"/>
        <w:jc w:val="both"/>
        <w:rPr>
          <w:rFonts w:hint="eastAsia"/>
          <w:lang w:eastAsia="zh-CN"/>
        </w:rPr>
      </w:pPr>
      <w:r>
        <w:drawing>
          <wp:inline distT="0" distB="0" distL="114300" distR="114300">
            <wp:extent cx="5742940" cy="8629015"/>
            <wp:effectExtent l="0" t="0" r="10160" b="63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11"/>
                    <a:stretch>
                      <a:fillRect/>
                    </a:stretch>
                  </pic:blipFill>
                  <pic:spPr>
                    <a:xfrm>
                      <a:off x="0" y="0"/>
                      <a:ext cx="5742940" cy="8629015"/>
                    </a:xfrm>
                    <a:prstGeom prst="rect">
                      <a:avLst/>
                    </a:prstGeom>
                    <a:noFill/>
                    <a:ln>
                      <a:noFill/>
                    </a:ln>
                  </pic:spPr>
                </pic:pic>
              </a:graphicData>
            </a:graphic>
          </wp:inline>
        </w:drawing>
      </w:r>
    </w:p>
    <w:p>
      <w:pPr>
        <w:rPr>
          <w:rFonts w:hint="eastAsia"/>
          <w:lang w:eastAsia="zh-CN"/>
        </w:rPr>
      </w:pPr>
    </w:p>
    <w:p>
      <w:pPr>
        <w:pStyle w:val="2"/>
        <w:jc w:val="both"/>
        <w:rPr>
          <w:rFonts w:hint="eastAsia"/>
          <w:lang w:eastAsia="zh-CN"/>
        </w:rPr>
      </w:pPr>
      <w:r>
        <w:drawing>
          <wp:inline distT="0" distB="0" distL="114300" distR="114300">
            <wp:extent cx="5685790" cy="8590280"/>
            <wp:effectExtent l="0" t="0" r="10160" b="127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12"/>
                    <a:stretch>
                      <a:fillRect/>
                    </a:stretch>
                  </pic:blipFill>
                  <pic:spPr>
                    <a:xfrm>
                      <a:off x="0" y="0"/>
                      <a:ext cx="5685790" cy="8590280"/>
                    </a:xfrm>
                    <a:prstGeom prst="rect">
                      <a:avLst/>
                    </a:prstGeom>
                    <a:noFill/>
                    <a:ln>
                      <a:noFill/>
                    </a:ln>
                  </pic:spPr>
                </pic:pic>
              </a:graphicData>
            </a:graphic>
          </wp:inline>
        </w:drawing>
      </w:r>
    </w:p>
    <w:p>
      <w:pPr>
        <w:rPr>
          <w:rFonts w:hint="eastAsia"/>
          <w:lang w:eastAsia="zh-CN"/>
        </w:rPr>
      </w:pPr>
    </w:p>
    <w:p>
      <w:pPr>
        <w:pStyle w:val="2"/>
        <w:jc w:val="both"/>
        <w:rPr>
          <w:rFonts w:hint="eastAsia"/>
          <w:lang w:eastAsia="zh-CN"/>
        </w:rPr>
      </w:pPr>
      <w:r>
        <w:drawing>
          <wp:inline distT="0" distB="0" distL="114300" distR="114300">
            <wp:extent cx="5715000" cy="8609965"/>
            <wp:effectExtent l="0" t="0" r="0" b="63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13"/>
                    <a:stretch>
                      <a:fillRect/>
                    </a:stretch>
                  </pic:blipFill>
                  <pic:spPr>
                    <a:xfrm>
                      <a:off x="0" y="0"/>
                      <a:ext cx="5715000" cy="8609965"/>
                    </a:xfrm>
                    <a:prstGeom prst="rect">
                      <a:avLst/>
                    </a:prstGeom>
                    <a:noFill/>
                    <a:ln>
                      <a:noFill/>
                    </a:ln>
                  </pic:spPr>
                </pic:pic>
              </a:graphicData>
            </a:graphic>
          </wp:inline>
        </w:drawing>
      </w:r>
    </w:p>
    <w:p>
      <w:pPr>
        <w:rPr>
          <w:rFonts w:hint="eastAsia"/>
          <w:lang w:eastAsia="zh-CN"/>
        </w:rPr>
      </w:pPr>
    </w:p>
    <w:p>
      <w:pPr>
        <w:pStyle w:val="2"/>
        <w:jc w:val="both"/>
        <w:rPr>
          <w:rFonts w:hint="eastAsia"/>
          <w:lang w:eastAsia="zh-CN"/>
        </w:rPr>
      </w:pPr>
      <w:r>
        <w:drawing>
          <wp:inline distT="0" distB="0" distL="114300" distR="114300">
            <wp:extent cx="5761990" cy="8610600"/>
            <wp:effectExtent l="0" t="0" r="10160"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14"/>
                    <a:stretch>
                      <a:fillRect/>
                    </a:stretch>
                  </pic:blipFill>
                  <pic:spPr>
                    <a:xfrm>
                      <a:off x="0" y="0"/>
                      <a:ext cx="5761990" cy="8610600"/>
                    </a:xfrm>
                    <a:prstGeom prst="rect">
                      <a:avLst/>
                    </a:prstGeom>
                    <a:noFill/>
                    <a:ln>
                      <a:noFill/>
                    </a:ln>
                  </pic:spPr>
                </pic:pic>
              </a:graphicData>
            </a:graphic>
          </wp:inline>
        </w:drawing>
      </w:r>
    </w:p>
    <w:p>
      <w:pPr>
        <w:rPr>
          <w:rFonts w:hint="eastAsia"/>
          <w:lang w:eastAsia="zh-CN"/>
        </w:rPr>
      </w:pPr>
    </w:p>
    <w:p>
      <w:pPr>
        <w:pStyle w:val="2"/>
        <w:rPr>
          <w:rFonts w:hint="eastAsia"/>
          <w:lang w:eastAsia="zh-CN"/>
        </w:rPr>
      </w:pPr>
    </w:p>
    <w:p>
      <w:pPr>
        <w:spacing w:before="145" w:beforeLines="50" w:line="480" w:lineRule="exact"/>
        <w:jc w:val="center"/>
        <w:rPr>
          <w:rFonts w:eastAsia="黑体"/>
          <w:sz w:val="44"/>
        </w:rPr>
      </w:pPr>
      <w:r>
        <w:rPr>
          <w:rFonts w:eastAsia="黑体"/>
          <w:sz w:val="44"/>
        </w:rPr>
        <w:t>《建设项目环境影响报告表》编制说明</w:t>
      </w:r>
    </w:p>
    <w:p>
      <w:pPr>
        <w:spacing w:before="145" w:beforeLines="50" w:line="480" w:lineRule="exact"/>
        <w:rPr>
          <w:rFonts w:eastAsia="黑体"/>
          <w:sz w:val="32"/>
        </w:rPr>
      </w:pPr>
      <w:r>
        <w:rPr>
          <w:rFonts w:eastAsia="黑体"/>
          <w:sz w:val="32"/>
        </w:rPr>
        <w:t xml:space="preserve">    </w:t>
      </w:r>
    </w:p>
    <w:p>
      <w:pPr>
        <w:spacing w:before="145" w:beforeLines="50" w:line="480" w:lineRule="exact"/>
        <w:ind w:firstLine="560" w:firstLineChars="200"/>
        <w:rPr>
          <w:rFonts w:eastAsia="黑体"/>
          <w:sz w:val="28"/>
        </w:rPr>
      </w:pPr>
      <w:r>
        <w:rPr>
          <w:rFonts w:eastAsia="黑体"/>
          <w:sz w:val="28"/>
        </w:rPr>
        <w:t>《建设项目环境影响报告表》由具有从事环境影响评价</w:t>
      </w:r>
      <w:r>
        <w:rPr>
          <w:rFonts w:hint="eastAsia" w:eastAsia="黑体"/>
          <w:sz w:val="28"/>
        </w:rPr>
        <w:t>编制能力</w:t>
      </w:r>
      <w:r>
        <w:rPr>
          <w:rFonts w:eastAsia="黑体"/>
          <w:sz w:val="28"/>
        </w:rPr>
        <w:t>的单位编制。</w:t>
      </w:r>
    </w:p>
    <w:p>
      <w:pPr>
        <w:spacing w:before="145" w:beforeLines="50" w:line="480" w:lineRule="exact"/>
        <w:ind w:firstLine="560" w:firstLineChars="200"/>
        <w:rPr>
          <w:rFonts w:eastAsia="黑体"/>
          <w:sz w:val="28"/>
        </w:rPr>
      </w:pPr>
      <w:r>
        <w:rPr>
          <w:rFonts w:eastAsia="黑体"/>
          <w:sz w:val="28"/>
        </w:rPr>
        <w:t>1．项目名称——指项目立项批复时的名称，应不超过30个字（两个英文字段作一个汉字）。</w:t>
      </w:r>
    </w:p>
    <w:p>
      <w:pPr>
        <w:spacing w:before="145" w:beforeLines="50" w:line="480" w:lineRule="exact"/>
        <w:ind w:firstLine="560" w:firstLineChars="200"/>
        <w:rPr>
          <w:rFonts w:eastAsia="黑体"/>
          <w:sz w:val="28"/>
        </w:rPr>
      </w:pPr>
      <w:r>
        <w:rPr>
          <w:rFonts w:eastAsia="黑体"/>
          <w:sz w:val="28"/>
        </w:rPr>
        <w:t>2．建设地点——指项目所在地详细地址，公路、铁路应填写起止地点。</w:t>
      </w:r>
    </w:p>
    <w:p>
      <w:pPr>
        <w:spacing w:before="145" w:beforeLines="50" w:line="480" w:lineRule="exact"/>
        <w:ind w:firstLine="560" w:firstLineChars="200"/>
        <w:rPr>
          <w:rFonts w:eastAsia="黑体"/>
          <w:sz w:val="28"/>
        </w:rPr>
      </w:pPr>
      <w:r>
        <w:rPr>
          <w:rFonts w:eastAsia="黑体"/>
          <w:sz w:val="28"/>
        </w:rPr>
        <w:t>3．行业类别——按国标填写。</w:t>
      </w:r>
    </w:p>
    <w:p>
      <w:pPr>
        <w:spacing w:before="145" w:beforeLines="50" w:line="480" w:lineRule="exact"/>
        <w:ind w:firstLine="560" w:firstLineChars="200"/>
        <w:rPr>
          <w:rFonts w:eastAsia="黑体"/>
          <w:sz w:val="28"/>
        </w:rPr>
      </w:pPr>
      <w:r>
        <w:rPr>
          <w:rFonts w:eastAsia="黑体"/>
          <w:sz w:val="28"/>
        </w:rPr>
        <w:t>4．总投资——指项目投资总额。</w:t>
      </w:r>
    </w:p>
    <w:p>
      <w:pPr>
        <w:spacing w:before="145" w:beforeLines="50" w:line="480" w:lineRule="exact"/>
        <w:ind w:firstLine="560" w:firstLineChars="200"/>
        <w:rPr>
          <w:rFonts w:eastAsia="黑体"/>
          <w:sz w:val="28"/>
        </w:rPr>
      </w:pPr>
      <w:r>
        <w:rPr>
          <w:rFonts w:eastAsia="黑体"/>
          <w:sz w:val="28"/>
        </w:rPr>
        <w:t>5．主要环境保护目标——指项目区周围一定范围内集中居民住宅、学校、医院、保护文物、风景名胜区、水源地和生态敏感点等，应尽可能给出保护目标、性质、规模和距厂界距离等。</w:t>
      </w:r>
    </w:p>
    <w:p>
      <w:pPr>
        <w:spacing w:before="145" w:beforeLines="50" w:line="480" w:lineRule="exact"/>
        <w:ind w:firstLine="560" w:firstLineChars="200"/>
        <w:rPr>
          <w:rFonts w:eastAsia="黑体"/>
          <w:sz w:val="28"/>
        </w:rPr>
      </w:pPr>
      <w:r>
        <w:rPr>
          <w:rFonts w:eastAsia="黑体"/>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before="145" w:beforeLines="50" w:line="480" w:lineRule="exact"/>
        <w:ind w:firstLine="560" w:firstLineChars="200"/>
        <w:rPr>
          <w:rFonts w:eastAsia="黑体"/>
          <w:sz w:val="28"/>
        </w:rPr>
      </w:pPr>
      <w:r>
        <w:rPr>
          <w:rFonts w:eastAsia="黑体"/>
          <w:sz w:val="28"/>
        </w:rPr>
        <w:t>7．预审意见——由行业主管部门填写答复意见，无主管部门项目，可不填。</w:t>
      </w:r>
    </w:p>
    <w:p>
      <w:pPr>
        <w:spacing w:before="145" w:beforeLines="50" w:line="480" w:lineRule="exact"/>
        <w:ind w:firstLine="560" w:firstLineChars="200"/>
        <w:rPr>
          <w:rFonts w:eastAsia="黑体"/>
          <w:sz w:val="28"/>
        </w:rPr>
      </w:pPr>
      <w:r>
        <w:rPr>
          <w:rFonts w:eastAsia="黑体"/>
          <w:sz w:val="28"/>
        </w:rPr>
        <w:t>8．审批意见——由负责审批该项目的环境保护行政主管部门批复。</w:t>
      </w:r>
    </w:p>
    <w:p>
      <w:pPr>
        <w:rPr>
          <w:rFonts w:hint="eastAsia" w:eastAsia="黑体"/>
          <w:bCs/>
          <w:sz w:val="72"/>
        </w:rPr>
      </w:pPr>
    </w:p>
    <w:p>
      <w:pPr>
        <w:spacing w:before="145" w:beforeLines="50" w:line="480" w:lineRule="exact"/>
        <w:rPr>
          <w:rFonts w:hint="eastAsia"/>
          <w:b/>
          <w:bCs/>
          <w:sz w:val="32"/>
        </w:rPr>
      </w:pPr>
    </w:p>
    <w:p>
      <w:pPr>
        <w:spacing w:before="145" w:beforeLines="50" w:line="480" w:lineRule="exact"/>
        <w:rPr>
          <w:rFonts w:hint="eastAsia"/>
          <w:b/>
          <w:bCs/>
          <w:sz w:val="32"/>
        </w:rPr>
      </w:pPr>
    </w:p>
    <w:p>
      <w:pPr>
        <w:spacing w:before="145" w:beforeLines="50" w:line="480" w:lineRule="exact"/>
        <w:rPr>
          <w:rFonts w:hint="eastAsia"/>
          <w:b/>
          <w:bCs/>
          <w:sz w:val="32"/>
        </w:rPr>
      </w:pPr>
    </w:p>
    <w:p>
      <w:pPr>
        <w:spacing w:before="145" w:beforeLines="50" w:line="480" w:lineRule="exact"/>
        <w:rPr>
          <w:b/>
          <w:bCs/>
          <w:sz w:val="32"/>
        </w:rPr>
        <w:sectPr>
          <w:headerReference r:id="rId3" w:type="default"/>
          <w:footerReference r:id="rId4" w:type="default"/>
          <w:footerReference r:id="rId5" w:type="even"/>
          <w:pgSz w:w="11906" w:h="16838"/>
          <w:pgMar w:top="1440" w:right="1418" w:bottom="1440" w:left="1418" w:header="851" w:footer="992" w:gutter="0"/>
          <w:pgNumType w:start="1"/>
          <w:cols w:space="720" w:num="1"/>
          <w:docGrid w:type="linesAndChars" w:linePitch="290" w:charSpace="0"/>
        </w:sectPr>
      </w:pPr>
      <w:bookmarkStart w:id="4" w:name="_GoBack"/>
      <w:bookmarkEnd w:id="4"/>
    </w:p>
    <w:p>
      <w:pPr>
        <w:spacing w:before="156" w:beforeLines="50" w:line="480" w:lineRule="exact"/>
        <w:rPr>
          <w:rFonts w:eastAsia="黑体"/>
          <w:bCs/>
          <w:sz w:val="28"/>
        </w:rPr>
      </w:pPr>
      <w:r>
        <w:rPr>
          <w:rFonts w:eastAsia="黑体"/>
          <w:bCs/>
          <w:sz w:val="32"/>
        </w:rPr>
        <w:t>建设项目基本情况</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3" w:type="dxa"/>
          <w:bottom w:w="0" w:type="dxa"/>
          <w:right w:w="113" w:type="dxa"/>
        </w:tblCellMar>
      </w:tblPr>
      <w:tblGrid>
        <w:gridCol w:w="1818"/>
        <w:gridCol w:w="1512"/>
        <w:gridCol w:w="374"/>
        <w:gridCol w:w="941"/>
        <w:gridCol w:w="682"/>
        <w:gridCol w:w="271"/>
        <w:gridCol w:w="1251"/>
        <w:gridCol w:w="101"/>
        <w:gridCol w:w="1262"/>
        <w:gridCol w:w="268"/>
        <w:gridCol w:w="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90" w:hRule="atLeast"/>
        </w:trPr>
        <w:tc>
          <w:tcPr>
            <w:tcW w:w="1818" w:type="dxa"/>
            <w:noWrap w:val="0"/>
            <w:vAlign w:val="center"/>
          </w:tcPr>
          <w:p>
            <w:pPr>
              <w:spacing w:line="480" w:lineRule="exact"/>
              <w:jc w:val="center"/>
              <w:rPr>
                <w:b/>
                <w:sz w:val="24"/>
              </w:rPr>
            </w:pPr>
            <w:r>
              <w:rPr>
                <w:b/>
                <w:sz w:val="24"/>
              </w:rPr>
              <w:t>项目名称</w:t>
            </w:r>
          </w:p>
        </w:tc>
        <w:tc>
          <w:tcPr>
            <w:tcW w:w="7478" w:type="dxa"/>
            <w:gridSpan w:val="10"/>
            <w:noWrap w:val="0"/>
            <w:vAlign w:val="center"/>
          </w:tcPr>
          <w:p>
            <w:pPr>
              <w:spacing w:line="480" w:lineRule="exact"/>
              <w:jc w:val="center"/>
              <w:rPr>
                <w:rFonts w:hint="eastAsia" w:eastAsia="宋体"/>
                <w:sz w:val="24"/>
                <w:lang w:eastAsia="zh-CN"/>
              </w:rPr>
            </w:pPr>
            <w:r>
              <w:rPr>
                <w:rFonts w:hint="eastAsia"/>
                <w:sz w:val="24"/>
                <w:lang w:eastAsia="zh-CN"/>
              </w:rPr>
              <w:t>淮滨县西部十乡镇天然气管道工程建设项目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建设单位</w:t>
            </w:r>
          </w:p>
        </w:tc>
        <w:tc>
          <w:tcPr>
            <w:tcW w:w="7478" w:type="dxa"/>
            <w:gridSpan w:val="10"/>
            <w:noWrap w:val="0"/>
            <w:vAlign w:val="center"/>
          </w:tcPr>
          <w:p>
            <w:pPr>
              <w:jc w:val="center"/>
              <w:rPr>
                <w:rFonts w:hint="eastAsia" w:eastAsia="宋体"/>
                <w:sz w:val="24"/>
                <w:lang w:eastAsia="zh-CN"/>
              </w:rPr>
            </w:pPr>
            <w:r>
              <w:rPr>
                <w:rFonts w:hint="eastAsia"/>
                <w:sz w:val="24"/>
                <w:lang w:eastAsia="zh-CN"/>
              </w:rPr>
              <w:t>淮滨县虹益天然气有限公司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351" w:hRule="atLeast"/>
        </w:trPr>
        <w:tc>
          <w:tcPr>
            <w:tcW w:w="1818" w:type="dxa"/>
            <w:noWrap w:val="0"/>
            <w:vAlign w:val="center"/>
          </w:tcPr>
          <w:p>
            <w:pPr>
              <w:spacing w:line="480" w:lineRule="exact"/>
              <w:jc w:val="center"/>
              <w:rPr>
                <w:b/>
                <w:sz w:val="24"/>
              </w:rPr>
            </w:pPr>
            <w:r>
              <w:rPr>
                <w:b/>
                <w:sz w:val="24"/>
              </w:rPr>
              <w:t>法人代表</w:t>
            </w:r>
          </w:p>
        </w:tc>
        <w:tc>
          <w:tcPr>
            <w:tcW w:w="3509" w:type="dxa"/>
            <w:gridSpan w:val="4"/>
            <w:noWrap w:val="0"/>
            <w:vAlign w:val="center"/>
          </w:tcPr>
          <w:p>
            <w:pPr>
              <w:spacing w:line="480" w:lineRule="exact"/>
              <w:jc w:val="center"/>
              <w:rPr>
                <w:rFonts w:hint="eastAsia" w:eastAsia="宋体"/>
                <w:sz w:val="24"/>
                <w:highlight w:val="none"/>
                <w:lang w:val="en-US" w:eastAsia="zh-CN"/>
              </w:rPr>
            </w:pPr>
            <w:r>
              <w:rPr>
                <w:rFonts w:hint="eastAsia"/>
                <w:sz w:val="24"/>
                <w:highlight w:val="none"/>
                <w:lang w:val="en-US" w:eastAsia="zh-CN"/>
              </w:rPr>
              <w:t>叶建波</w:t>
            </w:r>
          </w:p>
        </w:tc>
        <w:tc>
          <w:tcPr>
            <w:tcW w:w="1623" w:type="dxa"/>
            <w:gridSpan w:val="3"/>
            <w:noWrap w:val="0"/>
            <w:vAlign w:val="center"/>
          </w:tcPr>
          <w:p>
            <w:pPr>
              <w:spacing w:line="480" w:lineRule="exact"/>
              <w:jc w:val="center"/>
              <w:rPr>
                <w:rFonts w:eastAsia="黑体"/>
                <w:bCs/>
                <w:sz w:val="24"/>
                <w:highlight w:val="none"/>
              </w:rPr>
            </w:pPr>
            <w:r>
              <w:rPr>
                <w:rFonts w:eastAsia="黑体"/>
                <w:bCs/>
                <w:sz w:val="24"/>
                <w:highlight w:val="none"/>
              </w:rPr>
              <w:t>联系人</w:t>
            </w:r>
          </w:p>
        </w:tc>
        <w:tc>
          <w:tcPr>
            <w:tcW w:w="2346" w:type="dxa"/>
            <w:gridSpan w:val="3"/>
            <w:noWrap w:val="0"/>
            <w:vAlign w:val="center"/>
          </w:tcPr>
          <w:p>
            <w:pPr>
              <w:tabs>
                <w:tab w:val="left" w:pos="1268"/>
              </w:tabs>
              <w:spacing w:line="480" w:lineRule="exact"/>
              <w:jc w:val="center"/>
              <w:rPr>
                <w:rFonts w:hint="default" w:eastAsia="宋体"/>
                <w:sz w:val="24"/>
                <w:highlight w:val="none"/>
                <w:lang w:val="en-US" w:eastAsia="zh-CN"/>
              </w:rPr>
            </w:pPr>
            <w:r>
              <w:rPr>
                <w:rFonts w:hint="eastAsia"/>
                <w:sz w:val="24"/>
                <w:highlight w:val="none"/>
                <w:lang w:val="en-US" w:eastAsia="zh-CN"/>
              </w:rPr>
              <w:t>叶剑兵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通讯地址</w:t>
            </w:r>
          </w:p>
        </w:tc>
        <w:tc>
          <w:tcPr>
            <w:tcW w:w="7478" w:type="dxa"/>
            <w:gridSpan w:val="10"/>
            <w:noWrap w:val="0"/>
            <w:vAlign w:val="center"/>
          </w:tcPr>
          <w:p>
            <w:pPr>
              <w:spacing w:line="480" w:lineRule="exact"/>
              <w:jc w:val="center"/>
              <w:rPr>
                <w:rFonts w:hint="default" w:eastAsia="宋体"/>
                <w:sz w:val="24"/>
                <w:lang w:val="en-US" w:eastAsia="zh-CN"/>
              </w:rPr>
            </w:pPr>
            <w:r>
              <w:rPr>
                <w:sz w:val="24"/>
              </w:rPr>
              <w:t>信阳市淮滨县</w:t>
            </w:r>
            <w:r>
              <w:rPr>
                <w:rFonts w:hint="eastAsia"/>
                <w:sz w:val="24"/>
                <w:lang w:val="en-US" w:eastAsia="zh-CN"/>
              </w:rPr>
              <w:t>东湖南路中段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联系电话</w:t>
            </w:r>
          </w:p>
        </w:tc>
        <w:tc>
          <w:tcPr>
            <w:tcW w:w="1886" w:type="dxa"/>
            <w:gridSpan w:val="2"/>
            <w:noWrap w:val="0"/>
            <w:vAlign w:val="center"/>
          </w:tcPr>
          <w:p>
            <w:pPr>
              <w:spacing w:line="480" w:lineRule="exact"/>
              <w:jc w:val="center"/>
              <w:rPr>
                <w:rFonts w:hint="default" w:eastAsia="Calibri"/>
                <w:sz w:val="24"/>
                <w:lang w:val="en-US" w:eastAsia="zh-CN"/>
              </w:rPr>
            </w:pPr>
            <w:r>
              <w:rPr>
                <w:sz w:val="24"/>
              </w:rPr>
              <w:t>1</w:t>
            </w:r>
            <w:r>
              <w:rPr>
                <w:rFonts w:hint="eastAsia"/>
                <w:sz w:val="24"/>
                <w:lang w:val="en-US" w:eastAsia="zh-CN"/>
              </w:rPr>
              <w:t>5528975678</w:t>
            </w:r>
          </w:p>
        </w:tc>
        <w:tc>
          <w:tcPr>
            <w:tcW w:w="941" w:type="dxa"/>
            <w:noWrap w:val="0"/>
            <w:vAlign w:val="center"/>
          </w:tcPr>
          <w:p>
            <w:pPr>
              <w:spacing w:line="480" w:lineRule="exact"/>
              <w:jc w:val="center"/>
              <w:rPr>
                <w:bCs/>
                <w:sz w:val="24"/>
              </w:rPr>
            </w:pPr>
            <w:r>
              <w:rPr>
                <w:bCs/>
                <w:sz w:val="24"/>
              </w:rPr>
              <w:t>传真</w:t>
            </w:r>
          </w:p>
        </w:tc>
        <w:tc>
          <w:tcPr>
            <w:tcW w:w="2305" w:type="dxa"/>
            <w:gridSpan w:val="4"/>
            <w:noWrap w:val="0"/>
            <w:vAlign w:val="center"/>
          </w:tcPr>
          <w:p>
            <w:pPr>
              <w:spacing w:line="480" w:lineRule="exact"/>
              <w:jc w:val="center"/>
              <w:rPr>
                <w:sz w:val="24"/>
              </w:rPr>
            </w:pPr>
            <w:r>
              <w:rPr>
                <w:sz w:val="24"/>
              </w:rPr>
              <w:t>—</w:t>
            </w:r>
          </w:p>
        </w:tc>
        <w:tc>
          <w:tcPr>
            <w:tcW w:w="1262" w:type="dxa"/>
            <w:noWrap w:val="0"/>
            <w:vAlign w:val="center"/>
          </w:tcPr>
          <w:p>
            <w:pPr>
              <w:spacing w:line="480" w:lineRule="exact"/>
              <w:jc w:val="center"/>
              <w:rPr>
                <w:bCs/>
                <w:sz w:val="24"/>
              </w:rPr>
            </w:pPr>
            <w:r>
              <w:rPr>
                <w:bCs/>
                <w:sz w:val="24"/>
              </w:rPr>
              <w:t>邮政编码</w:t>
            </w:r>
          </w:p>
        </w:tc>
        <w:tc>
          <w:tcPr>
            <w:tcW w:w="1084" w:type="dxa"/>
            <w:gridSpan w:val="2"/>
            <w:noWrap w:val="0"/>
            <w:vAlign w:val="center"/>
          </w:tcPr>
          <w:p>
            <w:pPr>
              <w:spacing w:line="480" w:lineRule="exact"/>
              <w:jc w:val="center"/>
              <w:rPr>
                <w:sz w:val="24"/>
              </w:rPr>
            </w:pPr>
            <w:r>
              <w:rPr>
                <w:sz w:val="24"/>
              </w:rPr>
              <w:t>464400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40" w:hRule="atLeast"/>
        </w:trPr>
        <w:tc>
          <w:tcPr>
            <w:tcW w:w="1818" w:type="dxa"/>
            <w:noWrap w:val="0"/>
            <w:vAlign w:val="center"/>
          </w:tcPr>
          <w:p>
            <w:pPr>
              <w:spacing w:line="480" w:lineRule="exact"/>
              <w:jc w:val="center"/>
              <w:rPr>
                <w:b/>
                <w:sz w:val="24"/>
              </w:rPr>
            </w:pPr>
            <w:r>
              <w:rPr>
                <w:b/>
                <w:sz w:val="24"/>
              </w:rPr>
              <w:t>建设地点</w:t>
            </w:r>
          </w:p>
        </w:tc>
        <w:tc>
          <w:tcPr>
            <w:tcW w:w="7478" w:type="dxa"/>
            <w:gridSpan w:val="10"/>
            <w:noWrap w:val="0"/>
            <w:vAlign w:val="center"/>
          </w:tcPr>
          <w:p>
            <w:pPr>
              <w:spacing w:line="480" w:lineRule="exact"/>
              <w:jc w:val="center"/>
              <w:rPr>
                <w:rFonts w:hint="eastAsia" w:eastAsia="Calibri"/>
                <w:bCs/>
                <w:sz w:val="24"/>
                <w:lang w:val="en-US" w:eastAsia="zh-CN"/>
              </w:rPr>
            </w:pPr>
            <w:r>
              <w:rPr>
                <w:sz w:val="24"/>
              </w:rPr>
              <w:t>信阳市淮滨县</w:t>
            </w:r>
            <w:r>
              <w:rPr>
                <w:rFonts w:hint="eastAsia"/>
                <w:sz w:val="24"/>
                <w:lang w:val="en-US" w:eastAsia="zh-CN"/>
              </w:rPr>
              <w:t>城区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立项审批部门</w:t>
            </w:r>
          </w:p>
        </w:tc>
        <w:tc>
          <w:tcPr>
            <w:tcW w:w="3780" w:type="dxa"/>
            <w:gridSpan w:val="5"/>
            <w:noWrap w:val="0"/>
            <w:tcMar>
              <w:left w:w="57" w:type="dxa"/>
            </w:tcMar>
            <w:vAlign w:val="center"/>
          </w:tcPr>
          <w:p>
            <w:pPr>
              <w:spacing w:line="480" w:lineRule="exact"/>
              <w:jc w:val="center"/>
              <w:rPr>
                <w:sz w:val="24"/>
              </w:rPr>
            </w:pPr>
            <w:r>
              <w:rPr>
                <w:sz w:val="24"/>
              </w:rPr>
              <w:t>淮滨县发展和改革委员会</w:t>
            </w:r>
          </w:p>
        </w:tc>
        <w:tc>
          <w:tcPr>
            <w:tcW w:w="1251" w:type="dxa"/>
            <w:noWrap w:val="0"/>
            <w:tcMar>
              <w:left w:w="28" w:type="dxa"/>
              <w:right w:w="28" w:type="dxa"/>
            </w:tcMar>
            <w:vAlign w:val="center"/>
          </w:tcPr>
          <w:p>
            <w:pPr>
              <w:spacing w:line="480" w:lineRule="exact"/>
              <w:jc w:val="center"/>
              <w:rPr>
                <w:b/>
                <w:sz w:val="24"/>
              </w:rPr>
            </w:pPr>
            <w:r>
              <w:rPr>
                <w:b/>
                <w:sz w:val="24"/>
              </w:rPr>
              <w:t>批准文号</w:t>
            </w:r>
          </w:p>
        </w:tc>
        <w:tc>
          <w:tcPr>
            <w:tcW w:w="2447" w:type="dxa"/>
            <w:gridSpan w:val="4"/>
            <w:noWrap w:val="0"/>
            <w:tcMar>
              <w:left w:w="0" w:type="dxa"/>
              <w:right w:w="0" w:type="dxa"/>
            </w:tcMar>
            <w:vAlign w:val="center"/>
          </w:tcPr>
          <w:p>
            <w:pPr>
              <w:spacing w:line="300" w:lineRule="exact"/>
              <w:jc w:val="center"/>
              <w:rPr>
                <w:rFonts w:hint="default" w:eastAsia="宋体"/>
                <w:sz w:val="24"/>
                <w:lang w:val="en-US" w:eastAsia="zh-CN"/>
              </w:rPr>
            </w:pPr>
            <w:r>
              <w:rPr>
                <w:rFonts w:hint="eastAsia"/>
                <w:sz w:val="24"/>
              </w:rPr>
              <w:t>2019--411527--45--03--024281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852" w:hRule="atLeast"/>
        </w:trPr>
        <w:tc>
          <w:tcPr>
            <w:tcW w:w="1818" w:type="dxa"/>
            <w:noWrap w:val="0"/>
            <w:vAlign w:val="center"/>
          </w:tcPr>
          <w:p>
            <w:pPr>
              <w:spacing w:line="480" w:lineRule="exact"/>
              <w:jc w:val="center"/>
              <w:rPr>
                <w:b/>
                <w:sz w:val="24"/>
              </w:rPr>
            </w:pPr>
            <w:r>
              <w:rPr>
                <w:b/>
                <w:sz w:val="24"/>
              </w:rPr>
              <w:t>建设性质</w:t>
            </w:r>
          </w:p>
        </w:tc>
        <w:tc>
          <w:tcPr>
            <w:tcW w:w="3780" w:type="dxa"/>
            <w:gridSpan w:val="5"/>
            <w:noWrap w:val="0"/>
            <w:vAlign w:val="center"/>
          </w:tcPr>
          <w:p>
            <w:pPr>
              <w:spacing w:line="480" w:lineRule="exact"/>
              <w:jc w:val="center"/>
              <w:rPr>
                <w:sz w:val="24"/>
              </w:rPr>
            </w:pPr>
            <w:r>
              <w:rPr>
                <w:sz w:val="24"/>
              </w:rPr>
              <w:t xml:space="preserve">新建√ </w:t>
            </w:r>
            <w:r>
              <w:rPr>
                <w:bCs/>
                <w:sz w:val="24"/>
              </w:rPr>
              <w:t xml:space="preserve">  </w:t>
            </w:r>
            <w:r>
              <w:rPr>
                <w:sz w:val="24"/>
              </w:rPr>
              <w:t xml:space="preserve"> 改扩建   技改</w:t>
            </w:r>
          </w:p>
        </w:tc>
        <w:tc>
          <w:tcPr>
            <w:tcW w:w="1251" w:type="dxa"/>
            <w:noWrap w:val="0"/>
            <w:tcMar>
              <w:left w:w="0" w:type="dxa"/>
              <w:right w:w="0" w:type="dxa"/>
            </w:tcMar>
            <w:vAlign w:val="center"/>
          </w:tcPr>
          <w:p>
            <w:pPr>
              <w:spacing w:line="480" w:lineRule="exact"/>
              <w:jc w:val="center"/>
              <w:rPr>
                <w:b/>
                <w:sz w:val="24"/>
              </w:rPr>
            </w:pPr>
            <w:r>
              <w:rPr>
                <w:b/>
                <w:sz w:val="24"/>
              </w:rPr>
              <w:t>行业类别</w:t>
            </w:r>
          </w:p>
          <w:p>
            <w:pPr>
              <w:spacing w:line="480" w:lineRule="exact"/>
              <w:jc w:val="center"/>
              <w:rPr>
                <w:b/>
                <w:sz w:val="24"/>
              </w:rPr>
            </w:pPr>
            <w:r>
              <w:rPr>
                <w:b/>
                <w:sz w:val="24"/>
              </w:rPr>
              <w:t>及代码</w:t>
            </w:r>
          </w:p>
        </w:tc>
        <w:tc>
          <w:tcPr>
            <w:tcW w:w="2447" w:type="dxa"/>
            <w:gridSpan w:val="4"/>
            <w:noWrap w:val="0"/>
            <w:vAlign w:val="center"/>
          </w:tcPr>
          <w:p>
            <w:pPr>
              <w:spacing w:line="300" w:lineRule="exact"/>
              <w:jc w:val="center"/>
              <w:rPr>
                <w:rFonts w:hint="eastAsia" w:eastAsia="Calibri"/>
                <w:bCs/>
                <w:kern w:val="0"/>
                <w:sz w:val="24"/>
                <w:lang w:val="en-US" w:eastAsia="zh-CN"/>
              </w:rPr>
            </w:pPr>
            <w:r>
              <w:rPr>
                <w:rFonts w:hint="eastAsia"/>
                <w:bCs/>
                <w:kern w:val="0"/>
                <w:sz w:val="24"/>
              </w:rPr>
              <w:t>D4</w:t>
            </w:r>
            <w:r>
              <w:rPr>
                <w:rFonts w:hint="eastAsia"/>
                <w:bCs/>
                <w:kern w:val="0"/>
                <w:sz w:val="24"/>
                <w:lang w:val="en-US" w:eastAsia="zh-CN"/>
              </w:rPr>
              <w:t>511天然气</w:t>
            </w:r>
            <w:r>
              <w:rPr>
                <w:rFonts w:hint="eastAsia"/>
                <w:bCs/>
                <w:kern w:val="0"/>
                <w:sz w:val="24"/>
              </w:rPr>
              <w:t>生产和供应</w:t>
            </w:r>
            <w:r>
              <w:rPr>
                <w:rFonts w:hint="eastAsia"/>
                <w:bCs/>
                <w:kern w:val="0"/>
                <w:sz w:val="24"/>
                <w:lang w:val="en-US" w:eastAsia="zh-CN"/>
              </w:rPr>
              <w:t>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rFonts w:hint="eastAsia" w:eastAsia="Calibri"/>
                <w:b/>
                <w:sz w:val="24"/>
                <w:lang w:eastAsia="zh-CN"/>
              </w:rPr>
            </w:pPr>
            <w:r>
              <w:rPr>
                <w:rFonts w:hint="eastAsia"/>
                <w:b/>
                <w:sz w:val="24"/>
                <w:lang w:val="en-US" w:eastAsia="zh-CN"/>
              </w:rPr>
              <w:t>长度</w:t>
            </w:r>
          </w:p>
          <w:p>
            <w:pPr>
              <w:spacing w:line="480" w:lineRule="exact"/>
              <w:jc w:val="center"/>
              <w:rPr>
                <w:b/>
                <w:sz w:val="24"/>
              </w:rPr>
            </w:pPr>
            <w:r>
              <w:rPr>
                <w:b/>
                <w:sz w:val="24"/>
              </w:rPr>
              <w:t>（</w:t>
            </w:r>
            <w:r>
              <w:rPr>
                <w:rFonts w:hint="eastAsia"/>
                <w:b/>
                <w:sz w:val="24"/>
                <w:lang w:val="en-US" w:eastAsia="zh-CN"/>
              </w:rPr>
              <w:t>千</w:t>
            </w:r>
            <w:r>
              <w:rPr>
                <w:b/>
                <w:sz w:val="24"/>
              </w:rPr>
              <w:t>米）</w:t>
            </w:r>
          </w:p>
        </w:tc>
        <w:tc>
          <w:tcPr>
            <w:tcW w:w="3780" w:type="dxa"/>
            <w:gridSpan w:val="5"/>
            <w:noWrap w:val="0"/>
            <w:vAlign w:val="center"/>
          </w:tcPr>
          <w:p>
            <w:pPr>
              <w:spacing w:line="480" w:lineRule="exact"/>
              <w:jc w:val="center"/>
              <w:rPr>
                <w:rFonts w:hint="default"/>
                <w:sz w:val="24"/>
                <w:lang w:val="en-US"/>
              </w:rPr>
            </w:pPr>
            <w:r>
              <w:rPr>
                <w:rFonts w:hint="eastAsia"/>
                <w:sz w:val="24"/>
                <w:lang w:val="en-US" w:eastAsia="zh-CN"/>
              </w:rPr>
              <w:t>200</w:t>
            </w:r>
          </w:p>
        </w:tc>
        <w:tc>
          <w:tcPr>
            <w:tcW w:w="1251" w:type="dxa"/>
            <w:noWrap w:val="0"/>
            <w:tcMar>
              <w:left w:w="0" w:type="dxa"/>
              <w:right w:w="0" w:type="dxa"/>
            </w:tcMar>
            <w:vAlign w:val="center"/>
          </w:tcPr>
          <w:p>
            <w:pPr>
              <w:spacing w:line="480" w:lineRule="exact"/>
              <w:jc w:val="center"/>
              <w:rPr>
                <w:b/>
                <w:sz w:val="24"/>
              </w:rPr>
            </w:pPr>
            <w:r>
              <w:rPr>
                <w:b/>
                <w:sz w:val="24"/>
              </w:rPr>
              <w:t>绿化面积</w:t>
            </w:r>
          </w:p>
          <w:p>
            <w:pPr>
              <w:spacing w:line="480" w:lineRule="exact"/>
              <w:jc w:val="center"/>
              <w:rPr>
                <w:b/>
                <w:sz w:val="24"/>
              </w:rPr>
            </w:pPr>
            <w:r>
              <w:rPr>
                <w:b/>
                <w:sz w:val="24"/>
              </w:rPr>
              <w:t>（平方米）</w:t>
            </w:r>
          </w:p>
        </w:tc>
        <w:tc>
          <w:tcPr>
            <w:tcW w:w="2447" w:type="dxa"/>
            <w:gridSpan w:val="4"/>
            <w:noWrap w:val="0"/>
            <w:vAlign w:val="center"/>
          </w:tcPr>
          <w:p>
            <w:pPr>
              <w:spacing w:line="480" w:lineRule="exact"/>
              <w:jc w:val="center"/>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总投资</w:t>
            </w:r>
          </w:p>
          <w:p>
            <w:pPr>
              <w:spacing w:line="480" w:lineRule="exact"/>
              <w:jc w:val="center"/>
              <w:rPr>
                <w:b/>
                <w:sz w:val="24"/>
              </w:rPr>
            </w:pPr>
            <w:r>
              <w:rPr>
                <w:b/>
                <w:sz w:val="24"/>
              </w:rPr>
              <w:t>（万元）</w:t>
            </w:r>
          </w:p>
        </w:tc>
        <w:tc>
          <w:tcPr>
            <w:tcW w:w="1512" w:type="dxa"/>
            <w:noWrap w:val="0"/>
            <w:vAlign w:val="center"/>
          </w:tcPr>
          <w:p>
            <w:pPr>
              <w:spacing w:line="480" w:lineRule="exact"/>
              <w:jc w:val="center"/>
              <w:rPr>
                <w:sz w:val="24"/>
              </w:rPr>
            </w:pPr>
            <w:r>
              <w:rPr>
                <w:rFonts w:hint="eastAsia"/>
                <w:sz w:val="24"/>
                <w:lang w:val="en-US" w:eastAsia="zh-CN"/>
              </w:rPr>
              <w:t>120</w:t>
            </w:r>
            <w:r>
              <w:rPr>
                <w:sz w:val="24"/>
              </w:rPr>
              <w:t>00</w:t>
            </w:r>
          </w:p>
        </w:tc>
        <w:tc>
          <w:tcPr>
            <w:tcW w:w="2268" w:type="dxa"/>
            <w:gridSpan w:val="4"/>
            <w:noWrap w:val="0"/>
            <w:vAlign w:val="center"/>
          </w:tcPr>
          <w:p>
            <w:pPr>
              <w:spacing w:line="480" w:lineRule="exact"/>
              <w:jc w:val="center"/>
              <w:rPr>
                <w:b/>
                <w:sz w:val="24"/>
              </w:rPr>
            </w:pPr>
            <w:r>
              <w:rPr>
                <w:b/>
                <w:sz w:val="24"/>
              </w:rPr>
              <w:t>其中：环保投资</w:t>
            </w:r>
          </w:p>
          <w:p>
            <w:pPr>
              <w:spacing w:line="480" w:lineRule="exact"/>
              <w:jc w:val="center"/>
              <w:rPr>
                <w:b/>
                <w:sz w:val="24"/>
              </w:rPr>
            </w:pPr>
            <w:r>
              <w:rPr>
                <w:b/>
                <w:sz w:val="24"/>
              </w:rPr>
              <w:t>（万元）</w:t>
            </w:r>
          </w:p>
        </w:tc>
        <w:tc>
          <w:tcPr>
            <w:tcW w:w="1251" w:type="dxa"/>
            <w:noWrap w:val="0"/>
            <w:vAlign w:val="center"/>
          </w:tcPr>
          <w:p>
            <w:pPr>
              <w:spacing w:line="480" w:lineRule="exact"/>
              <w:jc w:val="center"/>
              <w:rPr>
                <w:rFonts w:hint="default" w:eastAsia="宋体"/>
                <w:sz w:val="24"/>
                <w:highlight w:val="none"/>
                <w:lang w:val="en-US" w:eastAsia="zh-CN"/>
              </w:rPr>
            </w:pPr>
            <w:r>
              <w:rPr>
                <w:rFonts w:hint="eastAsia"/>
                <w:sz w:val="24"/>
                <w:highlight w:val="none"/>
                <w:lang w:val="en-US" w:eastAsia="zh-CN"/>
              </w:rPr>
              <w:t>361</w:t>
            </w:r>
          </w:p>
        </w:tc>
        <w:tc>
          <w:tcPr>
            <w:tcW w:w="1631" w:type="dxa"/>
            <w:gridSpan w:val="3"/>
            <w:noWrap w:val="0"/>
            <w:tcMar>
              <w:left w:w="0" w:type="dxa"/>
              <w:right w:w="0" w:type="dxa"/>
            </w:tcMar>
            <w:vAlign w:val="top"/>
          </w:tcPr>
          <w:p>
            <w:pPr>
              <w:spacing w:line="480" w:lineRule="exact"/>
              <w:jc w:val="center"/>
              <w:rPr>
                <w:rFonts w:eastAsia="黑体"/>
                <w:bCs/>
                <w:sz w:val="24"/>
                <w:highlight w:val="none"/>
              </w:rPr>
            </w:pPr>
            <w:r>
              <w:rPr>
                <w:b/>
                <w:sz w:val="24"/>
                <w:highlight w:val="none"/>
              </w:rPr>
              <w:t>环保投资占总投资比例</w:t>
            </w:r>
          </w:p>
        </w:tc>
        <w:tc>
          <w:tcPr>
            <w:tcW w:w="816" w:type="dxa"/>
            <w:noWrap w:val="0"/>
            <w:tcMar>
              <w:left w:w="0" w:type="dxa"/>
              <w:right w:w="0" w:type="dxa"/>
            </w:tcMar>
            <w:vAlign w:val="center"/>
          </w:tcPr>
          <w:p>
            <w:pPr>
              <w:spacing w:line="480" w:lineRule="exact"/>
              <w:jc w:val="center"/>
              <w:rPr>
                <w:sz w:val="24"/>
                <w:highlight w:val="none"/>
              </w:rPr>
            </w:pPr>
            <w:r>
              <w:rPr>
                <w:rFonts w:hint="eastAsia"/>
                <w:sz w:val="24"/>
                <w:highlight w:val="none"/>
                <w:lang w:val="en-US" w:eastAsia="zh-CN"/>
              </w:rPr>
              <w:t>3</w:t>
            </w:r>
            <w:r>
              <w:rPr>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934" w:hRule="atLeast"/>
        </w:trPr>
        <w:tc>
          <w:tcPr>
            <w:tcW w:w="1818" w:type="dxa"/>
            <w:noWrap w:val="0"/>
            <w:vAlign w:val="center"/>
          </w:tcPr>
          <w:p>
            <w:pPr>
              <w:spacing w:line="480" w:lineRule="exact"/>
              <w:jc w:val="center"/>
              <w:rPr>
                <w:b/>
                <w:sz w:val="24"/>
              </w:rPr>
            </w:pPr>
            <w:r>
              <w:rPr>
                <w:b/>
                <w:sz w:val="24"/>
              </w:rPr>
              <w:t>评价经费</w:t>
            </w:r>
          </w:p>
          <w:p>
            <w:pPr>
              <w:spacing w:line="480" w:lineRule="exact"/>
              <w:jc w:val="center"/>
              <w:rPr>
                <w:b/>
                <w:sz w:val="24"/>
              </w:rPr>
            </w:pPr>
            <w:r>
              <w:rPr>
                <w:b/>
                <w:sz w:val="24"/>
              </w:rPr>
              <w:t>（万元）</w:t>
            </w:r>
          </w:p>
        </w:tc>
        <w:tc>
          <w:tcPr>
            <w:tcW w:w="1512" w:type="dxa"/>
            <w:noWrap w:val="0"/>
            <w:vAlign w:val="center"/>
          </w:tcPr>
          <w:p>
            <w:pPr>
              <w:spacing w:line="480" w:lineRule="exact"/>
              <w:jc w:val="center"/>
              <w:rPr>
                <w:sz w:val="24"/>
              </w:rPr>
            </w:pPr>
            <w:r>
              <w:rPr>
                <w:sz w:val="24"/>
              </w:rPr>
              <w:t>/</w:t>
            </w:r>
          </w:p>
        </w:tc>
        <w:tc>
          <w:tcPr>
            <w:tcW w:w="2268" w:type="dxa"/>
            <w:gridSpan w:val="4"/>
            <w:noWrap w:val="0"/>
            <w:vAlign w:val="center"/>
          </w:tcPr>
          <w:p>
            <w:pPr>
              <w:spacing w:line="480" w:lineRule="exact"/>
              <w:jc w:val="center"/>
              <w:rPr>
                <w:b/>
                <w:sz w:val="24"/>
              </w:rPr>
            </w:pPr>
            <w:r>
              <w:rPr>
                <w:b/>
                <w:sz w:val="24"/>
              </w:rPr>
              <w:t>预期投产日期</w:t>
            </w:r>
          </w:p>
        </w:tc>
        <w:tc>
          <w:tcPr>
            <w:tcW w:w="3698" w:type="dxa"/>
            <w:gridSpan w:val="5"/>
            <w:noWrap w:val="0"/>
            <w:vAlign w:val="center"/>
          </w:tcPr>
          <w:p>
            <w:pPr>
              <w:spacing w:line="480" w:lineRule="exact"/>
              <w:jc w:val="center"/>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1237" w:hRule="atLeast"/>
        </w:trPr>
        <w:tc>
          <w:tcPr>
            <w:tcW w:w="9296" w:type="dxa"/>
            <w:gridSpan w:val="11"/>
            <w:noWrap w:val="0"/>
            <w:vAlign w:val="center"/>
          </w:tcPr>
          <w:p>
            <w:pPr>
              <w:spacing w:line="360" w:lineRule="auto"/>
              <w:rPr>
                <w:b/>
                <w:bCs/>
                <w:sz w:val="24"/>
              </w:rPr>
            </w:pPr>
            <w:r>
              <w:rPr>
                <w:b/>
                <w:bCs/>
                <w:sz w:val="24"/>
              </w:rPr>
              <w:t>工程内容及规模：</w:t>
            </w:r>
          </w:p>
          <w:p>
            <w:pPr>
              <w:spacing w:line="520" w:lineRule="exact"/>
              <w:rPr>
                <w:sz w:val="24"/>
              </w:rPr>
            </w:pPr>
            <w:r>
              <w:rPr>
                <w:sz w:val="24"/>
              </w:rPr>
              <w:t>1、项目由来</w:t>
            </w:r>
          </w:p>
          <w:p>
            <w:pPr>
              <w:spacing w:line="480" w:lineRule="exact"/>
              <w:ind w:firstLine="480" w:firstLineChars="200"/>
              <w:rPr>
                <w:rFonts w:hint="default" w:eastAsia="宋体"/>
                <w:sz w:val="24"/>
                <w:lang w:val="en-US" w:eastAsia="zh-CN"/>
              </w:rPr>
            </w:pPr>
            <w:r>
              <w:rPr>
                <w:rFonts w:hint="eastAsia"/>
                <w:sz w:val="24"/>
                <w:lang w:eastAsia="zh-CN"/>
              </w:rPr>
              <w:t>近年来经济发展较快，天然气这一高洁能源的引入，不仅其本身将会形成新的产业，也将带动一批新的利用天然气作为原（燃）料的企业或产业的建立和发展，这将使河南省淮滨县的产业结构得到优化调整，起到减少投资，保护环境的效果，对经济的发展产生相当的积极作用。城市燃气管道化是城市基础设施之一，也是现代化城市的重要标 志，城市燃气管道化的规模及水平也是城市地位及实力的体现。淮滨县西部十乡镇燃气管网建设后，将大幅度提高城市的气化率，对于提升淮滨县整体形象，提高城市品位，改善人民物质生活条件，构建和谐社会有着重要意义。本项目的实施，既符合淮滨县总体规划要求，也是城市基础设施现代化所必需的。</w:t>
            </w:r>
            <w:r>
              <w:rPr>
                <w:rFonts w:hint="eastAsia"/>
                <w:sz w:val="24"/>
                <w:lang w:val="en-US" w:eastAsia="zh-CN"/>
              </w:rPr>
              <w:t>为此，</w:t>
            </w:r>
            <w:r>
              <w:rPr>
                <w:rFonts w:hint="eastAsia"/>
                <w:sz w:val="24"/>
                <w:lang w:eastAsia="zh-CN"/>
              </w:rPr>
              <w:t>淮滨县虹益天然气有限公司</w:t>
            </w:r>
            <w:r>
              <w:rPr>
                <w:sz w:val="24"/>
              </w:rPr>
              <w:t>拟投资</w:t>
            </w:r>
            <w:r>
              <w:rPr>
                <w:rFonts w:hint="eastAsia"/>
                <w:sz w:val="24"/>
                <w:lang w:val="en-US" w:eastAsia="zh-CN"/>
              </w:rPr>
              <w:t>120</w:t>
            </w:r>
            <w:r>
              <w:rPr>
                <w:sz w:val="24"/>
              </w:rPr>
              <w:t>00万元，在</w:t>
            </w:r>
            <w:r>
              <w:rPr>
                <w:rFonts w:hint="eastAsia"/>
                <w:sz w:val="24"/>
              </w:rPr>
              <w:t>信阳市淮滨县</w:t>
            </w:r>
            <w:r>
              <w:rPr>
                <w:sz w:val="24"/>
              </w:rPr>
              <w:t>建设</w:t>
            </w:r>
            <w:r>
              <w:rPr>
                <w:rFonts w:hint="eastAsia"/>
                <w:sz w:val="24"/>
                <w:lang w:eastAsia="zh-CN"/>
              </w:rPr>
              <w:t>淮滨县西部十乡镇天然气管道工程建设项目</w:t>
            </w:r>
            <w:r>
              <w:rPr>
                <w:sz w:val="24"/>
              </w:rPr>
              <w:t>。</w:t>
            </w:r>
            <w:r>
              <w:rPr>
                <w:rFonts w:hint="eastAsia" w:eastAsia="宋体"/>
                <w:sz w:val="24"/>
                <w:lang w:val="en-US" w:eastAsia="zh-CN"/>
              </w:rPr>
              <w:t>工程施工范围主要限制在乡镇道路沿线。</w:t>
            </w:r>
          </w:p>
          <w:p>
            <w:pPr>
              <w:spacing w:line="480" w:lineRule="exact"/>
              <w:ind w:firstLine="480" w:firstLineChars="200"/>
              <w:rPr>
                <w:rFonts w:hint="eastAsia" w:ascii="Times New Roman" w:hAnsi="Times New Roman" w:eastAsia="宋体" w:cs="Times New Roman"/>
                <w:sz w:val="24"/>
                <w:highlight w:val="none"/>
                <w:lang w:eastAsia="zh-CN"/>
              </w:rPr>
            </w:pPr>
            <w:r>
              <w:rPr>
                <w:sz w:val="24"/>
              </w:rPr>
              <w:t>对照《建设项目环境保护分类管理名录（环保部第44号令）》（2018年修订），本项目属于“</w:t>
            </w:r>
            <w:r>
              <w:rPr>
                <w:rFonts w:hint="eastAsia"/>
                <w:sz w:val="24"/>
                <w:lang w:val="en-US" w:eastAsia="zh-CN"/>
              </w:rPr>
              <w:t>四十九</w:t>
            </w:r>
            <w:r>
              <w:rPr>
                <w:sz w:val="24"/>
              </w:rPr>
              <w:t>、</w:t>
            </w:r>
            <w:r>
              <w:rPr>
                <w:rFonts w:hint="eastAsia"/>
                <w:sz w:val="24"/>
                <w:lang w:val="en-US" w:eastAsia="zh-CN"/>
              </w:rPr>
              <w:t>交通运输业</w:t>
            </w:r>
            <w:r>
              <w:rPr>
                <w:sz w:val="24"/>
              </w:rPr>
              <w:t>、</w:t>
            </w:r>
            <w:r>
              <w:rPr>
                <w:rFonts w:hint="eastAsia"/>
                <w:sz w:val="24"/>
                <w:lang w:val="en-US" w:eastAsia="zh-CN"/>
              </w:rPr>
              <w:t>管道运输业和仓储业</w:t>
            </w:r>
            <w:r>
              <w:rPr>
                <w:rFonts w:hint="eastAsia"/>
                <w:sz w:val="24"/>
              </w:rPr>
              <w:t>‘175、城市管网及管廊建设’”之列</w:t>
            </w:r>
            <w:r>
              <w:rPr>
                <w:sz w:val="24"/>
              </w:rPr>
              <w:t>，应编制环境影响报告表。为此</w:t>
            </w:r>
            <w:r>
              <w:rPr>
                <w:rFonts w:hint="default" w:ascii="Times New Roman" w:hAnsi="Times New Roman" w:cs="Times New Roman"/>
                <w:sz w:val="24"/>
                <w:highlight w:val="none"/>
              </w:rPr>
              <w:t>，</w:t>
            </w:r>
            <w:r>
              <w:rPr>
                <w:rFonts w:hint="default" w:ascii="Times New Roman" w:hAnsi="Times New Roman" w:cs="Times New Roman"/>
                <w:sz w:val="24"/>
                <w:highlight w:val="none"/>
                <w:lang w:eastAsia="zh-CN"/>
              </w:rPr>
              <w:t>淮滨县虹益天然气有限公司</w:t>
            </w:r>
            <w:r>
              <w:rPr>
                <w:rFonts w:hint="default" w:ascii="Times New Roman" w:hAnsi="Times New Roman" w:cs="Times New Roman"/>
                <w:sz w:val="24"/>
                <w:highlight w:val="none"/>
              </w:rPr>
              <w:t>委托我公司承担该项目的环境影响评价工作（委托书见附件1）。我公司接受委托后，立即组织人员对该项目进行了现场踏勘和资料收集，按照环评技术规范的相关要求，编制完成《</w:t>
            </w:r>
            <w:r>
              <w:rPr>
                <w:rFonts w:hint="default" w:ascii="Times New Roman" w:hAnsi="Times New Roman" w:cs="Times New Roman"/>
                <w:sz w:val="24"/>
                <w:highlight w:val="none"/>
                <w:lang w:eastAsia="zh-CN"/>
              </w:rPr>
              <w:t>淮滨县西部十乡镇天然气管道工程建设项目</w:t>
            </w:r>
            <w:r>
              <w:rPr>
                <w:rFonts w:hint="default" w:ascii="Times New Roman" w:hAnsi="Times New Roman" w:cs="Times New Roman"/>
                <w:sz w:val="24"/>
                <w:highlight w:val="none"/>
              </w:rPr>
              <w:t>环境影响报告表》，提交管理部门审查。</w:t>
            </w:r>
            <w:r>
              <w:rPr>
                <w:rFonts w:hint="eastAsia" w:ascii="Times New Roman" w:hAnsi="Times New Roman" w:eastAsia="宋体" w:cs="Times New Roman"/>
                <w:sz w:val="24"/>
                <w:highlight w:val="none"/>
                <w:lang w:eastAsia="zh-CN"/>
              </w:rPr>
              <w:t>本次评价对象为淮滨县虹益天然气有限公司淮滨县西部十乡镇天然气管道工程建设项目管线工程。</w:t>
            </w:r>
          </w:p>
          <w:p>
            <w:pPr>
              <w:spacing w:line="480" w:lineRule="exact"/>
              <w:rPr>
                <w:rFonts w:hint="default" w:ascii="Times New Roman" w:hAnsi="Times New Roman" w:cs="Times New Roman"/>
                <w:sz w:val="24"/>
                <w:highlight w:val="none"/>
              </w:rPr>
            </w:pPr>
            <w:r>
              <w:rPr>
                <w:rFonts w:hint="default" w:ascii="Times New Roman" w:hAnsi="Times New Roman" w:cs="Times New Roman"/>
                <w:sz w:val="24"/>
                <w:highlight w:val="none"/>
              </w:rPr>
              <w:t>2、产业政策及规划相符性</w:t>
            </w:r>
          </w:p>
          <w:p>
            <w:pPr>
              <w:spacing w:line="480" w:lineRule="exact"/>
              <w:ind w:firstLine="480" w:firstLineChars="200"/>
              <w:rPr>
                <w:sz w:val="24"/>
              </w:rPr>
            </w:pPr>
            <w:r>
              <w:rPr>
                <w:rFonts w:hint="default" w:ascii="Times New Roman" w:hAnsi="Times New Roman" w:cs="Times New Roman"/>
                <w:sz w:val="24"/>
                <w:highlight w:val="none"/>
              </w:rPr>
              <w:t>（1）本项目为</w:t>
            </w:r>
            <w:r>
              <w:rPr>
                <w:rFonts w:hint="default" w:ascii="Times New Roman" w:hAnsi="Times New Roman" w:cs="Times New Roman"/>
                <w:sz w:val="24"/>
                <w:highlight w:val="none"/>
                <w:lang w:val="en-US" w:eastAsia="zh-CN"/>
              </w:rPr>
              <w:t>天然气生产和供应</w:t>
            </w:r>
            <w:r>
              <w:rPr>
                <w:rFonts w:hint="default" w:ascii="Times New Roman" w:hAnsi="Times New Roman" w:cs="Times New Roman"/>
                <w:sz w:val="24"/>
                <w:highlight w:val="none"/>
              </w:rPr>
              <w:t>项目，项目不在国家发展和改革委员会令2013年第21号《产业结构调整指导目录（2011年本）》（2013年修正）“淘汰类、限制类”之列，属于允许类项目。因此，本项目的建设符合国家产业政策。该项目</w:t>
            </w:r>
            <w:r>
              <w:rPr>
                <w:rFonts w:hint="default" w:ascii="Times New Roman" w:hAnsi="Times New Roman" w:cs="Times New Roman"/>
                <w:sz w:val="24"/>
                <w:highlight w:val="none"/>
                <w:lang w:val="en-US" w:eastAsia="zh-CN"/>
              </w:rPr>
              <w:t>可行性研究报告</w:t>
            </w:r>
            <w:r>
              <w:rPr>
                <w:rFonts w:hint="default" w:ascii="Times New Roman" w:hAnsi="Times New Roman" w:cs="Times New Roman"/>
                <w:sz w:val="24"/>
                <w:highlight w:val="none"/>
              </w:rPr>
              <w:t>已</w:t>
            </w:r>
            <w:r>
              <w:rPr>
                <w:rFonts w:hint="default" w:ascii="Times New Roman" w:hAnsi="Times New Roman" w:cs="Times New Roman"/>
                <w:sz w:val="24"/>
                <w:highlight w:val="none"/>
                <w:lang w:val="en-US" w:eastAsia="zh-CN"/>
              </w:rPr>
              <w:t>通过</w:t>
            </w:r>
            <w:r>
              <w:rPr>
                <w:rFonts w:hint="default" w:ascii="Times New Roman" w:hAnsi="Times New Roman" w:cs="Times New Roman"/>
                <w:sz w:val="24"/>
                <w:highlight w:val="none"/>
              </w:rPr>
              <w:t>淮滨县发展和改革委员会</w:t>
            </w:r>
            <w:r>
              <w:rPr>
                <w:rFonts w:hint="eastAsia" w:ascii="Times New Roman" w:hAnsi="Times New Roman" w:cs="Times New Roman"/>
                <w:sz w:val="24"/>
                <w:highlight w:val="none"/>
                <w:lang w:val="en-US" w:eastAsia="zh-CN"/>
              </w:rPr>
              <w:t>备案</w:t>
            </w:r>
            <w:r>
              <w:rPr>
                <w:rFonts w:hint="default" w:ascii="Times New Roman" w:hAnsi="Times New Roman" w:cs="Times New Roman"/>
                <w:sz w:val="24"/>
                <w:highlight w:val="none"/>
              </w:rPr>
              <w:t>，</w:t>
            </w:r>
            <w:r>
              <w:rPr>
                <w:rFonts w:hint="eastAsia" w:ascii="Times New Roman" w:hAnsi="Times New Roman" w:cs="Times New Roman"/>
                <w:sz w:val="24"/>
                <w:highlight w:val="none"/>
                <w:lang w:val="en-US" w:eastAsia="zh-CN"/>
              </w:rPr>
              <w:t>备案</w:t>
            </w:r>
            <w:r>
              <w:rPr>
                <w:rFonts w:hint="default" w:ascii="Times New Roman" w:hAnsi="Times New Roman" w:cs="Times New Roman"/>
                <w:sz w:val="24"/>
                <w:highlight w:val="none"/>
                <w:lang w:val="en-US" w:eastAsia="zh-CN"/>
              </w:rPr>
              <w:t>文号为</w:t>
            </w:r>
            <w:r>
              <w:rPr>
                <w:rFonts w:hint="default" w:ascii="Times New Roman" w:hAnsi="Times New Roman" w:cs="Times New Roman"/>
                <w:sz w:val="24"/>
                <w:highlight w:val="none"/>
              </w:rPr>
              <w:t>：</w:t>
            </w:r>
            <w:r>
              <w:rPr>
                <w:rFonts w:hint="eastAsia" w:ascii="Times New Roman" w:hAnsi="Times New Roman" w:eastAsia="宋体" w:cs="Times New Roman"/>
                <w:sz w:val="24"/>
                <w:highlight w:val="none"/>
                <w:lang w:val="en-US" w:eastAsia="zh-CN"/>
              </w:rPr>
              <w:t>2019--411527--45--03--024281</w:t>
            </w:r>
            <w:r>
              <w:rPr>
                <w:sz w:val="24"/>
              </w:rPr>
              <w:t>（</w:t>
            </w:r>
            <w:r>
              <w:rPr>
                <w:rFonts w:hint="eastAsia"/>
                <w:sz w:val="24"/>
                <w:lang w:val="en-US" w:eastAsia="zh-CN"/>
              </w:rPr>
              <w:t>文件</w:t>
            </w:r>
            <w:r>
              <w:rPr>
                <w:sz w:val="24"/>
              </w:rPr>
              <w:t>见附件2）。</w:t>
            </w:r>
          </w:p>
          <w:p>
            <w:pPr>
              <w:spacing w:line="480" w:lineRule="exact"/>
              <w:ind w:firstLine="480" w:firstLineChars="200"/>
              <w:rPr>
                <w:sz w:val="24"/>
              </w:rPr>
            </w:pPr>
            <w:r>
              <w:rPr>
                <w:sz w:val="24"/>
              </w:rPr>
              <w:t>（2）规划相符性：本项目位于信阳市淮滨县，根据</w:t>
            </w:r>
            <w:r>
              <w:rPr>
                <w:rFonts w:hint="eastAsia"/>
                <w:sz w:val="24"/>
                <w:lang w:eastAsia="zh-CN"/>
              </w:rPr>
              <w:t>《</w:t>
            </w:r>
            <w:r>
              <w:rPr>
                <w:rFonts w:hint="eastAsia"/>
                <w:sz w:val="24"/>
                <w:lang w:val="en-US" w:eastAsia="zh-CN"/>
              </w:rPr>
              <w:t>淮滨县城乡总体规划（2017--2035年）</w:t>
            </w:r>
            <w:r>
              <w:rPr>
                <w:rFonts w:hint="eastAsia"/>
                <w:sz w:val="24"/>
                <w:lang w:eastAsia="zh-CN"/>
              </w:rPr>
              <w:t>》</w:t>
            </w:r>
            <w:r>
              <w:rPr>
                <w:sz w:val="24"/>
              </w:rPr>
              <w:t>，项目建设符合当地土地利用规划。</w:t>
            </w:r>
          </w:p>
          <w:p>
            <w:pPr>
              <w:spacing w:line="480" w:lineRule="exact"/>
              <w:rPr>
                <w:sz w:val="24"/>
              </w:rPr>
            </w:pPr>
            <w:r>
              <w:rPr>
                <w:sz w:val="24"/>
              </w:rPr>
              <w:t>3、项目工程内容</w:t>
            </w:r>
          </w:p>
          <w:p>
            <w:pPr>
              <w:spacing w:line="480" w:lineRule="exact"/>
              <w:rPr>
                <w:sz w:val="24"/>
              </w:rPr>
            </w:pPr>
            <w:r>
              <w:rPr>
                <w:sz w:val="24"/>
              </w:rPr>
              <w:t>3.1项目地理位置及周围概况</w:t>
            </w:r>
          </w:p>
          <w:p>
            <w:pPr>
              <w:spacing w:line="480" w:lineRule="exact"/>
              <w:ind w:firstLine="480" w:firstLineChars="200"/>
              <w:rPr>
                <w:sz w:val="24"/>
                <w:u w:val="none"/>
              </w:rPr>
            </w:pPr>
            <w:r>
              <w:rPr>
                <w:sz w:val="24"/>
                <w:highlight w:val="none"/>
                <w:u w:val="none"/>
              </w:rPr>
              <w:t>本项目位于信阳市</w:t>
            </w:r>
            <w:r>
              <w:rPr>
                <w:sz w:val="24"/>
                <w:highlight w:val="none"/>
              </w:rPr>
              <w:t>淮滨县</w:t>
            </w:r>
            <w:r>
              <w:rPr>
                <w:sz w:val="24"/>
                <w:highlight w:val="none"/>
                <w:u w:val="none"/>
              </w:rPr>
              <w:t>（项目地理位置图详见附图1）。</w:t>
            </w:r>
          </w:p>
          <w:p>
            <w:pPr>
              <w:spacing w:line="480" w:lineRule="exact"/>
              <w:rPr>
                <w:rFonts w:hint="eastAsia" w:eastAsia="宋体"/>
                <w:sz w:val="24"/>
                <w:lang w:val="en-US" w:eastAsia="zh-CN"/>
              </w:rPr>
            </w:pPr>
            <w:r>
              <w:rPr>
                <w:rFonts w:hint="eastAsia" w:eastAsia="宋体"/>
                <w:sz w:val="24"/>
                <w:lang w:val="en-US" w:eastAsia="zh-CN"/>
              </w:rPr>
              <w:t>3.2项目概况</w:t>
            </w:r>
          </w:p>
          <w:p>
            <w:pPr>
              <w:spacing w:line="480" w:lineRule="exact"/>
              <w:ind w:firstLine="480" w:firstLineChars="200"/>
              <w:rPr>
                <w:rFonts w:hint="eastAsia"/>
                <w:sz w:val="24"/>
                <w:highlight w:val="none"/>
                <w:u w:val="none"/>
                <w:lang w:val="en-US" w:eastAsia="zh-CN"/>
              </w:rPr>
            </w:pPr>
            <w:r>
              <w:rPr>
                <w:rFonts w:hint="eastAsia"/>
                <w:sz w:val="24"/>
                <w:highlight w:val="none"/>
                <w:u w:val="none"/>
                <w:lang w:val="en-US" w:eastAsia="zh-CN"/>
              </w:rPr>
              <w:t>项目名称：</w:t>
            </w:r>
            <w:r>
              <w:rPr>
                <w:rFonts w:hint="eastAsia"/>
                <w:sz w:val="24"/>
                <w:lang w:eastAsia="zh-CN"/>
              </w:rPr>
              <w:t>淮滨县西部十乡镇天然气管道工程建设项目</w:t>
            </w:r>
          </w:p>
          <w:p>
            <w:pPr>
              <w:pStyle w:val="7"/>
              <w:spacing w:before="161" w:line="364" w:lineRule="auto"/>
              <w:ind w:right="4487" w:firstLine="480" w:firstLineChars="200"/>
              <w:jc w:val="left"/>
              <w:rPr>
                <w:kern w:val="2"/>
                <w:sz w:val="24"/>
                <w:szCs w:val="24"/>
                <w:highlight w:val="none"/>
                <w:u w:val="none"/>
                <w:lang w:val="en-US" w:eastAsia="zh-CN" w:bidi="ar-SA"/>
              </w:rPr>
            </w:pPr>
            <w:r>
              <w:rPr>
                <w:kern w:val="2"/>
                <w:sz w:val="24"/>
                <w:szCs w:val="24"/>
                <w:highlight w:val="none"/>
                <w:u w:val="none"/>
                <w:lang w:val="en-US" w:eastAsia="zh-CN" w:bidi="ar-SA"/>
              </w:rPr>
              <w:t>建设单位：</w:t>
            </w:r>
            <w:r>
              <w:rPr>
                <w:rFonts w:hint="eastAsia"/>
                <w:kern w:val="2"/>
                <w:sz w:val="24"/>
                <w:szCs w:val="24"/>
                <w:highlight w:val="none"/>
                <w:u w:val="none"/>
                <w:lang w:val="en-US" w:eastAsia="zh-CN" w:bidi="ar-SA"/>
              </w:rPr>
              <w:t>淮滨县虹益天然气有限公司</w:t>
            </w:r>
          </w:p>
          <w:p>
            <w:pPr>
              <w:spacing w:line="480" w:lineRule="exact"/>
              <w:ind w:firstLine="480" w:firstLineChars="200"/>
              <w:rPr>
                <w:sz w:val="24"/>
                <w:highlight w:val="none"/>
                <w:u w:val="none"/>
                <w:lang w:val="en-US" w:eastAsia="zh-CN"/>
              </w:rPr>
            </w:pPr>
            <w:r>
              <w:rPr>
                <w:sz w:val="24"/>
                <w:highlight w:val="none"/>
                <w:u w:val="none"/>
                <w:lang w:val="en-US" w:eastAsia="zh-CN"/>
              </w:rPr>
              <w:t>建设地点：</w:t>
            </w:r>
            <w:r>
              <w:rPr>
                <w:rFonts w:hint="eastAsia"/>
                <w:sz w:val="24"/>
                <w:highlight w:val="none"/>
                <w:u w:val="none"/>
                <w:lang w:val="en-US" w:eastAsia="zh-CN"/>
              </w:rPr>
              <w:t>信阳市淮滨县</w:t>
            </w:r>
          </w:p>
          <w:p>
            <w:pPr>
              <w:pStyle w:val="7"/>
              <w:spacing w:line="307" w:lineRule="exact"/>
              <w:ind w:firstLine="480" w:firstLineChars="200"/>
              <w:jc w:val="left"/>
              <w:rPr>
                <w:kern w:val="2"/>
                <w:sz w:val="24"/>
                <w:szCs w:val="24"/>
                <w:highlight w:val="none"/>
                <w:u w:val="none"/>
                <w:lang w:val="en-US" w:eastAsia="zh-CN" w:bidi="ar-SA"/>
              </w:rPr>
            </w:pPr>
            <w:r>
              <w:rPr>
                <w:kern w:val="2"/>
                <w:sz w:val="24"/>
                <w:szCs w:val="24"/>
                <w:highlight w:val="none"/>
                <w:u w:val="none"/>
                <w:lang w:val="en-US" w:eastAsia="zh-CN" w:bidi="ar-SA"/>
              </w:rPr>
              <w:t>建设性质：新建</w:t>
            </w:r>
          </w:p>
          <w:p>
            <w:pPr>
              <w:pStyle w:val="7"/>
              <w:spacing w:before="158"/>
              <w:ind w:firstLine="480" w:firstLineChars="200"/>
              <w:jc w:val="left"/>
              <w:rPr>
                <w:kern w:val="2"/>
                <w:sz w:val="24"/>
                <w:szCs w:val="24"/>
                <w:highlight w:val="none"/>
                <w:u w:val="none"/>
                <w:lang w:val="en-US" w:eastAsia="zh-CN" w:bidi="ar-SA"/>
              </w:rPr>
            </w:pPr>
            <w:r>
              <w:rPr>
                <w:kern w:val="2"/>
                <w:sz w:val="24"/>
                <w:szCs w:val="24"/>
                <w:highlight w:val="none"/>
                <w:u w:val="none"/>
                <w:lang w:val="en-US" w:eastAsia="zh-CN" w:bidi="ar-SA"/>
              </w:rPr>
              <w:t>建设工期：20</w:t>
            </w:r>
            <w:r>
              <w:rPr>
                <w:rFonts w:hint="eastAsia"/>
                <w:kern w:val="2"/>
                <w:sz w:val="24"/>
                <w:szCs w:val="24"/>
                <w:highlight w:val="none"/>
                <w:u w:val="none"/>
                <w:lang w:val="en-US" w:eastAsia="zh-CN" w:bidi="ar-SA"/>
              </w:rPr>
              <w:t>20</w:t>
            </w:r>
            <w:r>
              <w:rPr>
                <w:kern w:val="2"/>
                <w:sz w:val="24"/>
                <w:szCs w:val="24"/>
                <w:highlight w:val="none"/>
                <w:u w:val="none"/>
                <w:lang w:val="en-US" w:eastAsia="zh-CN" w:bidi="ar-SA"/>
              </w:rPr>
              <w:t>年</w:t>
            </w:r>
            <w:r>
              <w:rPr>
                <w:rFonts w:hint="eastAsia"/>
                <w:kern w:val="2"/>
                <w:sz w:val="24"/>
                <w:szCs w:val="24"/>
                <w:highlight w:val="none"/>
                <w:u w:val="none"/>
                <w:lang w:val="en-US" w:eastAsia="zh-CN" w:bidi="ar-SA"/>
              </w:rPr>
              <w:t>9</w:t>
            </w:r>
            <w:r>
              <w:rPr>
                <w:kern w:val="2"/>
                <w:sz w:val="24"/>
                <w:szCs w:val="24"/>
                <w:highlight w:val="none"/>
                <w:u w:val="none"/>
                <w:lang w:val="en-US" w:eastAsia="zh-CN" w:bidi="ar-SA"/>
              </w:rPr>
              <w:t>月—20</w:t>
            </w:r>
            <w:r>
              <w:rPr>
                <w:rFonts w:hint="eastAsia"/>
                <w:kern w:val="2"/>
                <w:sz w:val="24"/>
                <w:szCs w:val="24"/>
                <w:highlight w:val="none"/>
                <w:u w:val="none"/>
                <w:lang w:val="en-US" w:eastAsia="zh-CN" w:bidi="ar-SA"/>
              </w:rPr>
              <w:t>30</w:t>
            </w:r>
            <w:r>
              <w:rPr>
                <w:kern w:val="2"/>
                <w:sz w:val="24"/>
                <w:szCs w:val="24"/>
                <w:highlight w:val="none"/>
                <w:u w:val="none"/>
                <w:lang w:val="en-US" w:eastAsia="zh-CN" w:bidi="ar-SA"/>
              </w:rPr>
              <w:t>年，</w:t>
            </w:r>
            <w:r>
              <w:rPr>
                <w:rFonts w:hint="eastAsia"/>
                <w:kern w:val="2"/>
                <w:sz w:val="24"/>
                <w:szCs w:val="24"/>
                <w:highlight w:val="none"/>
                <w:u w:val="none"/>
                <w:lang w:val="en-US" w:eastAsia="zh-CN" w:bidi="ar-SA"/>
              </w:rPr>
              <w:t>间断施工，施工期合计</w:t>
            </w:r>
            <w:r>
              <w:rPr>
                <w:kern w:val="2"/>
                <w:sz w:val="24"/>
                <w:szCs w:val="24"/>
                <w:highlight w:val="none"/>
                <w:u w:val="none"/>
                <w:lang w:val="en-US" w:eastAsia="zh-CN" w:bidi="ar-SA"/>
              </w:rPr>
              <w:t>共</w:t>
            </w:r>
            <w:r>
              <w:rPr>
                <w:rFonts w:hint="eastAsia"/>
                <w:kern w:val="2"/>
                <w:sz w:val="24"/>
                <w:szCs w:val="24"/>
                <w:highlight w:val="none"/>
                <w:u w:val="none"/>
                <w:lang w:val="en-US" w:eastAsia="zh-CN" w:bidi="ar-SA"/>
              </w:rPr>
              <w:t>48</w:t>
            </w:r>
            <w:r>
              <w:rPr>
                <w:kern w:val="2"/>
                <w:sz w:val="24"/>
                <w:szCs w:val="24"/>
                <w:highlight w:val="none"/>
                <w:u w:val="none"/>
                <w:lang w:val="en-US" w:eastAsia="zh-CN" w:bidi="ar-SA"/>
              </w:rPr>
              <w:t>个月。</w:t>
            </w:r>
          </w:p>
          <w:p>
            <w:pPr>
              <w:pStyle w:val="7"/>
              <w:spacing w:before="158"/>
              <w:ind w:firstLine="480" w:firstLineChars="200"/>
              <w:jc w:val="left"/>
              <w:rPr>
                <w:rFonts w:hint="default" w:ascii="Times New Roman" w:hAnsi="Times New Roman" w:cs="Times New Roman"/>
                <w:kern w:val="2"/>
                <w:sz w:val="24"/>
                <w:szCs w:val="24"/>
                <w:highlight w:val="none"/>
                <w:u w:val="none"/>
                <w:lang w:val="en-US" w:eastAsia="zh-CN" w:bidi="ar-SA"/>
              </w:rPr>
            </w:pPr>
            <w:r>
              <w:rPr>
                <w:rFonts w:hint="default" w:ascii="Times New Roman" w:hAnsi="Times New Roman" w:cs="Times New Roman"/>
                <w:kern w:val="2"/>
                <w:sz w:val="24"/>
                <w:szCs w:val="24"/>
                <w:highlight w:val="none"/>
                <w:u w:val="none"/>
                <w:lang w:val="en-US" w:eastAsia="zh-CN" w:bidi="ar-SA"/>
              </w:rPr>
              <w:t>投资规模：本项目估算总投资12000万元。</w:t>
            </w:r>
          </w:p>
          <w:p>
            <w:pPr>
              <w:pStyle w:val="7"/>
              <w:spacing w:before="158"/>
              <w:ind w:firstLine="480" w:firstLineChars="200"/>
              <w:jc w:val="left"/>
              <w:rPr>
                <w:rFonts w:hint="default" w:ascii="Times New Roman" w:hAnsi="Times New Roman" w:cs="Times New Roman"/>
                <w:kern w:val="2"/>
                <w:sz w:val="24"/>
                <w:szCs w:val="24"/>
                <w:highlight w:val="none"/>
                <w:u w:val="none"/>
                <w:lang w:val="en-US" w:eastAsia="zh-CN" w:bidi="ar-SA"/>
              </w:rPr>
            </w:pPr>
            <w:r>
              <w:rPr>
                <w:rFonts w:hint="eastAsia" w:ascii="Times New Roman" w:hAnsi="Times New Roman" w:cs="Times New Roman"/>
                <w:kern w:val="2"/>
                <w:sz w:val="24"/>
                <w:szCs w:val="24"/>
                <w:highlight w:val="none"/>
                <w:u w:val="none"/>
                <w:lang w:val="en-US" w:eastAsia="zh-CN" w:bidi="ar-SA"/>
              </w:rPr>
              <w:t>服务范围：淮滨县西部十乡镇：马集镇、台头乡、邓湾乡、芦集乡、新里镇、防胡镇、张里乡、赵集镇、三空桥乡、固城乡十个乡镇镇区及管道沿线农村的中压天然气。</w:t>
            </w:r>
          </w:p>
          <w:p>
            <w:pPr>
              <w:spacing w:line="480" w:lineRule="exact"/>
              <w:rPr>
                <w:sz w:val="24"/>
              </w:rPr>
            </w:pPr>
            <w:r>
              <w:rPr>
                <w:sz w:val="24"/>
              </w:rPr>
              <w:t>3.</w:t>
            </w:r>
            <w:r>
              <w:rPr>
                <w:rFonts w:hint="eastAsia" w:eastAsia="宋体"/>
                <w:sz w:val="24"/>
                <w:lang w:val="en-US" w:eastAsia="zh-CN"/>
              </w:rPr>
              <w:t>3</w:t>
            </w:r>
            <w:r>
              <w:rPr>
                <w:sz w:val="24"/>
              </w:rPr>
              <w:t>项目建设内容</w:t>
            </w:r>
          </w:p>
          <w:p>
            <w:pPr>
              <w:spacing w:line="520" w:lineRule="exact"/>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工程考虑从潢川县境内位于方店的西气东输一线淮武支线潢川分输站接气到淮滨马集门站, 输气管道管材选用“输送流体用无缝钢管”（GB/T8163），该段管道为Ф159x6，设计压力0.8MPa，管道里程约35公里（其中潢川境内24公里，淮滨县境内11公里，定向钻穿越淮河一处，穿越段河流宽约300米），日输气量可达5.7万立方米。输气管道部分无缝钢管防腐等级按照加强级设计，采用3PE防腐同时进行阴极保护。</w:t>
            </w:r>
          </w:p>
          <w:p>
            <w:pPr>
              <w:spacing w:line="520" w:lineRule="exact"/>
              <w:rPr>
                <w:rFonts w:hint="default" w:eastAsia="宋体"/>
                <w:sz w:val="24"/>
                <w:lang w:val="en-US" w:eastAsia="zh-CN"/>
              </w:rPr>
            </w:pPr>
            <w:r>
              <w:rPr>
                <w:sz w:val="24"/>
              </w:rPr>
              <w:t>3.</w:t>
            </w:r>
            <w:r>
              <w:rPr>
                <w:rFonts w:hint="eastAsia" w:eastAsia="宋体"/>
                <w:sz w:val="24"/>
                <w:lang w:val="en-US" w:eastAsia="zh-CN"/>
              </w:rPr>
              <w:t>4气源及天然气组分</w:t>
            </w:r>
          </w:p>
          <w:p>
            <w:pPr>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天然气组分及性质详见下表</w:t>
            </w:r>
          </w:p>
          <w:p>
            <w:pPr>
              <w:spacing w:before="183"/>
              <w:ind w:left="796" w:right="866" w:firstLine="0"/>
              <w:jc w:val="center"/>
              <w:rPr>
                <w:rFonts w:hint="eastAsia" w:ascii="宋体" w:hAnsi="宋体"/>
                <w:b/>
                <w:szCs w:val="28"/>
              </w:rPr>
            </w:pPr>
            <w:r>
              <w:rPr>
                <w:b/>
                <w:sz w:val="24"/>
              </w:rPr>
              <w:t>表</w:t>
            </w:r>
            <w:r>
              <w:rPr>
                <w:rFonts w:ascii="Times New Roman" w:eastAsia="Times New Roman"/>
                <w:b/>
                <w:sz w:val="24"/>
              </w:rPr>
              <w:t>1</w:t>
            </w:r>
            <w:r>
              <w:rPr>
                <w:rFonts w:hint="eastAsia" w:ascii="Times New Roman" w:eastAsia="宋体"/>
                <w:b/>
                <w:sz w:val="24"/>
                <w:lang w:val="en-US" w:eastAsia="zh-CN"/>
              </w:rPr>
              <w:t xml:space="preserve">  </w:t>
            </w:r>
            <w:r>
              <w:rPr>
                <w:rFonts w:hint="eastAsia" w:ascii="宋体" w:hAnsi="宋体"/>
                <w:b/>
                <w:szCs w:val="28"/>
              </w:rPr>
              <w:t>天然气组分(西气东输一线天然气)</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286"/>
              <w:gridCol w:w="1251"/>
              <w:gridCol w:w="1250"/>
              <w:gridCol w:w="1250"/>
              <w:gridCol w:w="1250"/>
              <w:gridCol w:w="12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组  分</w:t>
                  </w:r>
                </w:p>
              </w:tc>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1</w:t>
                  </w:r>
                </w:p>
              </w:tc>
              <w:tc>
                <w:tcPr>
                  <w:tcW w:w="1251"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2</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3</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iC</w:t>
                  </w:r>
                  <w:r>
                    <w:rPr>
                      <w:rFonts w:hint="default" w:ascii="Times New Roman" w:hAnsi="Times New Roman" w:cs="Times New Roman"/>
                      <w:sz w:val="21"/>
                      <w:szCs w:val="21"/>
                      <w:vertAlign w:val="subscript"/>
                    </w:rPr>
                    <w:t>4</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nC</w:t>
                  </w:r>
                  <w:r>
                    <w:rPr>
                      <w:rFonts w:hint="default" w:ascii="Times New Roman" w:hAnsi="Times New Roman" w:cs="Times New Roman"/>
                      <w:sz w:val="21"/>
                      <w:szCs w:val="21"/>
                      <w:vertAlign w:val="subscript"/>
                    </w:rPr>
                    <w:t>4</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iC</w:t>
                  </w:r>
                  <w:r>
                    <w:rPr>
                      <w:rFonts w:hint="default" w:ascii="Times New Roman" w:hAnsi="Times New Roman" w:cs="Times New Roman"/>
                      <w:sz w:val="21"/>
                      <w:szCs w:val="21"/>
                      <w:vertAlign w:val="sub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Mol%</w:t>
                  </w:r>
                </w:p>
              </w:tc>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96.226</w:t>
                  </w:r>
                </w:p>
              </w:tc>
              <w:tc>
                <w:tcPr>
                  <w:tcW w:w="1251"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1.770</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0.300</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0.062</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0.075</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组  分</w:t>
                  </w:r>
                </w:p>
              </w:tc>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nC</w:t>
                  </w:r>
                  <w:r>
                    <w:rPr>
                      <w:rFonts w:hint="default" w:ascii="Times New Roman" w:hAnsi="Times New Roman" w:cs="Times New Roman"/>
                      <w:sz w:val="21"/>
                      <w:szCs w:val="21"/>
                      <w:vertAlign w:val="subscript"/>
                    </w:rPr>
                    <w:t>5</w:t>
                  </w:r>
                </w:p>
              </w:tc>
              <w:tc>
                <w:tcPr>
                  <w:tcW w:w="1251"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6</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7+</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2</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N</w:t>
                  </w:r>
                  <w:r>
                    <w:rPr>
                      <w:rFonts w:hint="default" w:ascii="Times New Roman" w:hAnsi="Times New Roman" w:cs="Times New Roman"/>
                      <w:sz w:val="21"/>
                      <w:szCs w:val="21"/>
                      <w:vertAlign w:val="subscript"/>
                    </w:rPr>
                    <w:t>2</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Mol%</w:t>
                  </w:r>
                </w:p>
              </w:tc>
              <w:tc>
                <w:tcPr>
                  <w:tcW w:w="1286"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0.016</w:t>
                  </w:r>
                </w:p>
              </w:tc>
              <w:tc>
                <w:tcPr>
                  <w:tcW w:w="1251"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0.051</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0.038</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0.473</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0.967</w:t>
                  </w:r>
                </w:p>
              </w:tc>
              <w:tc>
                <w:tcPr>
                  <w:tcW w:w="1250" w:type="dxa"/>
                  <w:noWrap w:val="0"/>
                  <w:vAlign w:val="bottom"/>
                </w:tcPr>
                <w:p>
                  <w:pPr>
                    <w:pStyle w:val="18"/>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0.002</w:t>
                  </w:r>
                </w:p>
              </w:tc>
            </w:tr>
          </w:tbl>
          <w:p>
            <w:pPr>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根据现行《城镇燃气设计规范》（GB50028-2015）对输送燃气的压力（表压）分级见下表。</w:t>
            </w:r>
          </w:p>
          <w:p>
            <w:pPr>
              <w:spacing w:before="183"/>
              <w:ind w:left="796" w:right="866" w:firstLine="0"/>
              <w:jc w:val="center"/>
              <w:rPr>
                <w:rFonts w:hint="eastAsia"/>
                <w:b/>
                <w:sz w:val="24"/>
              </w:rPr>
            </w:pPr>
            <w:r>
              <w:rPr>
                <w:rFonts w:hint="eastAsia"/>
                <w:b/>
                <w:sz w:val="24"/>
              </w:rPr>
              <w:t>表</w:t>
            </w:r>
            <w:r>
              <w:rPr>
                <w:b/>
                <w:sz w:val="24"/>
              </w:rPr>
              <w:t>2</w:t>
            </w:r>
            <w:r>
              <w:rPr>
                <w:rFonts w:hint="eastAsia"/>
                <w:b/>
                <w:sz w:val="24"/>
                <w:lang w:val="en-US" w:eastAsia="zh-CN"/>
              </w:rPr>
              <w:t xml:space="preserve">  </w:t>
            </w:r>
            <w:r>
              <w:rPr>
                <w:rFonts w:hint="eastAsia"/>
                <w:b/>
                <w:sz w:val="24"/>
              </w:rPr>
              <w:t>城镇燃气设计压力（表压）分级表</w:t>
            </w:r>
          </w:p>
          <w:tbl>
            <w:tblPr>
              <w:tblStyle w:val="15"/>
              <w:tblW w:w="0" w:type="auto"/>
              <w:tblInd w:w="2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78"/>
              <w:gridCol w:w="2580"/>
              <w:gridCol w:w="31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158" w:type="dxa"/>
                  <w:gridSpan w:val="2"/>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名 称</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压力(MPa)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restart"/>
                  <w:noWrap w:val="0"/>
                  <w:vAlign w:val="top"/>
                </w:tcPr>
                <w:p>
                  <w:pPr>
                    <w:pStyle w:val="19"/>
                    <w:spacing w:before="106"/>
                    <w:ind w:right="357"/>
                    <w:jc w:val="center"/>
                    <w:rPr>
                      <w:rFonts w:hint="eastAsia" w:ascii="Times New Roman" w:hAnsi="Times New Roman" w:eastAsia="宋体" w:cs="Times New Roman"/>
                      <w:sz w:val="21"/>
                    </w:rPr>
                  </w:pPr>
                </w:p>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高压燃气管道</w:t>
                  </w:r>
                </w:p>
              </w:tc>
              <w:tc>
                <w:tcPr>
                  <w:tcW w:w="2580"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A</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2.5&lt;P≤4.0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578" w:type="dxa"/>
                  <w:vMerge w:val="continue"/>
                  <w:tcBorders>
                    <w:top w:val="nil"/>
                  </w:tcBorders>
                  <w:noWrap w:val="0"/>
                  <w:vAlign w:val="top"/>
                </w:tcPr>
                <w:p>
                  <w:pPr>
                    <w:pStyle w:val="19"/>
                    <w:spacing w:before="106"/>
                    <w:ind w:right="357"/>
                    <w:jc w:val="center"/>
                    <w:rPr>
                      <w:rFonts w:hint="eastAsia" w:ascii="Times New Roman" w:hAnsi="Times New Roman" w:eastAsia="宋体" w:cs="Times New Roman"/>
                      <w:sz w:val="21"/>
                    </w:rPr>
                  </w:pPr>
                </w:p>
              </w:tc>
              <w:tc>
                <w:tcPr>
                  <w:tcW w:w="2580"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B</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1．6&lt;P≤2.5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restart"/>
                  <w:noWrap w:val="0"/>
                  <w:vAlign w:val="top"/>
                </w:tcPr>
                <w:p>
                  <w:pPr>
                    <w:pStyle w:val="19"/>
                    <w:spacing w:before="106"/>
                    <w:ind w:right="357"/>
                    <w:jc w:val="center"/>
                    <w:rPr>
                      <w:rFonts w:hint="eastAsia" w:ascii="Times New Roman" w:hAnsi="Times New Roman" w:eastAsia="宋体" w:cs="Times New Roman"/>
                      <w:sz w:val="21"/>
                    </w:rPr>
                  </w:pPr>
                </w:p>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次高压燃气管道</w:t>
                  </w:r>
                </w:p>
              </w:tc>
              <w:tc>
                <w:tcPr>
                  <w:tcW w:w="2580"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A</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0．8&lt;P≤1．6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continue"/>
                  <w:tcBorders>
                    <w:top w:val="nil"/>
                  </w:tcBorders>
                  <w:noWrap w:val="0"/>
                  <w:vAlign w:val="top"/>
                </w:tcPr>
                <w:p>
                  <w:pPr>
                    <w:pStyle w:val="19"/>
                    <w:spacing w:before="106"/>
                    <w:ind w:right="357"/>
                    <w:jc w:val="center"/>
                    <w:rPr>
                      <w:rFonts w:hint="eastAsia" w:ascii="Times New Roman" w:hAnsi="Times New Roman" w:eastAsia="宋体" w:cs="Times New Roman"/>
                      <w:sz w:val="21"/>
                    </w:rPr>
                  </w:pPr>
                </w:p>
              </w:tc>
              <w:tc>
                <w:tcPr>
                  <w:tcW w:w="2580"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B</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0．4&lt;P≤0．8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restart"/>
                  <w:noWrap w:val="0"/>
                  <w:vAlign w:val="top"/>
                </w:tcPr>
                <w:p>
                  <w:pPr>
                    <w:pStyle w:val="19"/>
                    <w:spacing w:before="106"/>
                    <w:ind w:right="357"/>
                    <w:jc w:val="center"/>
                    <w:rPr>
                      <w:rFonts w:hint="eastAsia" w:ascii="Times New Roman" w:hAnsi="Times New Roman" w:eastAsia="宋体" w:cs="Times New Roman"/>
                      <w:sz w:val="21"/>
                    </w:rPr>
                  </w:pPr>
                </w:p>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中压燃气管道</w:t>
                  </w:r>
                </w:p>
              </w:tc>
              <w:tc>
                <w:tcPr>
                  <w:tcW w:w="2580"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A</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0.2&lt;P≤0.4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578" w:type="dxa"/>
                  <w:vMerge w:val="continue"/>
                  <w:tcBorders>
                    <w:top w:val="nil"/>
                  </w:tcBorders>
                  <w:noWrap w:val="0"/>
                  <w:vAlign w:val="top"/>
                </w:tcPr>
                <w:p>
                  <w:pPr>
                    <w:pStyle w:val="19"/>
                    <w:spacing w:before="106"/>
                    <w:ind w:right="357"/>
                    <w:jc w:val="center"/>
                    <w:rPr>
                      <w:rFonts w:hint="eastAsia" w:ascii="Times New Roman" w:hAnsi="Times New Roman" w:eastAsia="宋体" w:cs="Times New Roman"/>
                      <w:sz w:val="21"/>
                    </w:rPr>
                  </w:pPr>
                </w:p>
              </w:tc>
              <w:tc>
                <w:tcPr>
                  <w:tcW w:w="2580"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B</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0．O1≤P≤0．2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158" w:type="dxa"/>
                  <w:gridSpan w:val="2"/>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低压燃气管道</w:t>
                  </w:r>
                </w:p>
              </w:tc>
              <w:tc>
                <w:tcPr>
                  <w:tcW w:w="3162" w:type="dxa"/>
                  <w:noWrap w:val="0"/>
                  <w:vAlign w:val="top"/>
                </w:tcPr>
                <w:p>
                  <w:pPr>
                    <w:pStyle w:val="19"/>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P&lt;0．01</w:t>
                  </w:r>
                </w:p>
              </w:tc>
            </w:tr>
          </w:tbl>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在确定压力级制时，要综合考虑城市规模及道路地下管线设施布置和安全间距等因素。中压管道的功能主要是输气配气，中压管道的管径大小直接影响输配系统的投资，管网投资在输配系统中约占40%左右。在天然气输配系统中，中压管道压力越高，管径越小，投资越省。因此，确定管网压力级制的基本原则是：</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在充分满足各类用户用气压力和中压管网投资增加不多的前提下，尽量降低中压管网的起点压力；</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符合当地有关规划，特别是能源发展规划和燃气工程规划； 应充分利用来气压力，以减少工程投资；</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要根据用户对用气压力的要求，确定压力级别，保证供气； 考虑长远发展的弹性要求；</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中小城市输配的输气管网系统压力级制，一般采用中压一级和中压／低压二级这两种压力级制。现将两种压力级制主要优缺点分析如下</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1、中压一级系统：</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减少管道长度。该系统可避免在同一条道路上敷设两条不同等级压力的管道，据几个城市设计方案统计，可减少管道长度10%—20%；节省投资。通过提高输送压力降低了管径，中压一级系统比中低压两级系统节省管道投资约20%；</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提高灶具燃烧效率，采用箱式调压装置供气，易保证所有用户在额定压力工作，从而提高燃烧效率约3%。由于避免了灶具在超负荷下工作，从而减少烟气中CO 含量，改善了厨房的卫生条件；</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要求安装水平高，尤其是中压庭院管道在中压下运行，须保证安装质量，否则漏气量将比低压管道大的多，易发生事故；</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供气安全性较低压供气差，一旦发生庭院管道断裂、漏气，其危及范围较大；</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楼栋调压装置数量较多，不易管理；</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2、中低压两级系统：</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调压设施数量较少，易于运行管理；</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安全距离易保证。按照规范要求，低压管道比中压管道的安全距离要求小；</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由于增加了管道长度及管径，使投资增加；</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区域调压站与周围各建筑物有一定安全距离要求，因此在城市人口密集的地区选择调压站的位置十分困难。</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燃气输配系统的压力级制与其供气规模，气源特点，供应方式及管材的选择密切相关，而且受到现状输配系统压力级制及城市发展状况的制约。因此在确定输配系统压力级制时，不仅要满足近期供气要求，还要考虑远期城市不断发展的需要，同时应考虑到现有燃气管网的压力级制，在满足供气要求下，应尽量避免原有管网的大规模改造。</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考虑到淮滨县城市的发展，供气的安全性并参照同等规模城市天然气管网压力级制，确定淮滨县</w:t>
            </w:r>
            <w:r>
              <w:rPr>
                <w:rFonts w:hint="eastAsia" w:ascii="Times New Roman" w:hAnsi="Times New Roman" w:cs="Times New Roman"/>
                <w:sz w:val="24"/>
                <w:lang w:eastAsia="zh-CN"/>
              </w:rPr>
              <w:t>西部十乡镇</w:t>
            </w:r>
            <w:r>
              <w:rPr>
                <w:rFonts w:hint="default" w:ascii="Times New Roman" w:hAnsi="Times New Roman" w:cs="Times New Roman"/>
                <w:sz w:val="24"/>
              </w:rPr>
              <w:t>输配系统为中低压两级供气。压力级制为：中压管网起点压力 0.</w:t>
            </w:r>
            <w:r>
              <w:rPr>
                <w:rFonts w:hint="eastAsia" w:ascii="Times New Roman" w:hAnsi="Times New Roman" w:cs="Times New Roman"/>
                <w:sz w:val="24"/>
                <w:lang w:val="en-US" w:eastAsia="zh-CN"/>
              </w:rPr>
              <w:t>8</w:t>
            </w:r>
            <w:r>
              <w:rPr>
                <w:rFonts w:hint="default" w:ascii="Times New Roman" w:hAnsi="Times New Roman" w:cs="Times New Roman"/>
                <w:sz w:val="24"/>
              </w:rPr>
              <w:t>MPa。</w:t>
            </w:r>
          </w:p>
          <w:p>
            <w:pPr>
              <w:spacing w:line="480" w:lineRule="exact"/>
              <w:rPr>
                <w:rFonts w:hint="default" w:ascii="Times New Roman" w:hAnsi="Times New Roman" w:cs="Times New Roman"/>
                <w:sz w:val="24"/>
              </w:rPr>
            </w:pPr>
            <w:r>
              <w:rPr>
                <w:rFonts w:hint="default" w:ascii="Times New Roman" w:hAnsi="Times New Roman" w:cs="Times New Roman"/>
                <w:sz w:val="24"/>
              </w:rPr>
              <w:t>3.6公用工程</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（1） 给水</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本项目的给水由</w:t>
            </w:r>
            <w:r>
              <w:rPr>
                <w:rFonts w:hint="eastAsia" w:ascii="Times New Roman" w:hAnsi="Times New Roman" w:eastAsia="宋体" w:cs="Times New Roman"/>
                <w:sz w:val="24"/>
                <w:lang w:val="en-US" w:eastAsia="zh-CN"/>
              </w:rPr>
              <w:t>城市自来水管网供给</w:t>
            </w:r>
            <w:r>
              <w:rPr>
                <w:rFonts w:hint="default" w:ascii="Times New Roman" w:hAnsi="Times New Roman" w:cs="Times New Roman"/>
                <w:sz w:val="24"/>
              </w:rPr>
              <w:t>。主要包括</w:t>
            </w:r>
            <w:r>
              <w:rPr>
                <w:rFonts w:hint="eastAsia" w:ascii="Times New Roman" w:hAnsi="Times New Roman" w:eastAsia="宋体" w:cs="Times New Roman"/>
                <w:sz w:val="24"/>
                <w:lang w:val="en-US" w:eastAsia="zh-CN"/>
              </w:rPr>
              <w:t>施工用水和施工人员生活用水</w:t>
            </w:r>
            <w:r>
              <w:rPr>
                <w:rFonts w:hint="default" w:ascii="Times New Roman" w:hAnsi="Times New Roman" w:cs="Times New Roman"/>
                <w:sz w:val="24"/>
              </w:rPr>
              <w:t>。</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（2） 电力</w:t>
            </w:r>
          </w:p>
          <w:p>
            <w:pPr>
              <w:spacing w:line="480" w:lineRule="exact"/>
              <w:ind w:firstLine="480" w:firstLineChars="200"/>
            </w:pPr>
            <w:r>
              <w:rPr>
                <w:rFonts w:hint="default" w:ascii="Times New Roman" w:hAnsi="Times New Roman" w:cs="Times New Roman"/>
                <w:sz w:val="24"/>
              </w:rPr>
              <w:t>本项目供电由当地电网统一供电。</w:t>
            </w:r>
            <w:r>
              <w:rPr>
                <w:rFonts w:hint="default" w:ascii="Times New Roman" w:hAnsi="Times New Roman" w:cs="Times New Roman"/>
                <w:sz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1197" w:hRule="atLeast"/>
        </w:trPr>
        <w:tc>
          <w:tcPr>
            <w:tcW w:w="9296" w:type="dxa"/>
            <w:gridSpan w:val="11"/>
            <w:noWrap w:val="0"/>
            <w:vAlign w:val="top"/>
          </w:tcPr>
          <w:p>
            <w:pPr>
              <w:spacing w:line="520" w:lineRule="exact"/>
              <w:rPr>
                <w:sz w:val="24"/>
              </w:rPr>
            </w:pPr>
            <w:r>
              <w:rPr>
                <w:sz w:val="24"/>
              </w:rPr>
              <w:t>与本项目有关的原有污染情况及主要环境问题：</w:t>
            </w:r>
          </w:p>
          <w:p>
            <w:pPr>
              <w:spacing w:line="520" w:lineRule="exact"/>
              <w:ind w:firstLine="480" w:firstLineChars="200"/>
              <w:rPr>
                <w:sz w:val="24"/>
              </w:rPr>
            </w:pPr>
            <w:r>
              <w:rPr>
                <w:sz w:val="24"/>
              </w:rPr>
              <w:t>本项目为新建项目，不存在原有污染情况。</w:t>
            </w:r>
          </w:p>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tc>
      </w:tr>
    </w:tbl>
    <w:p>
      <w:pPr>
        <w:spacing w:before="156" w:beforeLines="50" w:line="480" w:lineRule="exact"/>
        <w:rPr>
          <w:rFonts w:eastAsia="黑体"/>
          <w:bCs/>
          <w:sz w:val="32"/>
        </w:rPr>
      </w:pPr>
      <w:r>
        <w:rPr>
          <w:rFonts w:eastAsia="黑体"/>
          <w:bCs/>
          <w:sz w:val="32"/>
        </w:rPr>
        <w:t>建设项目所在地自然环境社会环境简况</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3" w:hRule="atLeast"/>
        </w:trPr>
        <w:tc>
          <w:tcPr>
            <w:tcW w:w="9286" w:type="dxa"/>
            <w:noWrap w:val="0"/>
            <w:vAlign w:val="top"/>
          </w:tcPr>
          <w:p>
            <w:pPr>
              <w:spacing w:line="360" w:lineRule="auto"/>
              <w:rPr>
                <w:sz w:val="24"/>
                <w:szCs w:val="24"/>
              </w:rPr>
            </w:pPr>
            <w:r>
              <w:rPr>
                <w:sz w:val="24"/>
                <w:szCs w:val="24"/>
              </w:rPr>
              <w:t>自然环境简况（地形、地貌、地质、气候、气象、水文、植被、生物多样性等）：</w:t>
            </w:r>
          </w:p>
          <w:p>
            <w:pPr>
              <w:pStyle w:val="10"/>
              <w:adjustRightInd w:val="0"/>
              <w:snapToGrid w:val="0"/>
              <w:spacing w:line="520" w:lineRule="exact"/>
              <w:ind w:firstLine="560" w:firstLineChars="200"/>
              <w:jc w:val="left"/>
            </w:pPr>
            <w:r>
              <w:t>1、地理位置</w:t>
            </w:r>
          </w:p>
          <w:p>
            <w:pPr>
              <w:adjustRightInd w:val="0"/>
              <w:snapToGrid w:val="0"/>
              <w:spacing w:line="520" w:lineRule="exact"/>
              <w:ind w:firstLine="480" w:firstLineChars="200"/>
              <w:jc w:val="left"/>
              <w:rPr>
                <w:sz w:val="24"/>
                <w:szCs w:val="24"/>
              </w:rPr>
            </w:pPr>
            <w:bookmarkStart w:id="0" w:name="_Toc181602659"/>
            <w:r>
              <w:rPr>
                <w:sz w:val="24"/>
                <w:szCs w:val="24"/>
              </w:rPr>
              <w:t>淮滨县地处黄河中上游，豫皖两省交界处，河南省信阳市东部，南望大别山，北接黄淮大平原，地理坐标为东经115°1′~115°35′，北纬32°15′~32°38′，是河南省的沿边县市之一。东与安徽省的临泉相望，北、西、南分别是河南省的新蔡、息县、潢川、固始，全县东西长约53km，南北宽约43km，总面积约12078km2。境内河渠纵横，塘堰密布，洪河、闾河、白露河四面环绕，淮河干流横贯其中，距黄淮海平面边缘地区，享有“淮上江南”美称，是楚国名相孙叔敖的故乡。</w:t>
            </w:r>
          </w:p>
          <w:bookmarkEnd w:id="0"/>
          <w:p>
            <w:pPr>
              <w:pStyle w:val="10"/>
              <w:adjustRightInd w:val="0"/>
              <w:snapToGrid w:val="0"/>
              <w:spacing w:line="520" w:lineRule="exact"/>
              <w:ind w:firstLine="480" w:firstLineChars="200"/>
              <w:jc w:val="left"/>
              <w:rPr>
                <w:sz w:val="24"/>
                <w:szCs w:val="24"/>
              </w:rPr>
            </w:pPr>
            <w:r>
              <w:rPr>
                <w:sz w:val="24"/>
                <w:szCs w:val="24"/>
              </w:rPr>
              <w:t>项目位于</w:t>
            </w:r>
            <w:r>
              <w:rPr>
                <w:rFonts w:hint="eastAsia"/>
                <w:sz w:val="24"/>
                <w:szCs w:val="24"/>
              </w:rPr>
              <w:t>信阳市淮滨县</w:t>
            </w:r>
            <w:r>
              <w:rPr>
                <w:sz w:val="24"/>
                <w:szCs w:val="24"/>
              </w:rPr>
              <w:t>，项目地理位置见附图1。</w:t>
            </w:r>
          </w:p>
          <w:p>
            <w:pPr>
              <w:pStyle w:val="10"/>
              <w:adjustRightInd w:val="0"/>
              <w:snapToGrid w:val="0"/>
              <w:spacing w:line="520" w:lineRule="exact"/>
              <w:ind w:firstLine="480" w:firstLineChars="200"/>
              <w:jc w:val="left"/>
              <w:rPr>
                <w:sz w:val="24"/>
                <w:szCs w:val="24"/>
              </w:rPr>
            </w:pPr>
            <w:r>
              <w:rPr>
                <w:sz w:val="24"/>
                <w:szCs w:val="24"/>
              </w:rPr>
              <w:t>2、地形地貌</w:t>
            </w:r>
          </w:p>
          <w:p>
            <w:pPr>
              <w:pStyle w:val="10"/>
              <w:adjustRightInd w:val="0"/>
              <w:snapToGrid w:val="0"/>
              <w:spacing w:line="520" w:lineRule="exact"/>
              <w:ind w:firstLine="480" w:firstLineChars="200"/>
              <w:jc w:val="left"/>
              <w:rPr>
                <w:rFonts w:hint="eastAsia"/>
                <w:sz w:val="24"/>
                <w:szCs w:val="24"/>
              </w:rPr>
            </w:pPr>
            <w:r>
              <w:rPr>
                <w:rFonts w:hint="eastAsia"/>
                <w:sz w:val="24"/>
                <w:szCs w:val="24"/>
              </w:rPr>
              <w:t>（1）地形、地貌</w:t>
            </w:r>
          </w:p>
          <w:p>
            <w:pPr>
              <w:pStyle w:val="10"/>
              <w:adjustRightInd w:val="0"/>
              <w:snapToGrid w:val="0"/>
              <w:spacing w:line="520" w:lineRule="exact"/>
              <w:ind w:firstLine="480" w:firstLineChars="200"/>
              <w:jc w:val="left"/>
              <w:rPr>
                <w:sz w:val="24"/>
                <w:szCs w:val="24"/>
              </w:rPr>
            </w:pPr>
            <w:r>
              <w:rPr>
                <w:sz w:val="24"/>
                <w:szCs w:val="24"/>
              </w:rPr>
              <w:t>淮滨县位于黄淮平原南部，地势总的比较平坦，西北略高、东南较低，受地质构造制地貌大体分为岗地、平原和洼地三种类型，平原地区地面海拔高度为33m~44m，岗地为32.5～52m，洼地为25～32.5m之间。沿淮河一带是洼地，河槽有显的河岸线，沿河洼地宽窄不一，一般为1.5-5.0krn，淮河以北系广阔的冲积平原，向东南逐渐倾斜，由于闾河、大洪河、白露河等淮河支流向东汇入淮河，所以沿河有浅平嘭洼地分布，形成整体平坦，局部不平的地形情况。</w:t>
            </w:r>
          </w:p>
          <w:p>
            <w:pPr>
              <w:pStyle w:val="10"/>
              <w:adjustRightInd w:val="0"/>
              <w:snapToGrid w:val="0"/>
              <w:spacing w:line="520" w:lineRule="exact"/>
              <w:ind w:firstLine="480" w:firstLineChars="200"/>
              <w:jc w:val="left"/>
              <w:rPr>
                <w:rFonts w:hint="eastAsia"/>
                <w:sz w:val="24"/>
                <w:szCs w:val="24"/>
              </w:rPr>
            </w:pPr>
            <w:r>
              <w:rPr>
                <w:rFonts w:hint="eastAsia"/>
                <w:sz w:val="24"/>
                <w:szCs w:val="24"/>
              </w:rPr>
              <w:t>（</w:t>
            </w:r>
            <w:r>
              <w:rPr>
                <w:sz w:val="24"/>
                <w:szCs w:val="24"/>
              </w:rPr>
              <w:t>2</w:t>
            </w:r>
            <w:r>
              <w:rPr>
                <w:rFonts w:hint="eastAsia"/>
                <w:sz w:val="24"/>
                <w:szCs w:val="24"/>
              </w:rPr>
              <w:t>）地层结构</w:t>
            </w:r>
          </w:p>
          <w:p>
            <w:pPr>
              <w:pStyle w:val="10"/>
              <w:adjustRightInd w:val="0"/>
              <w:snapToGrid w:val="0"/>
              <w:spacing w:line="520" w:lineRule="exact"/>
              <w:ind w:firstLine="480" w:firstLineChars="200"/>
              <w:jc w:val="left"/>
              <w:rPr>
                <w:sz w:val="24"/>
                <w:szCs w:val="24"/>
              </w:rPr>
            </w:pPr>
            <w:r>
              <w:rPr>
                <w:sz w:val="24"/>
                <w:szCs w:val="24"/>
              </w:rPr>
              <w:t>根据省勘测大队1959年勘测资料表明，县城老城区有1.5-4.0m的人工填土区，其四周地表均属第四季全新世或新式沉积物所掩盖，以亚粘土和粘土为主，厚度很大，沿可两岸均为粗细沙层出现，厚度约为20~25m左右，地下水距地表约为1.5m，坡与地表一致，微向东倾斜。</w:t>
            </w:r>
          </w:p>
          <w:p>
            <w:pPr>
              <w:pStyle w:val="10"/>
              <w:adjustRightInd w:val="0"/>
              <w:snapToGrid w:val="0"/>
              <w:spacing w:line="520" w:lineRule="exact"/>
              <w:ind w:firstLine="480" w:firstLineChars="200"/>
              <w:jc w:val="left"/>
              <w:rPr>
                <w:rFonts w:hint="eastAsia"/>
                <w:sz w:val="24"/>
                <w:szCs w:val="24"/>
              </w:rPr>
            </w:pPr>
            <w:r>
              <w:rPr>
                <w:rFonts w:hint="eastAsia"/>
                <w:sz w:val="24"/>
                <w:szCs w:val="24"/>
              </w:rPr>
              <w:t>（</w:t>
            </w:r>
            <w:r>
              <w:rPr>
                <w:sz w:val="24"/>
                <w:szCs w:val="24"/>
              </w:rPr>
              <w:t>3</w:t>
            </w:r>
            <w:r>
              <w:rPr>
                <w:rFonts w:hint="eastAsia"/>
                <w:sz w:val="24"/>
                <w:szCs w:val="24"/>
              </w:rPr>
              <w:t>）地震地质背景</w:t>
            </w:r>
          </w:p>
          <w:p>
            <w:pPr>
              <w:pStyle w:val="10"/>
              <w:adjustRightInd w:val="0"/>
              <w:snapToGrid w:val="0"/>
              <w:spacing w:line="520" w:lineRule="exact"/>
              <w:ind w:firstLine="480" w:firstLineChars="200"/>
              <w:jc w:val="left"/>
              <w:rPr>
                <w:sz w:val="24"/>
                <w:szCs w:val="24"/>
              </w:rPr>
            </w:pPr>
            <w:r>
              <w:rPr>
                <w:sz w:val="24"/>
                <w:szCs w:val="24"/>
              </w:rPr>
              <w:t>淮滨县区域地质构造上处于大别山复式背斜构造的北侧，这里连同周围的构造体系，统属秦岭东西向构造带的南亚带，伏牛-别孤的一部分。在淮滨一息县隆起区内，地层有褶皱和断裂，因而形成局部隆起与下降。地层走向与区域构造线的方向基本一致，推测多为单斜，倾向东北，倾角平缓，一般不大于40°，断层比较发展。</w:t>
            </w:r>
          </w:p>
          <w:p>
            <w:pPr>
              <w:pStyle w:val="10"/>
              <w:adjustRightInd w:val="0"/>
              <w:snapToGrid w:val="0"/>
              <w:spacing w:line="520" w:lineRule="exact"/>
              <w:ind w:firstLine="480" w:firstLineChars="200"/>
              <w:jc w:val="left"/>
              <w:rPr>
                <w:sz w:val="24"/>
                <w:szCs w:val="24"/>
              </w:rPr>
            </w:pPr>
            <w:r>
              <w:rPr>
                <w:sz w:val="24"/>
                <w:szCs w:val="24"/>
              </w:rPr>
              <w:t>淮滨县土壤原分为四个土类，七个亚类，二十个土属，四十五个土种。2009年在与省级土种名称对照后，淮滨县土壤重新分为四个土类，九个亚类，十八个土属，三十一个土种。</w:t>
            </w:r>
          </w:p>
          <w:p>
            <w:pPr>
              <w:pStyle w:val="10"/>
              <w:adjustRightInd w:val="0"/>
              <w:snapToGrid w:val="0"/>
              <w:spacing w:line="520" w:lineRule="exact"/>
              <w:ind w:firstLine="480" w:firstLineChars="200"/>
              <w:jc w:val="left"/>
              <w:rPr>
                <w:sz w:val="24"/>
                <w:szCs w:val="24"/>
              </w:rPr>
            </w:pPr>
            <w:r>
              <w:rPr>
                <w:sz w:val="24"/>
                <w:szCs w:val="24"/>
              </w:rPr>
              <w:t>项目厂址位于</w:t>
            </w:r>
            <w:r>
              <w:rPr>
                <w:rFonts w:hint="eastAsia"/>
                <w:sz w:val="24"/>
                <w:szCs w:val="24"/>
              </w:rPr>
              <w:t>信阳市淮滨县</w:t>
            </w:r>
            <w:r>
              <w:rPr>
                <w:sz w:val="24"/>
                <w:szCs w:val="24"/>
              </w:rPr>
              <w:t>，地势平坦。</w:t>
            </w:r>
          </w:p>
          <w:p>
            <w:pPr>
              <w:pStyle w:val="10"/>
              <w:adjustRightInd w:val="0"/>
              <w:snapToGrid w:val="0"/>
              <w:spacing w:line="520" w:lineRule="exact"/>
              <w:ind w:firstLine="480" w:firstLineChars="200"/>
              <w:jc w:val="left"/>
              <w:rPr>
                <w:sz w:val="24"/>
                <w:szCs w:val="24"/>
              </w:rPr>
            </w:pPr>
            <w:r>
              <w:rPr>
                <w:sz w:val="24"/>
                <w:szCs w:val="24"/>
              </w:rPr>
              <w:t>3、</w:t>
            </w:r>
            <w:r>
              <w:rPr>
                <w:rFonts w:hint="eastAsia"/>
                <w:sz w:val="24"/>
                <w:szCs w:val="24"/>
              </w:rPr>
              <w:t>气象、气候</w:t>
            </w:r>
          </w:p>
          <w:p>
            <w:pPr>
              <w:adjustRightInd w:val="0"/>
              <w:snapToGrid w:val="0"/>
              <w:spacing w:line="520" w:lineRule="exact"/>
              <w:ind w:firstLine="480" w:firstLineChars="200"/>
              <w:jc w:val="left"/>
              <w:rPr>
                <w:sz w:val="24"/>
                <w:szCs w:val="24"/>
              </w:rPr>
            </w:pPr>
            <w:r>
              <w:rPr>
                <w:sz w:val="24"/>
                <w:szCs w:val="24"/>
              </w:rPr>
              <w:t>淮滨地处北亚热带与暖温带的过渡地区，属于暖温带半湿润型气候，年平均温度为15.5℃，极端最高温度为42.1℃，极端最低温度为-21.4℃；年平均风速为3.1m/s；全年大于或等于0℃的间隔日数为333d，全年目照时数平均为2124.3h，日照率为48％。积温5591℃，大于或等于10℃的间隔日数为224d，积温为4932℃；无霜期平均为224d，最长年份达329d，最短年份为179d，农作物生长季节较长，受霜冻危害较少；年平均降水量为926.8mm，受季风气候的影响显著。6、7、8月雨量丰富，雨热同期，有利于农作物及林木生长。</w:t>
            </w:r>
          </w:p>
          <w:p>
            <w:pPr>
              <w:pStyle w:val="10"/>
              <w:adjustRightInd w:val="0"/>
              <w:snapToGrid w:val="0"/>
              <w:spacing w:line="520" w:lineRule="exact"/>
              <w:ind w:firstLine="480" w:firstLineChars="200"/>
              <w:jc w:val="left"/>
              <w:rPr>
                <w:sz w:val="24"/>
                <w:szCs w:val="24"/>
              </w:rPr>
            </w:pPr>
            <w:r>
              <w:rPr>
                <w:sz w:val="24"/>
                <w:szCs w:val="24"/>
              </w:rPr>
              <w:t>4、</w:t>
            </w:r>
            <w:r>
              <w:rPr>
                <w:rFonts w:hint="eastAsia"/>
                <w:sz w:val="24"/>
                <w:szCs w:val="24"/>
              </w:rPr>
              <w:t>水文状况</w:t>
            </w:r>
          </w:p>
          <w:p>
            <w:pPr>
              <w:pStyle w:val="10"/>
              <w:adjustRightInd w:val="0"/>
              <w:snapToGrid w:val="0"/>
              <w:spacing w:line="520" w:lineRule="exact"/>
              <w:ind w:firstLine="480" w:firstLineChars="200"/>
              <w:jc w:val="left"/>
              <w:rPr>
                <w:sz w:val="24"/>
                <w:szCs w:val="24"/>
              </w:rPr>
            </w:pPr>
            <w:r>
              <w:rPr>
                <w:rFonts w:hint="eastAsia"/>
                <w:sz w:val="24"/>
                <w:szCs w:val="24"/>
              </w:rPr>
              <w:t>（1）地表</w:t>
            </w:r>
            <w:r>
              <w:rPr>
                <w:sz w:val="24"/>
                <w:szCs w:val="24"/>
              </w:rPr>
              <w:t>水资源</w:t>
            </w:r>
          </w:p>
          <w:p>
            <w:pPr>
              <w:adjustRightInd w:val="0"/>
              <w:snapToGrid w:val="0"/>
              <w:spacing w:line="520" w:lineRule="exact"/>
              <w:ind w:firstLine="480" w:firstLineChars="200"/>
              <w:jc w:val="left"/>
              <w:rPr>
                <w:sz w:val="24"/>
                <w:szCs w:val="24"/>
              </w:rPr>
            </w:pPr>
            <w:r>
              <w:rPr>
                <w:sz w:val="24"/>
                <w:szCs w:val="24"/>
              </w:rPr>
              <w:t>淮滨县的淮、洪、白、闾四河的河面面积约23.7km，占全县总面积的2%。河面与湖、港、沟、塘的水面相交织，涝则泄洪，旱则供水，成为调节气候，平衡自然生态的重要因素。全县水面面积共达87614亩。淮河干流自西向东穿境而过，洪河、白露河、阊河流至境内汇入淮河，加之县内河流乌龙港和幸福河，河流面积3．6万亩。较大港有饮马港、二道港、马港、西湖港、期思港等5条。较大湖泊有兔子湖(已建成水库)、潼湖、白湖、草湖、方家湖等6处。坑塘9615处，面积44709亩。主要河流概况如下：</w:t>
            </w:r>
          </w:p>
          <w:p>
            <w:pPr>
              <w:adjustRightInd w:val="0"/>
              <w:snapToGrid w:val="0"/>
              <w:spacing w:line="520" w:lineRule="exact"/>
              <w:ind w:firstLine="480" w:firstLineChars="200"/>
              <w:jc w:val="left"/>
              <w:rPr>
                <w:sz w:val="24"/>
                <w:szCs w:val="24"/>
              </w:rPr>
            </w:pPr>
            <w:r>
              <w:rPr>
                <w:sz w:val="24"/>
                <w:szCs w:val="24"/>
              </w:rPr>
              <w:t>淮河：发源于河南桐柏山，流经河南、安徽至江苏省扬州的三江营入长江，干流长1000km。总落差196m，平均比降为0.2‰。从淮源到豫皖交界处的洪河口为上游，长360km，落差174m，比降为0.5‰。从洪河口到洪泽湖口的三河闸为中游，长490km，落差16m，比降为0.03%。洪泽湖以下为下游，长150km，落差6m。比降为万分之零点四。俗称“八百里淮河”，系指从淮源到洪泽湖的淮河干流长度。淮河自息县长陵集东入淮滨县境，流经芦集、邓湾、张庄、台头、城关、谷堆、王家岗7个乡(镇)，在谷堆乡白露河口出县境。淮河淮滨段长。70km，河床平均宽200m。其左岸一级支流有洪河、阊河、乌龙港，右岸一级支流有白露河。</w:t>
            </w:r>
          </w:p>
          <w:p>
            <w:pPr>
              <w:adjustRightInd w:val="0"/>
              <w:snapToGrid w:val="0"/>
              <w:spacing w:line="520" w:lineRule="exact"/>
              <w:ind w:firstLine="480" w:firstLineChars="200"/>
              <w:jc w:val="left"/>
              <w:rPr>
                <w:sz w:val="24"/>
                <w:szCs w:val="24"/>
              </w:rPr>
            </w:pPr>
            <w:r>
              <w:rPr>
                <w:sz w:val="24"/>
                <w:szCs w:val="24"/>
              </w:rPr>
              <w:t>洪河：为淮河的重要支流，安徽与河南省界河。洪河发源于河南省方城县境伏牛山东麓，自西北向东南，流经叶县、舞阳、西平、上蔡、平舆和安徽省的临泉等县，至新蔡县的班台与汝河汇合，流至淮滨县三空桥乡入境，经三空桥、赵集、固城、栏杆、王家岗5个乡(镇)，在王家岗乡刘寨村附近洪河口汇入淮河。境内长71：km，河床平均宽80m，流域面积326km</w:t>
            </w:r>
            <w:r>
              <w:rPr>
                <w:sz w:val="24"/>
                <w:szCs w:val="24"/>
                <w:vertAlign w:val="superscript"/>
              </w:rPr>
              <w:t>2</w:t>
            </w:r>
            <w:r>
              <w:rPr>
                <w:sz w:val="24"/>
                <w:szCs w:val="24"/>
              </w:rPr>
              <w:t>。</w:t>
            </w:r>
          </w:p>
          <w:p>
            <w:pPr>
              <w:adjustRightInd w:val="0"/>
              <w:snapToGrid w:val="0"/>
              <w:spacing w:line="520" w:lineRule="exact"/>
              <w:ind w:firstLine="480" w:firstLineChars="200"/>
              <w:jc w:val="left"/>
              <w:rPr>
                <w:sz w:val="24"/>
                <w:szCs w:val="24"/>
              </w:rPr>
            </w:pPr>
            <w:r>
              <w:rPr>
                <w:sz w:val="24"/>
                <w:szCs w:val="24"/>
              </w:rPr>
              <w:t>白露河：发源于大别山区，出新县小届岭后为“白露河”。自淮滨县王店乡闸口桥入境，由西南向东北流经王店、期思、谷堆3个乡(镇)，在谷堆乡吴寨村附近入淮河。境内长51km，河床平均宽75m，流域面积285km2。白露河属季节性河流，枯水期接近断流。</w:t>
            </w:r>
          </w:p>
          <w:p>
            <w:pPr>
              <w:adjustRightInd w:val="0"/>
              <w:snapToGrid w:val="0"/>
              <w:spacing w:line="520" w:lineRule="exact"/>
              <w:ind w:firstLine="480" w:firstLineChars="200"/>
              <w:jc w:val="left"/>
              <w:rPr>
                <w:sz w:val="24"/>
                <w:szCs w:val="24"/>
              </w:rPr>
            </w:pPr>
            <w:r>
              <w:rPr>
                <w:sz w:val="24"/>
                <w:szCs w:val="24"/>
              </w:rPr>
              <w:t>闾河：发源于河南省正阳县。自淮滨县防胡镇前郑庄入境，由西北向东南流经防胡、新里、芦集3个乡(镇)，在</w:t>
            </w:r>
            <w:r>
              <w:rPr>
                <w:rFonts w:hint="eastAsia"/>
                <w:sz w:val="24"/>
                <w:szCs w:val="24"/>
              </w:rPr>
              <w:t>张庄乡</w:t>
            </w:r>
            <w:r>
              <w:rPr>
                <w:sz w:val="24"/>
                <w:szCs w:val="24"/>
              </w:rPr>
              <w:t>汇入淮河，境内长22.7km，河床平均宽65m，流域面积85km2。</w:t>
            </w:r>
          </w:p>
          <w:p>
            <w:pPr>
              <w:adjustRightInd w:val="0"/>
              <w:snapToGrid w:val="0"/>
              <w:spacing w:line="520" w:lineRule="exact"/>
              <w:ind w:firstLine="480" w:firstLineChars="200"/>
              <w:jc w:val="left"/>
              <w:rPr>
                <w:sz w:val="24"/>
                <w:szCs w:val="24"/>
              </w:rPr>
            </w:pPr>
            <w:r>
              <w:rPr>
                <w:sz w:val="24"/>
                <w:szCs w:val="24"/>
              </w:rPr>
              <w:t>乌龙港：属季节性河流。发源于息县包信乡，流经淮滨县防胡、新里、马集、邓湾、台头5个乡(镇)入淮河。境内全长34km，平均港宽50m，深4m，流域面积244km2。</w:t>
            </w:r>
          </w:p>
          <w:p>
            <w:pPr>
              <w:adjustRightInd w:val="0"/>
              <w:snapToGrid w:val="0"/>
              <w:spacing w:line="520" w:lineRule="exact"/>
              <w:ind w:firstLine="480" w:firstLineChars="200"/>
              <w:jc w:val="left"/>
              <w:rPr>
                <w:sz w:val="24"/>
                <w:szCs w:val="24"/>
              </w:rPr>
            </w:pPr>
            <w:r>
              <w:rPr>
                <w:sz w:val="24"/>
                <w:szCs w:val="24"/>
              </w:rPr>
              <w:t>幸福河：县内季节性河流，1958年人工开挖，全长25km。</w:t>
            </w:r>
          </w:p>
          <w:p>
            <w:pPr>
              <w:numPr>
                <w:ilvl w:val="0"/>
                <w:numId w:val="1"/>
              </w:numPr>
              <w:adjustRightInd w:val="0"/>
              <w:snapToGrid w:val="0"/>
              <w:spacing w:line="520" w:lineRule="exact"/>
              <w:ind w:firstLine="480" w:firstLineChars="200"/>
              <w:jc w:val="left"/>
              <w:rPr>
                <w:sz w:val="24"/>
                <w:szCs w:val="24"/>
              </w:rPr>
            </w:pPr>
            <w:r>
              <w:rPr>
                <w:sz w:val="24"/>
                <w:szCs w:val="24"/>
              </w:rPr>
              <w:t>地下水资源</w:t>
            </w:r>
          </w:p>
          <w:p>
            <w:pPr>
              <w:adjustRightInd w:val="0"/>
              <w:snapToGrid w:val="0"/>
              <w:spacing w:line="520" w:lineRule="exact"/>
              <w:ind w:firstLine="480" w:firstLineChars="200"/>
              <w:jc w:val="left"/>
              <w:rPr>
                <w:rFonts w:hint="default"/>
                <w:sz w:val="24"/>
                <w:szCs w:val="24"/>
              </w:rPr>
            </w:pPr>
            <w:r>
              <w:rPr>
                <w:rFonts w:hint="default"/>
                <w:sz w:val="24"/>
                <w:szCs w:val="24"/>
              </w:rPr>
              <w:t>淮滨县位于淮河冲积平原，北高南低，地下水资源丰富，浅层地下水储量为53.7亿m3，地层储水条件好，浅层地下水主要依靠自然降雨渗入补给，地下水位高，开采资源比较丰富，有利于发展井灌，为农田灌溉提供了有利的条件，每年平均开采量为1.56亿m3。</w:t>
            </w:r>
          </w:p>
          <w:p>
            <w:pPr>
              <w:adjustRightInd w:val="0"/>
              <w:snapToGrid w:val="0"/>
              <w:spacing w:line="520" w:lineRule="exact"/>
              <w:ind w:firstLine="439" w:firstLineChars="183"/>
              <w:jc w:val="left"/>
              <w:rPr>
                <w:sz w:val="24"/>
                <w:szCs w:val="24"/>
              </w:rPr>
            </w:pPr>
            <w:r>
              <w:rPr>
                <w:rFonts w:hint="eastAsia"/>
                <w:sz w:val="24"/>
                <w:szCs w:val="24"/>
              </w:rPr>
              <w:t>5</w:t>
            </w:r>
            <w:r>
              <w:rPr>
                <w:sz w:val="24"/>
                <w:szCs w:val="24"/>
              </w:rPr>
              <w:t>、植被</w:t>
            </w:r>
            <w:r>
              <w:rPr>
                <w:rFonts w:hint="eastAsia"/>
                <w:sz w:val="24"/>
                <w:szCs w:val="24"/>
              </w:rPr>
              <w:t>及动物资源</w:t>
            </w:r>
          </w:p>
          <w:p>
            <w:pPr>
              <w:adjustRightInd w:val="0"/>
              <w:snapToGrid w:val="0"/>
              <w:spacing w:line="520" w:lineRule="exact"/>
              <w:ind w:firstLine="480" w:firstLineChars="200"/>
              <w:jc w:val="left"/>
              <w:rPr>
                <w:sz w:val="24"/>
                <w:szCs w:val="24"/>
              </w:rPr>
            </w:pPr>
            <w:r>
              <w:rPr>
                <w:sz w:val="24"/>
                <w:szCs w:val="24"/>
              </w:rPr>
              <w:t>水生动物：鱼类约6目、15科、31种。常见的有鲢、鳙、红鲤、鲫、长春鳊、草鱼、青、鱼咸、马口、团头鲂、三角稣、川条、翘咀红鱼白(翘咀腰子)、蒙古红鱼白、扁体鱼白、银固、四方波、花鱼骨、麦穗、船丁、泥鳅、花鳅、花颡、虎头草牙(草牙)、鲶、黄鳝、鳜鱼、乌鳢(乌鱼)、鳗鲡(白鳝)、银鱼等。还有蚌、螺、虾、蟹、龟、鳖等。</w:t>
            </w:r>
          </w:p>
          <w:p>
            <w:pPr>
              <w:adjustRightInd w:val="0"/>
              <w:snapToGrid w:val="0"/>
              <w:spacing w:line="520" w:lineRule="exact"/>
              <w:ind w:firstLine="480" w:firstLineChars="200"/>
              <w:jc w:val="left"/>
              <w:rPr>
                <w:sz w:val="24"/>
                <w:szCs w:val="24"/>
              </w:rPr>
            </w:pPr>
            <w:r>
              <w:rPr>
                <w:sz w:val="24"/>
                <w:szCs w:val="24"/>
              </w:rPr>
              <w:t>陆生野生动物：鸟类主要有喜鹊、乌鸦、麻雀、燕、鸿雁、布谷鸟、鹌鹑、黄莺、鹤、鹭鸶、斑鸠、鹰、雕、白脖乌鸦、鸬鹚、啄木鸟、猫头鹰、翠鸟、野鸭、百灵、野鸡、灰喜鹊、鹦鹉、八哥、画眉、灵雀、鸳鸯等。兽类主要有野兔、狐狸、黄鼠狼、家鼠、刺猬、田鼠、鼬鼠等。其它有蝙蝠、壁虎、青蛙、蟾蜍及多种蛇类。节肢动物主要有蜈蚣、马陆、蜘蛛、蝎子等。</w:t>
            </w:r>
          </w:p>
          <w:p>
            <w:pPr>
              <w:adjustRightInd w:val="0"/>
              <w:snapToGrid w:val="0"/>
              <w:spacing w:line="520" w:lineRule="exact"/>
              <w:ind w:firstLine="480" w:firstLineChars="200"/>
              <w:jc w:val="left"/>
              <w:rPr>
                <w:sz w:val="24"/>
                <w:szCs w:val="24"/>
              </w:rPr>
            </w:pPr>
            <w:r>
              <w:rPr>
                <w:sz w:val="24"/>
                <w:szCs w:val="24"/>
              </w:rPr>
              <w:t>全县饲养的家畜家禽主要有牛、猪、羊、马、驴、骡、鸡、鸭、鹅、兔等10余种。各种家畜在全县都有分布，但不够均匀。水牛大部分在淮南岗地区的张庄、期思、王店等乡(镇)，饲养量占全县水牛总头数的83．7％。淮北平原区的张里、防胡、新里、赵集等乡(镇)母猪饲养量较多，是全县猪源的生产基地</w:t>
            </w:r>
          </w:p>
          <w:p>
            <w:pPr>
              <w:adjustRightInd w:val="0"/>
              <w:snapToGrid w:val="0"/>
              <w:spacing w:line="520" w:lineRule="exact"/>
              <w:ind w:firstLine="480" w:firstLineChars="200"/>
              <w:jc w:val="left"/>
              <w:rPr>
                <w:sz w:val="24"/>
                <w:szCs w:val="24"/>
              </w:rPr>
            </w:pPr>
            <w:r>
              <w:rPr>
                <w:sz w:val="24"/>
                <w:szCs w:val="24"/>
              </w:rPr>
              <w:t>淮滨县植被类型属于常绿落叶针叶林与落叶阔叶林混交林带。由于垦殖较早，自然植被己残存不多，多为栽培植物，木本植物共有35科、27亚科、56属、75种。其中落叶林树种有柳、椿、槐、榆、楸、楝、桑、梓、泡桐、大官杨及桃、梨、杏、枣、柿、苹果、核桃等；常绿落叶针叶林树种有刺柏、水杉、竹等。旱生草本植物有刺儿菜、马齿苋、二花、秸梗、半夏、东边莲、地黄、车前子、防风、艾蒿、蒲公英、牵牛、猫儿眼等。水生、湿生草本植物有野菱、泽泻、三菱草、稗子草、浮萍、野田青等。河滩行洪区及洼地草本植物有荻、苇、淮草等。</w:t>
            </w:r>
          </w:p>
          <w:p>
            <w:pPr>
              <w:adjustRightInd w:val="0"/>
              <w:snapToGrid w:val="0"/>
              <w:spacing w:line="520" w:lineRule="exact"/>
              <w:ind w:firstLine="480" w:firstLineChars="200"/>
              <w:jc w:val="left"/>
              <w:rPr>
                <w:sz w:val="24"/>
                <w:szCs w:val="24"/>
              </w:rPr>
            </w:pPr>
            <w:r>
              <w:rPr>
                <w:sz w:val="24"/>
                <w:szCs w:val="24"/>
              </w:rPr>
              <w:t>经调查，本项目建设厂址周围多为人工植被，生态系统结构简单，周围500m内无需要保护的动植物资源。</w:t>
            </w:r>
          </w:p>
          <w:p>
            <w:pPr>
              <w:spacing w:before="156" w:beforeLines="50" w:line="440" w:lineRule="exact"/>
              <w:ind w:firstLine="420" w:firstLineChars="200"/>
            </w:pPr>
          </w:p>
          <w:p>
            <w:pPr>
              <w:spacing w:before="156" w:beforeLines="50" w:line="440" w:lineRule="exact"/>
              <w:ind w:firstLine="420" w:firstLineChars="200"/>
              <w:rPr>
                <w:rFonts w:hint="eastAsia"/>
              </w:rPr>
            </w:pPr>
          </w:p>
          <w:p>
            <w:pPr>
              <w:spacing w:before="156" w:beforeLines="50" w:line="440" w:lineRule="exact"/>
              <w:ind w:firstLine="420" w:firstLineChars="200"/>
              <w:rPr>
                <w:rFonts w:hint="eastAsia"/>
              </w:rPr>
            </w:pPr>
          </w:p>
          <w:p>
            <w:pPr>
              <w:spacing w:before="156" w:beforeLines="50" w:line="440" w:lineRule="exact"/>
              <w:rPr>
                <w:rFonts w:hint="eastAsia"/>
              </w:rPr>
            </w:pPr>
          </w:p>
          <w:p>
            <w:pPr>
              <w:bidi w:val="0"/>
              <w:rPr>
                <w:rFonts w:hint="eastAsia"/>
              </w:rPr>
            </w:pPr>
          </w:p>
        </w:tc>
      </w:tr>
    </w:tbl>
    <w:p>
      <w:pPr>
        <w:spacing w:before="156" w:beforeLines="50" w:line="480" w:lineRule="exact"/>
        <w:rPr>
          <w:rFonts w:eastAsia="黑体"/>
          <w:bCs/>
          <w:sz w:val="32"/>
        </w:rPr>
      </w:pPr>
      <w:r>
        <w:rPr>
          <w:rFonts w:eastAsia="黑体"/>
          <w:bCs/>
          <w:sz w:val="32"/>
        </w:rPr>
        <w:t>环境质量现状</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0" w:hRule="atLeast"/>
        </w:trPr>
        <w:tc>
          <w:tcPr>
            <w:tcW w:w="8980" w:type="dxa"/>
            <w:noWrap w:val="0"/>
            <w:vAlign w:val="top"/>
          </w:tcPr>
          <w:p>
            <w:pPr>
              <w:spacing w:line="520" w:lineRule="exact"/>
              <w:rPr>
                <w:b/>
                <w:bCs/>
                <w:sz w:val="24"/>
              </w:rPr>
            </w:pPr>
            <w:r>
              <w:rPr>
                <w:b/>
                <w:bCs/>
                <w:sz w:val="24"/>
              </w:rPr>
              <w:t>建设项目所在地区域环境质量现状及主要环境问题（环境空气、地表水、地下水、声环境、生态环境等）</w:t>
            </w:r>
            <w:bookmarkStart w:id="1" w:name="_Toc238489016"/>
            <w:bookmarkStart w:id="2" w:name="_Toc238488968"/>
          </w:p>
          <w:bookmarkEnd w:id="1"/>
          <w:bookmarkEnd w:id="2"/>
          <w:p>
            <w:pPr>
              <w:adjustRightInd w:val="0"/>
              <w:snapToGrid w:val="0"/>
              <w:spacing w:line="520" w:lineRule="exact"/>
              <w:ind w:firstLine="480" w:firstLineChars="200"/>
              <w:rPr>
                <w:rFonts w:hint="default" w:ascii="Times New Roman" w:hAnsi="Times New Roman" w:cs="Times New Roman"/>
                <w:color w:val="000000"/>
                <w:kern w:val="0"/>
                <w:sz w:val="24"/>
              </w:rPr>
            </w:pPr>
            <w:r>
              <w:rPr>
                <w:rFonts w:hint="default" w:ascii="Times New Roman" w:hAnsi="Times New Roman" w:cs="Times New Roman"/>
                <w:kern w:val="0"/>
                <w:sz w:val="24"/>
              </w:rPr>
              <w:t>本项</w:t>
            </w:r>
            <w:r>
              <w:rPr>
                <w:rFonts w:hint="default" w:ascii="Times New Roman" w:hAnsi="Times New Roman" w:cs="Times New Roman"/>
                <w:color w:val="000000"/>
                <w:kern w:val="0"/>
                <w:sz w:val="24"/>
              </w:rPr>
              <w:t>目位于</w:t>
            </w:r>
            <w:r>
              <w:rPr>
                <w:rFonts w:hint="default" w:ascii="Times New Roman" w:hAnsi="Times New Roman" w:cs="Times New Roman"/>
                <w:bCs/>
                <w:color w:val="000000"/>
                <w:sz w:val="24"/>
              </w:rPr>
              <w:t>信阳市</w:t>
            </w:r>
            <w:r>
              <w:rPr>
                <w:rFonts w:hint="default" w:ascii="Times New Roman" w:hAnsi="Times New Roman" w:cs="Times New Roman"/>
                <w:sz w:val="24"/>
                <w:szCs w:val="22"/>
              </w:rPr>
              <w:t>淮滨县</w:t>
            </w:r>
            <w:r>
              <w:rPr>
                <w:rFonts w:hint="default" w:ascii="Times New Roman" w:hAnsi="Times New Roman" w:cs="Times New Roman"/>
                <w:color w:val="000000"/>
                <w:kern w:val="0"/>
                <w:sz w:val="24"/>
              </w:rPr>
              <w:t>，周围无重大工业污染源，因此不再进行区域环境质量现状监测，采用类比和资料分析的评价方法。</w:t>
            </w:r>
          </w:p>
          <w:p>
            <w:pPr>
              <w:pStyle w:val="14"/>
              <w:widowControl/>
              <w:adjustRightInd w:val="0"/>
              <w:snapToGrid w:val="0"/>
              <w:spacing w:line="520" w:lineRule="exact"/>
              <w:ind w:firstLine="436" w:firstLineChars="181"/>
              <w:jc w:val="left"/>
              <w:rPr>
                <w:rFonts w:hint="eastAsia" w:cs="宋体"/>
                <w:b/>
                <w:bCs/>
                <w:color w:val="000000"/>
                <w:sz w:val="24"/>
              </w:rPr>
            </w:pPr>
            <w:r>
              <w:rPr>
                <w:rFonts w:ascii="Times New Roman"/>
                <w:b/>
                <w:bCs/>
                <w:color w:val="000000"/>
                <w:sz w:val="24"/>
              </w:rPr>
              <w:t>1</w:t>
            </w:r>
            <w:r>
              <w:rPr>
                <w:rFonts w:hint="eastAsia" w:cs="宋体"/>
                <w:b/>
                <w:bCs/>
                <w:color w:val="000000"/>
                <w:sz w:val="24"/>
              </w:rPr>
              <w:t>、环境空气质量现状</w:t>
            </w:r>
          </w:p>
          <w:p>
            <w:pPr>
              <w:spacing w:line="520" w:lineRule="exact"/>
              <w:ind w:firstLine="480" w:firstLineChars="200"/>
              <w:rPr>
                <w:color w:val="000000"/>
                <w:sz w:val="24"/>
              </w:rPr>
            </w:pPr>
            <w:r>
              <w:rPr>
                <w:rFonts w:hint="eastAsia"/>
                <w:color w:val="000000"/>
                <w:sz w:val="24"/>
              </w:rPr>
              <w:t>根据大气功能区规划，项目所在地为二类功能区，环境空气执行</w:t>
            </w:r>
            <w:r>
              <w:rPr>
                <w:color w:val="000000"/>
                <w:sz w:val="24"/>
              </w:rPr>
              <w:t>《环境空气质量标准》（GB3095-2012）中二级标准</w:t>
            </w:r>
            <w:r>
              <w:rPr>
                <w:rFonts w:hint="eastAsia"/>
                <w:color w:val="000000"/>
                <w:sz w:val="24"/>
              </w:rPr>
              <w:t>。本次评价引用淮滨县环境监测站提供的2018年6月在淮滨城区环境监测数据24小时均值</w:t>
            </w:r>
            <w:r>
              <w:rPr>
                <w:color w:val="000000"/>
                <w:sz w:val="24"/>
              </w:rPr>
              <w:t>，监测结果</w:t>
            </w:r>
            <w:r>
              <w:rPr>
                <w:rFonts w:hint="eastAsia"/>
                <w:color w:val="000000"/>
                <w:sz w:val="24"/>
              </w:rPr>
              <w:t>见表</w:t>
            </w:r>
            <w:r>
              <w:rPr>
                <w:rFonts w:hint="eastAsia"/>
                <w:color w:val="000000"/>
                <w:sz w:val="24"/>
                <w:lang w:val="en-US" w:eastAsia="zh-CN"/>
              </w:rPr>
              <w:t>3</w:t>
            </w:r>
            <w:r>
              <w:rPr>
                <w:color w:val="000000"/>
                <w:sz w:val="24"/>
              </w:rPr>
              <w:t>：</w:t>
            </w:r>
          </w:p>
          <w:p>
            <w:pPr>
              <w:spacing w:line="520" w:lineRule="exact"/>
              <w:jc w:val="center"/>
              <w:rPr>
                <w:color w:val="000000"/>
                <w:sz w:val="24"/>
              </w:rPr>
            </w:pPr>
            <w:r>
              <w:rPr>
                <w:rFonts w:hint="eastAsia" w:ascii="宋体" w:hAnsi="宋体" w:cs="宋体"/>
                <w:b/>
                <w:bCs/>
                <w:color w:val="000000"/>
                <w:sz w:val="24"/>
              </w:rPr>
              <w:t>表</w:t>
            </w:r>
            <w:r>
              <w:rPr>
                <w:rFonts w:hint="eastAsia"/>
                <w:b/>
                <w:bCs/>
                <w:color w:val="000000"/>
                <w:sz w:val="24"/>
                <w:lang w:val="en-US" w:eastAsia="zh-CN"/>
              </w:rPr>
              <w:t>3</w:t>
            </w:r>
            <w:r>
              <w:rPr>
                <w:rFonts w:hint="eastAsia" w:ascii="宋体" w:hAnsi="宋体" w:cs="宋体"/>
                <w:b/>
                <w:bCs/>
                <w:color w:val="000000"/>
                <w:sz w:val="24"/>
              </w:rPr>
              <w:t xml:space="preserve">   大气环境现状监测结果  </w:t>
            </w:r>
            <w:r>
              <w:rPr>
                <w:rFonts w:hint="eastAsia" w:ascii="宋体" w:hAnsi="宋体" w:cs="宋体"/>
                <w:color w:val="000000"/>
                <w:sz w:val="24"/>
              </w:rPr>
              <w:t xml:space="preserve">      单位：</w:t>
            </w:r>
            <w:r>
              <w:rPr>
                <w:color w:val="000000"/>
                <w:sz w:val="24"/>
              </w:rPr>
              <w:t>ug/m</w:t>
            </w:r>
            <w:r>
              <w:rPr>
                <w:color w:val="000000"/>
                <w:sz w:val="24"/>
                <w:vertAlign w:val="superscript"/>
              </w:rPr>
              <w:t>3</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1203"/>
              <w:gridCol w:w="1082"/>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514" w:type="dxa"/>
                  <w:vMerge w:val="restart"/>
                  <w:noWrap w:val="0"/>
                  <w:vAlign w:val="center"/>
                </w:tcPr>
                <w:p>
                  <w:pPr>
                    <w:spacing w:line="320" w:lineRule="exact"/>
                    <w:jc w:val="center"/>
                    <w:rPr>
                      <w:color w:val="000000"/>
                      <w:szCs w:val="21"/>
                    </w:rPr>
                  </w:pPr>
                  <w:r>
                    <w:rPr>
                      <w:color w:val="000000"/>
                      <w:szCs w:val="21"/>
                    </w:rPr>
                    <w:t>测点日期</w:t>
                  </w:r>
                </w:p>
              </w:tc>
              <w:tc>
                <w:tcPr>
                  <w:tcW w:w="3502" w:type="dxa"/>
                  <w:gridSpan w:val="3"/>
                  <w:noWrap w:val="0"/>
                  <w:vAlign w:val="center"/>
                </w:tcPr>
                <w:p>
                  <w:pPr>
                    <w:spacing w:line="320" w:lineRule="exact"/>
                    <w:jc w:val="center"/>
                    <w:rPr>
                      <w:color w:val="000000"/>
                      <w:szCs w:val="21"/>
                    </w:rPr>
                  </w:pPr>
                  <w:r>
                    <w:rPr>
                      <w:color w:val="000000"/>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14" w:type="dxa"/>
                  <w:vMerge w:val="continue"/>
                  <w:noWrap w:val="0"/>
                  <w:vAlign w:val="center"/>
                </w:tcPr>
                <w:p>
                  <w:pPr>
                    <w:pStyle w:val="20"/>
                    <w:spacing w:line="320" w:lineRule="exact"/>
                    <w:jc w:val="center"/>
                    <w:rPr>
                      <w:color w:val="000000"/>
                      <w:sz w:val="21"/>
                      <w:szCs w:val="21"/>
                    </w:rPr>
                  </w:pPr>
                </w:p>
              </w:tc>
              <w:tc>
                <w:tcPr>
                  <w:tcW w:w="1203" w:type="dxa"/>
                  <w:noWrap w:val="0"/>
                  <w:vAlign w:val="center"/>
                </w:tcPr>
                <w:p>
                  <w:pPr>
                    <w:spacing w:line="320" w:lineRule="exact"/>
                    <w:jc w:val="center"/>
                    <w:rPr>
                      <w:color w:val="000000"/>
                      <w:szCs w:val="21"/>
                    </w:rPr>
                  </w:pPr>
                  <w:r>
                    <w:rPr>
                      <w:rFonts w:hint="eastAsia"/>
                      <w:color w:val="000000"/>
                      <w:szCs w:val="21"/>
                    </w:rPr>
                    <w:t>PM</w:t>
                  </w:r>
                  <w:r>
                    <w:rPr>
                      <w:rFonts w:hint="eastAsia"/>
                      <w:color w:val="000000"/>
                      <w:szCs w:val="21"/>
                      <w:vertAlign w:val="subscript"/>
                    </w:rPr>
                    <w:t>10</w:t>
                  </w:r>
                </w:p>
              </w:tc>
              <w:tc>
                <w:tcPr>
                  <w:tcW w:w="1082" w:type="dxa"/>
                  <w:noWrap w:val="0"/>
                  <w:vAlign w:val="center"/>
                </w:tcPr>
                <w:p>
                  <w:pPr>
                    <w:spacing w:line="320" w:lineRule="exact"/>
                    <w:jc w:val="center"/>
                    <w:rPr>
                      <w:color w:val="000000"/>
                      <w:szCs w:val="21"/>
                    </w:rPr>
                  </w:pPr>
                  <w:r>
                    <w:rPr>
                      <w:color w:val="000000"/>
                      <w:szCs w:val="21"/>
                    </w:rPr>
                    <w:t>NO</w:t>
                  </w:r>
                  <w:r>
                    <w:rPr>
                      <w:color w:val="000000"/>
                      <w:szCs w:val="21"/>
                      <w:vertAlign w:val="subscript"/>
                    </w:rPr>
                    <w:t>2</w:t>
                  </w:r>
                </w:p>
              </w:tc>
              <w:tc>
                <w:tcPr>
                  <w:tcW w:w="1217" w:type="dxa"/>
                  <w:noWrap w:val="0"/>
                  <w:vAlign w:val="center"/>
                </w:tcPr>
                <w:p>
                  <w:pPr>
                    <w:spacing w:line="320" w:lineRule="exact"/>
                    <w:jc w:val="center"/>
                    <w:rPr>
                      <w:color w:val="000000"/>
                      <w:szCs w:val="21"/>
                    </w:rPr>
                  </w:pPr>
                  <w:r>
                    <w:rPr>
                      <w:color w:val="000000"/>
                      <w:szCs w:val="21"/>
                    </w:rPr>
                    <w:t>SO</w:t>
                  </w:r>
                  <w:r>
                    <w:rPr>
                      <w:color w:val="000000"/>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4" w:type="dxa"/>
                  <w:noWrap w:val="0"/>
                  <w:vAlign w:val="center"/>
                </w:tcPr>
                <w:p>
                  <w:pPr>
                    <w:spacing w:line="320" w:lineRule="exact"/>
                    <w:jc w:val="center"/>
                    <w:rPr>
                      <w:color w:val="000000"/>
                      <w:szCs w:val="21"/>
                    </w:rPr>
                  </w:pPr>
                  <w:r>
                    <w:rPr>
                      <w:rFonts w:hint="eastAsia"/>
                      <w:color w:val="000000"/>
                      <w:szCs w:val="21"/>
                    </w:rPr>
                    <w:t>淮滨城区</w:t>
                  </w:r>
                </w:p>
              </w:tc>
              <w:tc>
                <w:tcPr>
                  <w:tcW w:w="1203" w:type="dxa"/>
                  <w:noWrap w:val="0"/>
                  <w:vAlign w:val="center"/>
                </w:tcPr>
                <w:p>
                  <w:pPr>
                    <w:spacing w:line="320" w:lineRule="exact"/>
                    <w:jc w:val="center"/>
                    <w:rPr>
                      <w:color w:val="000000"/>
                      <w:szCs w:val="21"/>
                    </w:rPr>
                  </w:pPr>
                  <w:r>
                    <w:rPr>
                      <w:rFonts w:hint="eastAsia"/>
                      <w:color w:val="000000"/>
                      <w:szCs w:val="21"/>
                    </w:rPr>
                    <w:t>47</w:t>
                  </w:r>
                </w:p>
              </w:tc>
              <w:tc>
                <w:tcPr>
                  <w:tcW w:w="1082" w:type="dxa"/>
                  <w:noWrap w:val="0"/>
                  <w:vAlign w:val="center"/>
                </w:tcPr>
                <w:p>
                  <w:pPr>
                    <w:spacing w:line="320" w:lineRule="exact"/>
                    <w:jc w:val="center"/>
                    <w:rPr>
                      <w:color w:val="000000"/>
                      <w:szCs w:val="21"/>
                    </w:rPr>
                  </w:pPr>
                  <w:r>
                    <w:rPr>
                      <w:rFonts w:hint="eastAsia"/>
                      <w:color w:val="000000"/>
                      <w:szCs w:val="21"/>
                    </w:rPr>
                    <w:t>15</w:t>
                  </w:r>
                </w:p>
              </w:tc>
              <w:tc>
                <w:tcPr>
                  <w:tcW w:w="1217" w:type="dxa"/>
                  <w:noWrap w:val="0"/>
                  <w:vAlign w:val="center"/>
                </w:tcPr>
                <w:p>
                  <w:pPr>
                    <w:spacing w:line="320" w:lineRule="exact"/>
                    <w:jc w:val="center"/>
                    <w:rPr>
                      <w:color w:val="000000"/>
                      <w:szCs w:val="21"/>
                    </w:rPr>
                  </w:pPr>
                  <w:r>
                    <w:rPr>
                      <w:rFonts w:hint="eastAsia"/>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4" w:type="dxa"/>
                  <w:noWrap w:val="0"/>
                  <w:vAlign w:val="center"/>
                </w:tcPr>
                <w:p>
                  <w:pPr>
                    <w:pStyle w:val="6"/>
                    <w:spacing w:line="320" w:lineRule="exact"/>
                    <w:jc w:val="center"/>
                    <w:rPr>
                      <w:color w:val="000000"/>
                      <w:szCs w:val="21"/>
                    </w:rPr>
                  </w:pPr>
                  <w:r>
                    <w:rPr>
                      <w:color w:val="000000"/>
                      <w:szCs w:val="21"/>
                    </w:rPr>
                    <w:t>《环境空气质量</w:t>
                  </w:r>
                  <w:r>
                    <w:rPr>
                      <w:rFonts w:hint="eastAsia"/>
                      <w:color w:val="000000"/>
                      <w:szCs w:val="21"/>
                    </w:rPr>
                    <w:t>标准》</w:t>
                  </w:r>
                  <w:r>
                    <w:rPr>
                      <w:color w:val="000000"/>
                      <w:szCs w:val="21"/>
                    </w:rPr>
                    <w:t>（GB3095-2012）中二级标准</w:t>
                  </w:r>
                </w:p>
              </w:tc>
              <w:tc>
                <w:tcPr>
                  <w:tcW w:w="1203" w:type="dxa"/>
                  <w:noWrap w:val="0"/>
                  <w:vAlign w:val="center"/>
                </w:tcPr>
                <w:p>
                  <w:pPr>
                    <w:spacing w:line="320" w:lineRule="exact"/>
                    <w:jc w:val="center"/>
                    <w:rPr>
                      <w:color w:val="000000"/>
                      <w:szCs w:val="21"/>
                    </w:rPr>
                  </w:pPr>
                  <w:r>
                    <w:rPr>
                      <w:rFonts w:hint="eastAsia"/>
                      <w:color w:val="000000"/>
                      <w:szCs w:val="21"/>
                    </w:rPr>
                    <w:t>150</w:t>
                  </w:r>
                </w:p>
              </w:tc>
              <w:tc>
                <w:tcPr>
                  <w:tcW w:w="1082" w:type="dxa"/>
                  <w:noWrap w:val="0"/>
                  <w:vAlign w:val="center"/>
                </w:tcPr>
                <w:p>
                  <w:pPr>
                    <w:spacing w:line="320" w:lineRule="exact"/>
                    <w:jc w:val="center"/>
                    <w:rPr>
                      <w:color w:val="000000"/>
                      <w:szCs w:val="21"/>
                    </w:rPr>
                  </w:pPr>
                  <w:r>
                    <w:rPr>
                      <w:color w:val="000000"/>
                      <w:szCs w:val="21"/>
                    </w:rPr>
                    <w:t>80</w:t>
                  </w:r>
                </w:p>
              </w:tc>
              <w:tc>
                <w:tcPr>
                  <w:tcW w:w="1217" w:type="dxa"/>
                  <w:noWrap w:val="0"/>
                  <w:vAlign w:val="center"/>
                </w:tcPr>
                <w:p>
                  <w:pPr>
                    <w:spacing w:line="320" w:lineRule="exact"/>
                    <w:jc w:val="center"/>
                    <w:rPr>
                      <w:color w:val="000000"/>
                      <w:szCs w:val="21"/>
                    </w:rPr>
                  </w:pPr>
                  <w:r>
                    <w:rPr>
                      <w:color w:val="000000"/>
                      <w:szCs w:val="21"/>
                    </w:rPr>
                    <w:t>150</w:t>
                  </w:r>
                </w:p>
              </w:tc>
            </w:tr>
          </w:tbl>
          <w:p>
            <w:pPr>
              <w:spacing w:line="520" w:lineRule="exact"/>
              <w:ind w:firstLine="480" w:firstLineChars="200"/>
              <w:rPr>
                <w:bCs/>
                <w:color w:val="000000"/>
                <w:sz w:val="24"/>
                <w:szCs w:val="28"/>
              </w:rPr>
            </w:pPr>
            <w:r>
              <w:rPr>
                <w:color w:val="000000"/>
                <w:sz w:val="24"/>
              </w:rPr>
              <w:t>根据</w:t>
            </w:r>
            <w:r>
              <w:rPr>
                <w:rFonts w:hint="eastAsia"/>
                <w:color w:val="000000"/>
                <w:sz w:val="24"/>
              </w:rPr>
              <w:t>上表可知</w:t>
            </w:r>
            <w:r>
              <w:rPr>
                <w:color w:val="000000"/>
                <w:sz w:val="24"/>
              </w:rPr>
              <w:t>，该项目所在地区域环境空气中</w:t>
            </w:r>
            <w:r>
              <w:rPr>
                <w:rFonts w:hint="eastAsia"/>
                <w:color w:val="000000"/>
                <w:sz w:val="24"/>
              </w:rPr>
              <w:t>PM</w:t>
            </w:r>
            <w:r>
              <w:rPr>
                <w:rFonts w:hint="eastAsia"/>
                <w:color w:val="000000"/>
                <w:sz w:val="24"/>
                <w:vertAlign w:val="subscript"/>
              </w:rPr>
              <w:t>10</w:t>
            </w:r>
            <w:r>
              <w:rPr>
                <w:rFonts w:hint="eastAsia"/>
                <w:color w:val="000000"/>
                <w:sz w:val="24"/>
              </w:rPr>
              <w:t>、</w:t>
            </w:r>
            <w:r>
              <w:rPr>
                <w:color w:val="000000"/>
                <w:sz w:val="24"/>
              </w:rPr>
              <w:t>SO</w:t>
            </w:r>
            <w:r>
              <w:rPr>
                <w:color w:val="000000"/>
                <w:sz w:val="24"/>
                <w:vertAlign w:val="subscript"/>
              </w:rPr>
              <w:t>2</w:t>
            </w:r>
            <w:r>
              <w:rPr>
                <w:color w:val="000000"/>
                <w:sz w:val="24"/>
              </w:rPr>
              <w:t>、NO</w:t>
            </w:r>
            <w:r>
              <w:rPr>
                <w:color w:val="000000"/>
                <w:sz w:val="24"/>
                <w:vertAlign w:val="subscript"/>
              </w:rPr>
              <w:t>2</w:t>
            </w:r>
            <w:r>
              <w:rPr>
                <w:color w:val="000000"/>
                <w:sz w:val="24"/>
              </w:rPr>
              <w:t>浓度日均值满足《环境空气质量标准》（GB3095-2012）中二级标准要求</w:t>
            </w:r>
            <w:r>
              <w:rPr>
                <w:rFonts w:hint="eastAsia"/>
                <w:color w:val="000000"/>
                <w:sz w:val="24"/>
              </w:rPr>
              <w:t>，环境空气质量良好</w:t>
            </w:r>
            <w:r>
              <w:rPr>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default" w:ascii="Times New Roman" w:hAnsi="Times New Roman" w:cs="Times New Roman"/>
                <w:b/>
                <w:bCs/>
                <w:color w:val="000000"/>
                <w:kern w:val="2"/>
                <w:sz w:val="24"/>
                <w:szCs w:val="24"/>
                <w:lang w:val="en-US" w:eastAsia="zh-CN" w:bidi="ar-SA"/>
              </w:rPr>
              <w:t>2</w:t>
            </w:r>
            <w:r>
              <w:rPr>
                <w:rFonts w:hint="eastAsia" w:ascii="Times New Roman" w:hAnsi="Times New Roman" w:cs="Times New Roman"/>
                <w:b/>
                <w:bCs/>
                <w:color w:val="000000"/>
                <w:kern w:val="2"/>
                <w:sz w:val="24"/>
                <w:szCs w:val="24"/>
                <w:lang w:val="en-US" w:eastAsia="zh-CN" w:bidi="ar-SA"/>
              </w:rPr>
              <w:t>、</w:t>
            </w:r>
            <w:r>
              <w:rPr>
                <w:rFonts w:hint="eastAsia" w:ascii="Times New Roman" w:hAnsi="宋体"/>
                <w:b/>
                <w:bCs/>
                <w:color w:val="000000"/>
                <w:kern w:val="2"/>
                <w:sz w:val="24"/>
                <w:szCs w:val="24"/>
                <w:lang w:val="en-US" w:eastAsia="zh-CN" w:bidi="ar-SA"/>
              </w:rPr>
              <w:t>地表水环境质量现状调查与评价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color w:val="000000"/>
                <w:sz w:val="24"/>
              </w:rPr>
              <w:t>项目所在区域最近的地表水体为淮河，淮河在淮滨水文站设置有省控断面。根据河南省环境保护厅网站发布的河南省地表水环境责任目标断面水质周报第49周至53周（</w:t>
            </w:r>
            <w:r>
              <w:rPr>
                <w:color w:val="000000"/>
                <w:sz w:val="24"/>
              </w:rPr>
              <w:t>20</w:t>
            </w:r>
            <w:r>
              <w:rPr>
                <w:rFonts w:hint="eastAsia" w:eastAsia="宋体"/>
                <w:color w:val="000000"/>
                <w:sz w:val="24"/>
                <w:lang w:val="en-US" w:eastAsia="zh-CN"/>
              </w:rPr>
              <w:t>19</w:t>
            </w:r>
            <w:r>
              <w:rPr>
                <w:rFonts w:hint="eastAsia"/>
                <w:color w:val="000000"/>
                <w:sz w:val="24"/>
              </w:rPr>
              <w:t>年</w:t>
            </w:r>
            <w:r>
              <w:rPr>
                <w:color w:val="000000"/>
                <w:sz w:val="24"/>
              </w:rPr>
              <w:t>1</w:t>
            </w:r>
            <w:r>
              <w:rPr>
                <w:rFonts w:hint="eastAsia"/>
                <w:color w:val="000000"/>
                <w:sz w:val="24"/>
              </w:rPr>
              <w:t>1月27日</w:t>
            </w:r>
            <w:r>
              <w:rPr>
                <w:color w:val="000000"/>
                <w:sz w:val="24"/>
              </w:rPr>
              <w:t>~</w:t>
            </w:r>
            <w:r>
              <w:rPr>
                <w:rFonts w:hint="eastAsia"/>
                <w:color w:val="000000"/>
                <w:sz w:val="24"/>
              </w:rPr>
              <w:t>12月31日）的数据，淮河淮滨水文站断面水质监测结果见表</w:t>
            </w:r>
            <w:r>
              <w:rPr>
                <w:rFonts w:hint="eastAsia"/>
                <w:color w:val="000000"/>
                <w:sz w:val="24"/>
                <w:lang w:val="en-US" w:eastAsia="zh-CN"/>
              </w:rPr>
              <w:t>4</w:t>
            </w:r>
            <w:r>
              <w:rPr>
                <w:rFonts w:hint="eastAsia"/>
                <w:color w:val="000000"/>
                <w:sz w:val="24"/>
              </w:rPr>
              <w:t>。</w:t>
            </w:r>
            <w:r>
              <w:rPr>
                <w:color w:val="000000"/>
                <w:sz w:val="24"/>
              </w:rPr>
              <w:t xml:space="preserve">   </w:t>
            </w:r>
          </w:p>
          <w:p>
            <w:pPr>
              <w:bidi w:val="0"/>
              <w:jc w:val="center"/>
              <w:rPr>
                <w:b/>
                <w:bCs/>
                <w:sz w:val="24"/>
                <w:szCs w:val="24"/>
              </w:rPr>
            </w:pPr>
            <w:r>
              <w:rPr>
                <w:rFonts w:hint="eastAsia"/>
                <w:b/>
                <w:bCs/>
                <w:sz w:val="24"/>
                <w:szCs w:val="24"/>
              </w:rPr>
              <w:t>表</w:t>
            </w:r>
            <w:r>
              <w:rPr>
                <w:rFonts w:hint="eastAsia"/>
                <w:b/>
                <w:bCs/>
                <w:sz w:val="24"/>
                <w:szCs w:val="24"/>
                <w:lang w:val="en-US" w:eastAsia="zh-CN"/>
              </w:rPr>
              <w:t>4</w:t>
            </w:r>
            <w:r>
              <w:rPr>
                <w:b/>
                <w:bCs/>
                <w:sz w:val="24"/>
                <w:szCs w:val="24"/>
              </w:rPr>
              <w:t xml:space="preserve">           </w:t>
            </w:r>
            <w:r>
              <w:rPr>
                <w:rFonts w:hint="eastAsia"/>
                <w:b/>
                <w:bCs/>
                <w:sz w:val="24"/>
                <w:szCs w:val="24"/>
              </w:rPr>
              <w:t>地表水质量现状监测结果统计表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549"/>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62"/>
                    <w:ind w:left="461" w:leftChars="171" w:hanging="102" w:hangingChars="49"/>
                    <w:jc w:val="center"/>
                    <w:rPr>
                      <w:kern w:val="0"/>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5080</wp:posOffset>
                            </wp:positionV>
                            <wp:extent cx="1953260" cy="523875"/>
                            <wp:effectExtent l="1270" t="4445" r="7620" b="5080"/>
                            <wp:wrapNone/>
                            <wp:docPr id="23" name="直接连接符 23"/>
                            <wp:cNvGraphicFramePr/>
                            <a:graphic xmlns:a="http://schemas.openxmlformats.org/drawingml/2006/main">
                              <a:graphicData uri="http://schemas.microsoft.com/office/word/2010/wordprocessingShape">
                                <wps:wsp>
                                  <wps:cNvSpPr/>
                                  <wps:spPr>
                                    <a:xfrm>
                                      <a:off x="0" y="0"/>
                                      <a:ext cx="1953260" cy="523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pt;margin-top:0.4pt;height:41.25pt;width:153.8pt;z-index:251660288;mso-width-relative:page;mso-height-relative:page;" filled="f" stroked="t" coordsize="21600,21600" o:gfxdata="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tg74vUAAAABgEAAA8AAAAA&#10;AAAAAQAgAAAAIgAAAGRycy9kb3ducmV2LnhtbFBLAQIUABQAAAAIAIdO4kDk19ID3wEAAJ0DAAAO&#10;AAAAAAAAAAEAIAAAACMBAABkcnMvZTJvRG9jLnhtbFBLBQYAAAAABgAGAFkBAAB0BQAAAAA=&#10;">
                            <v:fill on="f" focussize="0,0"/>
                            <v:stroke color="#000000" joinstyle="round"/>
                            <v:imagedata o:title=""/>
                            <o:lock v:ext="edit" aspectratio="f"/>
                          </v:line>
                        </w:pict>
                      </mc:Fallback>
                    </mc:AlternateContent>
                  </w:r>
                  <w:r>
                    <w:rPr>
                      <w:kern w:val="0"/>
                      <w:szCs w:val="21"/>
                    </w:rPr>
                    <w:t xml:space="preserve">      </w:t>
                  </w:r>
                  <w:r>
                    <w:rPr>
                      <w:rFonts w:hint="eastAsia"/>
                      <w:kern w:val="0"/>
                      <w:szCs w:val="21"/>
                    </w:rPr>
                    <w:t>监测因子</w:t>
                  </w:r>
                </w:p>
                <w:p>
                  <w:pPr>
                    <w:rPr>
                      <w:kern w:val="0"/>
                      <w:szCs w:val="21"/>
                    </w:rPr>
                  </w:pPr>
                  <w:r>
                    <w:rPr>
                      <w:rFonts w:hint="eastAsia"/>
                      <w:kern w:val="0"/>
                      <w:szCs w:val="21"/>
                    </w:rPr>
                    <w:t>监测周份</w:t>
                  </w:r>
                </w:p>
              </w:tc>
              <w:tc>
                <w:tcPr>
                  <w:tcW w:w="5970"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rFonts w:hint="eastAsia"/>
                      <w:szCs w:val="21"/>
                    </w:rPr>
                    <w:t>淮河淮滨水文站断面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kern w:val="0"/>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pPr>
                    <w:spacing w:before="62"/>
                    <w:jc w:val="center"/>
                    <w:rPr>
                      <w:kern w:val="0"/>
                      <w:szCs w:val="21"/>
                    </w:rPr>
                  </w:pPr>
                  <w:r>
                    <w:rPr>
                      <w:kern w:val="0"/>
                      <w:szCs w:val="21"/>
                    </w:rPr>
                    <w:t>COD</w:t>
                  </w:r>
                  <w:r>
                    <w:rPr>
                      <w:rFonts w:hint="eastAsia"/>
                      <w:kern w:val="0"/>
                      <w:szCs w:val="21"/>
                    </w:rPr>
                    <w:t>（</w:t>
                  </w:r>
                  <w:r>
                    <w:rPr>
                      <w:kern w:val="0"/>
                      <w:szCs w:val="21"/>
                    </w:rPr>
                    <w:t>mg/L</w:t>
                  </w:r>
                  <w:r>
                    <w:rPr>
                      <w:rFonts w:hint="eastAsia"/>
                      <w:kern w:val="0"/>
                      <w:szCs w:val="21"/>
                    </w:rPr>
                    <w:t>）</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spacing w:before="62"/>
                    <w:jc w:val="center"/>
                    <w:rPr>
                      <w:kern w:val="0"/>
                      <w:szCs w:val="21"/>
                    </w:rPr>
                  </w:pPr>
                  <w:r>
                    <w:rPr>
                      <w:rFonts w:hint="eastAsia"/>
                      <w:kern w:val="0"/>
                      <w:szCs w:val="21"/>
                    </w:rPr>
                    <w:t>氨氮（</w:t>
                  </w:r>
                  <w:r>
                    <w:rPr>
                      <w:kern w:val="0"/>
                      <w:szCs w:val="21"/>
                    </w:rPr>
                    <w:t>mg/L</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49周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19.0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50周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18.0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51周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17.0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52周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17.0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53周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12.0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均值</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16.6</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超标率</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最大超标倍数</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ind w:firstLine="315" w:firstLineChars="150"/>
                    <w:jc w:val="center"/>
                    <w:rPr>
                      <w:kern w:val="0"/>
                      <w:szCs w:val="21"/>
                    </w:rPr>
                  </w:pPr>
                  <w:r>
                    <w:rPr>
                      <w:kern w:val="0"/>
                      <w:szCs w:val="21"/>
                    </w:rPr>
                    <w:t>GB3838-2002</w:t>
                  </w:r>
                  <w:r>
                    <w:rPr>
                      <w:rFonts w:hint="eastAsia" w:hAnsi="宋体"/>
                      <w:szCs w:val="21"/>
                    </w:rPr>
                    <w:t>Ⅲ</w:t>
                  </w:r>
                  <w:r>
                    <w:rPr>
                      <w:rFonts w:hint="eastAsia"/>
                      <w:szCs w:val="21"/>
                    </w:rPr>
                    <w:t>类标准值</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20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kern w:val="0"/>
                      <w:szCs w:val="21"/>
                    </w:rPr>
                    <w:t>1.0</w:t>
                  </w:r>
                </w:p>
              </w:tc>
            </w:tr>
          </w:tbl>
          <w:p>
            <w:pPr>
              <w:pageBreakBefore w:val="0"/>
              <w:widowControl w:val="0"/>
              <w:kinsoku/>
              <w:wordWrap/>
              <w:overflowPunct/>
              <w:topLinePunct w:val="0"/>
              <w:autoSpaceDE/>
              <w:autoSpaceDN/>
              <w:bidi w:val="0"/>
              <w:adjustRightInd w:val="0"/>
              <w:snapToGrid w:val="0"/>
              <w:spacing w:line="360" w:lineRule="auto"/>
              <w:ind w:firstLine="480" w:firstLineChars="200"/>
              <w:rPr>
                <w:rFonts w:hAnsi="宋体"/>
                <w:sz w:val="24"/>
              </w:rPr>
            </w:pPr>
            <w:r>
              <w:rPr>
                <w:rFonts w:hint="eastAsia" w:hAnsi="宋体"/>
                <w:sz w:val="24"/>
              </w:rPr>
              <w:t>由表</w:t>
            </w:r>
            <w:r>
              <w:rPr>
                <w:rFonts w:hint="eastAsia"/>
                <w:sz w:val="24"/>
                <w:lang w:val="en-US" w:eastAsia="zh-CN"/>
              </w:rPr>
              <w:t>6</w:t>
            </w:r>
            <w:r>
              <w:rPr>
                <w:rFonts w:hint="eastAsia" w:hAnsi="宋体"/>
                <w:sz w:val="24"/>
              </w:rPr>
              <w:t>地表水监测统计可知，</w:t>
            </w:r>
            <w:r>
              <w:rPr>
                <w:rFonts w:hint="eastAsia"/>
                <w:sz w:val="24"/>
              </w:rPr>
              <w:t>淮河淮滨水文站</w:t>
            </w:r>
            <w:r>
              <w:rPr>
                <w:rFonts w:hint="eastAsia" w:hAnsi="宋体"/>
                <w:sz w:val="24"/>
              </w:rPr>
              <w:t>断面</w:t>
            </w:r>
            <w:r>
              <w:rPr>
                <w:rFonts w:hAnsi="宋体"/>
                <w:sz w:val="24"/>
              </w:rPr>
              <w:t>COD</w:t>
            </w:r>
            <w:r>
              <w:rPr>
                <w:rFonts w:hint="eastAsia" w:hAnsi="宋体"/>
                <w:sz w:val="24"/>
              </w:rPr>
              <w:t>、氨氮均能满足《地表水环境质量标准》（</w:t>
            </w:r>
            <w:r>
              <w:rPr>
                <w:rFonts w:hAnsi="宋体"/>
                <w:sz w:val="24"/>
              </w:rPr>
              <w:t>GB3838-2002</w:t>
            </w:r>
            <w:r>
              <w:rPr>
                <w:rFonts w:hint="eastAsia" w:hAnsi="宋体"/>
                <w:sz w:val="24"/>
              </w:rPr>
              <w:t>）Ⅲ类标准要求，</w:t>
            </w:r>
            <w:r>
              <w:rPr>
                <w:rFonts w:hint="eastAsia"/>
                <w:sz w:val="24"/>
              </w:rPr>
              <w:t>区域地表水环境质量状况良好。</w:t>
            </w:r>
          </w:p>
          <w:p>
            <w:pPr>
              <w:pStyle w:val="3"/>
              <w:pageBreakBefore w:val="0"/>
              <w:widowControl w:val="0"/>
              <w:kinsoku/>
              <w:wordWrap/>
              <w:overflowPunct/>
              <w:topLinePunct w:val="0"/>
              <w:autoSpaceDE/>
              <w:autoSpaceDN/>
              <w:bidi w:val="0"/>
              <w:snapToGrid w:val="0"/>
              <w:spacing w:before="0" w:beforeLines="0" w:after="0" w:afterLines="0" w:line="360" w:lineRule="auto"/>
              <w:outlineLvl w:val="2"/>
              <w:rPr>
                <w:color w:val="000000"/>
              </w:rPr>
            </w:pPr>
            <w:r>
              <w:rPr>
                <w:rFonts w:hint="eastAsia"/>
                <w:color w:val="000000"/>
              </w:rPr>
              <w:t xml:space="preserve">   </w:t>
            </w:r>
            <w:r>
              <w:rPr>
                <w:color w:val="000000"/>
              </w:rPr>
              <w:t xml:space="preserve"> </w:t>
            </w:r>
            <w:r>
              <w:rPr>
                <w:color w:val="000000"/>
                <w:sz w:val="24"/>
              </w:rPr>
              <w:t xml:space="preserve">3 </w:t>
            </w:r>
            <w:r>
              <w:rPr>
                <w:rFonts w:hint="eastAsia"/>
                <w:color w:val="000000"/>
                <w:sz w:val="24"/>
              </w:rPr>
              <w:t>声环境质量现状</w:t>
            </w:r>
          </w:p>
          <w:p>
            <w:pPr>
              <w:pageBreakBefore w:val="0"/>
              <w:widowControl w:val="0"/>
              <w:kinsoku/>
              <w:wordWrap/>
              <w:overflowPunct/>
              <w:topLinePunct w:val="0"/>
              <w:autoSpaceDE/>
              <w:autoSpaceDN/>
              <w:bidi w:val="0"/>
              <w:adjustRightInd w:val="0"/>
              <w:spacing w:line="360" w:lineRule="auto"/>
              <w:ind w:firstLine="482"/>
              <w:textAlignment w:val="baseline"/>
              <w:rPr>
                <w:rFonts w:hint="eastAsia"/>
                <w:sz w:val="24"/>
              </w:rPr>
            </w:pPr>
            <w:r>
              <w:rPr>
                <w:color w:val="000000"/>
                <w:spacing w:val="6"/>
                <w:sz w:val="24"/>
              </w:rPr>
              <w:t>为了解项目所在地的声环境质量现状，</w:t>
            </w:r>
            <w:r>
              <w:rPr>
                <w:rFonts w:hint="eastAsia"/>
                <w:kern w:val="0"/>
                <w:sz w:val="24"/>
                <w:highlight w:val="none"/>
                <w:lang w:val="en-US" w:eastAsia="zh-CN"/>
              </w:rPr>
              <w:t>建设单位委托检测单位</w:t>
            </w:r>
            <w:r>
              <w:rPr>
                <w:color w:val="000000"/>
                <w:spacing w:val="6"/>
                <w:sz w:val="24"/>
                <w:highlight w:val="none"/>
              </w:rPr>
              <w:t>于</w:t>
            </w:r>
            <w:r>
              <w:rPr>
                <w:sz w:val="24"/>
                <w:highlight w:val="none"/>
              </w:rPr>
              <w:t>20</w:t>
            </w:r>
            <w:r>
              <w:rPr>
                <w:rFonts w:hint="eastAsia" w:ascii="Times New Roman" w:hAnsi="Times New Roman" w:eastAsia="宋体" w:cs="Times New Roman"/>
                <w:sz w:val="24"/>
                <w:highlight w:val="none"/>
                <w:lang w:val="en-US" w:eastAsia="zh-CN"/>
              </w:rPr>
              <w:t>20</w:t>
            </w:r>
            <w:r>
              <w:rPr>
                <w:rFonts w:hint="default" w:ascii="Times New Roman" w:hAnsi="Times New Roman" w:cs="Times New Roman"/>
                <w:sz w:val="24"/>
                <w:highlight w:val="none"/>
              </w:rPr>
              <w:t>年</w:t>
            </w:r>
            <w:r>
              <w:rPr>
                <w:rFonts w:hint="eastAsia" w:ascii="Times New Roman" w:hAnsi="Times New Roman" w:cs="Times New Roman"/>
                <w:sz w:val="24"/>
                <w:highlight w:val="none"/>
                <w:lang w:val="en-US" w:eastAsia="zh-CN"/>
              </w:rPr>
              <w:t>7</w:t>
            </w:r>
            <w:r>
              <w:rPr>
                <w:rFonts w:hint="default" w:ascii="Times New Roman" w:hAnsi="Times New Roman" w:cs="Times New Roman"/>
                <w:sz w:val="24"/>
                <w:highlight w:val="none"/>
              </w:rPr>
              <w:t>月</w:t>
            </w:r>
            <w:r>
              <w:rPr>
                <w:rFonts w:hint="eastAsia" w:ascii="Times New Roman" w:hAnsi="Times New Roman" w:cs="Times New Roman"/>
                <w:sz w:val="24"/>
                <w:highlight w:val="none"/>
                <w:lang w:val="en-US" w:eastAsia="zh-CN"/>
              </w:rPr>
              <w:t>26</w:t>
            </w:r>
            <w:r>
              <w:rPr>
                <w:rFonts w:hint="default" w:ascii="Times New Roman" w:hAnsi="Times New Roman" w:cs="Times New Roman"/>
                <w:sz w:val="24"/>
                <w:highlight w:val="none"/>
              </w:rPr>
              <w:t>日</w:t>
            </w:r>
            <w:r>
              <w:rPr>
                <w:sz w:val="24"/>
              </w:rPr>
              <w:t>对</w:t>
            </w:r>
            <w:r>
              <w:rPr>
                <w:rFonts w:hint="eastAsia"/>
                <w:sz w:val="24"/>
              </w:rPr>
              <w:t>项目所在地声环境质量</w:t>
            </w:r>
            <w:r>
              <w:rPr>
                <w:sz w:val="24"/>
              </w:rPr>
              <w:t>进行了现状监测，监测结果见表</w:t>
            </w:r>
            <w:r>
              <w:rPr>
                <w:rFonts w:hint="eastAsia"/>
                <w:sz w:val="24"/>
                <w:lang w:val="en-US" w:eastAsia="zh-CN"/>
              </w:rPr>
              <w:t>5</w:t>
            </w:r>
            <w:r>
              <w:rPr>
                <w:sz w:val="24"/>
              </w:rPr>
              <w:t>。</w:t>
            </w:r>
          </w:p>
          <w:p>
            <w:pPr>
              <w:adjustRightInd w:val="0"/>
              <w:spacing w:line="520" w:lineRule="exact"/>
              <w:jc w:val="center"/>
              <w:textAlignment w:val="baseline"/>
              <w:rPr>
                <w:bCs/>
                <w:sz w:val="24"/>
              </w:rPr>
            </w:pPr>
            <w:r>
              <w:rPr>
                <w:b/>
                <w:sz w:val="24"/>
              </w:rPr>
              <w:t>表</w:t>
            </w:r>
            <w:r>
              <w:rPr>
                <w:rFonts w:hint="eastAsia"/>
                <w:b/>
                <w:sz w:val="24"/>
                <w:lang w:val="en-US" w:eastAsia="zh-CN"/>
              </w:rPr>
              <w:t>5</w:t>
            </w:r>
            <w:r>
              <w:rPr>
                <w:rFonts w:hint="eastAsia"/>
                <w:b/>
                <w:sz w:val="24"/>
              </w:rPr>
              <w:t xml:space="preserve">    </w:t>
            </w:r>
            <w:r>
              <w:rPr>
                <w:b/>
                <w:sz w:val="24"/>
              </w:rPr>
              <w:t xml:space="preserve">声环境现状监测  </w:t>
            </w:r>
            <w:r>
              <w:rPr>
                <w:bCs/>
                <w:sz w:val="24"/>
              </w:rPr>
              <w:t xml:space="preserve">          单位：dB(A)</w:t>
            </w:r>
          </w:p>
          <w:tbl>
            <w:tblPr>
              <w:tblStyle w:val="15"/>
              <w:tblW w:w="9016" w:type="dxa"/>
              <w:jc w:val="center"/>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791"/>
              <w:gridCol w:w="1815"/>
              <w:gridCol w:w="965"/>
              <w:gridCol w:w="965"/>
              <w:gridCol w:w="1689"/>
            </w:tblGrid>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1" w:type="dxa"/>
                  <w:vMerge w:val="restart"/>
                  <w:noWrap w:val="0"/>
                  <w:vAlign w:val="center"/>
                </w:tcPr>
                <w:p>
                  <w:pPr>
                    <w:adjustRightInd w:val="0"/>
                    <w:spacing w:line="360" w:lineRule="exact"/>
                    <w:jc w:val="center"/>
                    <w:textAlignment w:val="baseline"/>
                    <w:rPr>
                      <w:rFonts w:hint="eastAsia"/>
                      <w:szCs w:val="21"/>
                    </w:rPr>
                  </w:pPr>
                  <w:r>
                    <w:rPr>
                      <w:rFonts w:hint="eastAsia"/>
                      <w:szCs w:val="21"/>
                    </w:rPr>
                    <w:t>日期</w:t>
                  </w:r>
                </w:p>
              </w:tc>
              <w:tc>
                <w:tcPr>
                  <w:tcW w:w="1791" w:type="dxa"/>
                  <w:vMerge w:val="restart"/>
                  <w:noWrap w:val="0"/>
                  <w:vAlign w:val="center"/>
                </w:tcPr>
                <w:p>
                  <w:pPr>
                    <w:adjustRightInd w:val="0"/>
                    <w:spacing w:line="360" w:lineRule="exact"/>
                    <w:jc w:val="center"/>
                    <w:textAlignment w:val="baseline"/>
                    <w:rPr>
                      <w:szCs w:val="21"/>
                    </w:rPr>
                  </w:pPr>
                  <w:r>
                    <w:rPr>
                      <w:szCs w:val="21"/>
                    </w:rPr>
                    <w:t>点位</w:t>
                  </w:r>
                </w:p>
              </w:tc>
              <w:tc>
                <w:tcPr>
                  <w:tcW w:w="1815" w:type="dxa"/>
                  <w:vMerge w:val="restart"/>
                  <w:noWrap w:val="0"/>
                  <w:vAlign w:val="center"/>
                </w:tcPr>
                <w:p>
                  <w:pPr>
                    <w:adjustRightInd w:val="0"/>
                    <w:spacing w:line="360" w:lineRule="exact"/>
                    <w:jc w:val="center"/>
                    <w:textAlignment w:val="baseline"/>
                    <w:rPr>
                      <w:szCs w:val="21"/>
                    </w:rPr>
                  </w:pPr>
                  <w:r>
                    <w:rPr>
                      <w:szCs w:val="21"/>
                    </w:rPr>
                    <w:t>昼间</w:t>
                  </w:r>
                  <w:r>
                    <w:rPr>
                      <w:rFonts w:hint="eastAsia"/>
                      <w:szCs w:val="21"/>
                    </w:rPr>
                    <w:t>/夜间</w:t>
                  </w:r>
                </w:p>
              </w:tc>
              <w:tc>
                <w:tcPr>
                  <w:tcW w:w="1930" w:type="dxa"/>
                  <w:gridSpan w:val="2"/>
                  <w:noWrap w:val="0"/>
                  <w:vAlign w:val="center"/>
                </w:tcPr>
                <w:p>
                  <w:pPr>
                    <w:adjustRightInd w:val="0"/>
                    <w:spacing w:line="360" w:lineRule="exact"/>
                    <w:jc w:val="center"/>
                    <w:textAlignment w:val="baseline"/>
                    <w:rPr>
                      <w:szCs w:val="21"/>
                    </w:rPr>
                  </w:pPr>
                  <w:r>
                    <w:rPr>
                      <w:szCs w:val="21"/>
                    </w:rPr>
                    <w:t>噪声标准</w:t>
                  </w:r>
                </w:p>
              </w:tc>
              <w:tc>
                <w:tcPr>
                  <w:tcW w:w="1689" w:type="dxa"/>
                  <w:vMerge w:val="restart"/>
                  <w:noWrap w:val="0"/>
                  <w:vAlign w:val="center"/>
                </w:tcPr>
                <w:p>
                  <w:pPr>
                    <w:adjustRightInd w:val="0"/>
                    <w:spacing w:line="360" w:lineRule="exact"/>
                    <w:jc w:val="center"/>
                    <w:textAlignment w:val="baseline"/>
                    <w:rPr>
                      <w:szCs w:val="21"/>
                    </w:rPr>
                  </w:pPr>
                  <w:r>
                    <w:rPr>
                      <w:szCs w:val="21"/>
                    </w:rPr>
                    <w:t>达标情况</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1" w:type="dxa"/>
                  <w:vMerge w:val="continue"/>
                  <w:noWrap w:val="0"/>
                  <w:vAlign w:val="center"/>
                </w:tcPr>
                <w:p>
                  <w:pPr>
                    <w:adjustRightInd w:val="0"/>
                    <w:spacing w:line="360" w:lineRule="exact"/>
                    <w:jc w:val="center"/>
                    <w:textAlignment w:val="baseline"/>
                    <w:rPr>
                      <w:rFonts w:hint="eastAsia"/>
                      <w:szCs w:val="21"/>
                    </w:rPr>
                  </w:pPr>
                </w:p>
              </w:tc>
              <w:tc>
                <w:tcPr>
                  <w:tcW w:w="1791" w:type="dxa"/>
                  <w:vMerge w:val="continue"/>
                  <w:noWrap w:val="0"/>
                  <w:vAlign w:val="center"/>
                </w:tcPr>
                <w:p>
                  <w:pPr>
                    <w:adjustRightInd w:val="0"/>
                    <w:spacing w:line="360" w:lineRule="exact"/>
                    <w:jc w:val="center"/>
                    <w:textAlignment w:val="baseline"/>
                    <w:rPr>
                      <w:szCs w:val="21"/>
                    </w:rPr>
                  </w:pPr>
                </w:p>
              </w:tc>
              <w:tc>
                <w:tcPr>
                  <w:tcW w:w="1815" w:type="dxa"/>
                  <w:vMerge w:val="continue"/>
                  <w:noWrap w:val="0"/>
                  <w:vAlign w:val="center"/>
                </w:tcPr>
                <w:p>
                  <w:pPr>
                    <w:adjustRightInd w:val="0"/>
                    <w:spacing w:line="360" w:lineRule="exact"/>
                    <w:jc w:val="center"/>
                    <w:textAlignment w:val="baseline"/>
                    <w:rPr>
                      <w:szCs w:val="21"/>
                    </w:rPr>
                  </w:pP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昼间</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夜间</w:t>
                  </w:r>
                </w:p>
              </w:tc>
              <w:tc>
                <w:tcPr>
                  <w:tcW w:w="1689" w:type="dxa"/>
                  <w:vMerge w:val="continue"/>
                  <w:noWrap w:val="0"/>
                  <w:vAlign w:val="center"/>
                </w:tcPr>
                <w:p>
                  <w:pPr>
                    <w:adjustRightInd w:val="0"/>
                    <w:spacing w:line="360" w:lineRule="exact"/>
                    <w:jc w:val="center"/>
                    <w:textAlignment w:val="baseline"/>
                    <w:rPr>
                      <w:szCs w:val="21"/>
                    </w:rPr>
                  </w:pP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91" w:type="dxa"/>
                  <w:vMerge w:val="restart"/>
                  <w:noWrap w:val="0"/>
                  <w:vAlign w:val="center"/>
                </w:tcPr>
                <w:p>
                  <w:pPr>
                    <w:widowControl/>
                    <w:jc w:val="center"/>
                    <w:rPr>
                      <w:rFonts w:hint="default" w:eastAsia="宋体"/>
                      <w:szCs w:val="21"/>
                      <w:lang w:val="en-US" w:eastAsia="zh-CN"/>
                    </w:rPr>
                  </w:pPr>
                  <w:r>
                    <w:rPr>
                      <w:rFonts w:hint="eastAsia"/>
                      <w:szCs w:val="21"/>
                    </w:rPr>
                    <w:t>20</w:t>
                  </w:r>
                  <w:r>
                    <w:rPr>
                      <w:rFonts w:hint="eastAsia" w:eastAsia="宋体"/>
                      <w:szCs w:val="21"/>
                      <w:lang w:val="en-US" w:eastAsia="zh-CN"/>
                    </w:rPr>
                    <w:t>20</w:t>
                  </w:r>
                  <w:r>
                    <w:rPr>
                      <w:rFonts w:hint="eastAsia"/>
                      <w:szCs w:val="21"/>
                    </w:rPr>
                    <w:t>.</w:t>
                  </w:r>
                  <w:r>
                    <w:rPr>
                      <w:rFonts w:hint="eastAsia"/>
                      <w:szCs w:val="21"/>
                      <w:lang w:val="en-US" w:eastAsia="zh-CN"/>
                    </w:rPr>
                    <w:t>7</w:t>
                  </w:r>
                  <w:r>
                    <w:rPr>
                      <w:rFonts w:hint="eastAsia"/>
                      <w:szCs w:val="21"/>
                    </w:rPr>
                    <w:t>.</w:t>
                  </w:r>
                  <w:r>
                    <w:rPr>
                      <w:rFonts w:hint="eastAsia"/>
                      <w:szCs w:val="21"/>
                      <w:lang w:val="en-US" w:eastAsia="zh-CN"/>
                    </w:rPr>
                    <w:t>26</w:t>
                  </w:r>
                </w:p>
              </w:tc>
              <w:tc>
                <w:tcPr>
                  <w:tcW w:w="1791" w:type="dxa"/>
                  <w:noWrap w:val="0"/>
                  <w:vAlign w:val="center"/>
                </w:tcPr>
                <w:p>
                  <w:pPr>
                    <w:spacing w:line="320" w:lineRule="exact"/>
                    <w:ind w:right="122"/>
                    <w:jc w:val="center"/>
                    <w:rPr>
                      <w:szCs w:val="21"/>
                    </w:rPr>
                  </w:pPr>
                  <w:r>
                    <w:rPr>
                      <w:rFonts w:hint="eastAsia" w:hAnsi="宋体"/>
                    </w:rPr>
                    <w:t>东</w:t>
                  </w:r>
                </w:p>
              </w:tc>
              <w:tc>
                <w:tcPr>
                  <w:tcW w:w="1815" w:type="dxa"/>
                  <w:noWrap w:val="0"/>
                  <w:vAlign w:val="center"/>
                </w:tcPr>
                <w:p>
                  <w:pPr>
                    <w:widowControl/>
                    <w:jc w:val="center"/>
                    <w:textAlignment w:val="center"/>
                    <w:rPr>
                      <w:rFonts w:hint="eastAsia" w:eastAsia="宋体"/>
                      <w:szCs w:val="21"/>
                      <w:highlight w:val="yellow"/>
                      <w:lang w:eastAsia="zh-CN"/>
                    </w:rPr>
                  </w:pPr>
                  <w:r>
                    <w:rPr>
                      <w:rFonts w:hint="eastAsia"/>
                      <w:color w:val="000000"/>
                      <w:kern w:val="0"/>
                      <w:szCs w:val="21"/>
                      <w:lang w:bidi="ar"/>
                    </w:rPr>
                    <w:t>5</w:t>
                  </w:r>
                  <w:r>
                    <w:rPr>
                      <w:rFonts w:hint="eastAsia"/>
                      <w:color w:val="000000"/>
                      <w:kern w:val="0"/>
                      <w:szCs w:val="21"/>
                      <w:lang w:val="en-US" w:eastAsia="zh-CN" w:bidi="ar"/>
                    </w:rPr>
                    <w:t>4</w:t>
                  </w:r>
                  <w:r>
                    <w:rPr>
                      <w:rFonts w:hint="eastAsia"/>
                      <w:color w:val="000000"/>
                      <w:kern w:val="0"/>
                      <w:szCs w:val="21"/>
                      <w:lang w:bidi="ar"/>
                    </w:rPr>
                    <w:t>/4</w:t>
                  </w:r>
                  <w:r>
                    <w:rPr>
                      <w:rFonts w:hint="eastAsia"/>
                      <w:color w:val="000000"/>
                      <w:kern w:val="0"/>
                      <w:szCs w:val="21"/>
                      <w:lang w:val="en-US" w:eastAsia="zh-CN" w:bidi="ar"/>
                    </w:rPr>
                    <w:t>2</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60</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791" w:type="dxa"/>
                  <w:vMerge w:val="continue"/>
                  <w:noWrap w:val="0"/>
                  <w:vAlign w:val="center"/>
                </w:tcPr>
                <w:p>
                  <w:pPr>
                    <w:widowControl/>
                    <w:jc w:val="center"/>
                    <w:rPr>
                      <w:szCs w:val="21"/>
                    </w:rPr>
                  </w:pPr>
                </w:p>
              </w:tc>
              <w:tc>
                <w:tcPr>
                  <w:tcW w:w="1791" w:type="dxa"/>
                  <w:noWrap w:val="0"/>
                  <w:vAlign w:val="center"/>
                </w:tcPr>
                <w:p>
                  <w:pPr>
                    <w:spacing w:line="320" w:lineRule="exact"/>
                    <w:ind w:right="122"/>
                    <w:jc w:val="center"/>
                    <w:rPr>
                      <w:szCs w:val="21"/>
                    </w:rPr>
                  </w:pPr>
                  <w:r>
                    <w:rPr>
                      <w:rFonts w:hint="eastAsia" w:hAnsi="宋体"/>
                    </w:rPr>
                    <w:t>南</w:t>
                  </w:r>
                </w:p>
              </w:tc>
              <w:tc>
                <w:tcPr>
                  <w:tcW w:w="1815" w:type="dxa"/>
                  <w:noWrap w:val="0"/>
                  <w:vAlign w:val="center"/>
                </w:tcPr>
                <w:p>
                  <w:pPr>
                    <w:widowControl/>
                    <w:jc w:val="center"/>
                    <w:textAlignment w:val="center"/>
                    <w:rPr>
                      <w:szCs w:val="21"/>
                      <w:highlight w:val="yellow"/>
                    </w:rPr>
                  </w:pPr>
                  <w:r>
                    <w:rPr>
                      <w:rFonts w:hint="eastAsia"/>
                      <w:color w:val="000000"/>
                      <w:kern w:val="0"/>
                      <w:szCs w:val="21"/>
                      <w:lang w:bidi="ar"/>
                    </w:rPr>
                    <w:t>5</w:t>
                  </w:r>
                  <w:r>
                    <w:rPr>
                      <w:rFonts w:hint="eastAsia"/>
                      <w:color w:val="000000"/>
                      <w:kern w:val="0"/>
                      <w:szCs w:val="21"/>
                      <w:lang w:val="en-US" w:eastAsia="zh-CN" w:bidi="ar"/>
                    </w:rPr>
                    <w:t>4</w:t>
                  </w:r>
                  <w:r>
                    <w:rPr>
                      <w:rFonts w:hint="eastAsia"/>
                      <w:color w:val="000000"/>
                      <w:kern w:val="0"/>
                      <w:szCs w:val="21"/>
                      <w:lang w:bidi="ar"/>
                    </w:rPr>
                    <w:t>/4</w:t>
                  </w:r>
                  <w:r>
                    <w:rPr>
                      <w:rFonts w:hint="eastAsia"/>
                      <w:color w:val="000000"/>
                      <w:kern w:val="0"/>
                      <w:szCs w:val="21"/>
                      <w:lang w:val="en-US" w:eastAsia="zh-CN" w:bidi="ar"/>
                    </w:rPr>
                    <w:t>3</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60</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791" w:type="dxa"/>
                  <w:vMerge w:val="continue"/>
                  <w:noWrap w:val="0"/>
                  <w:vAlign w:val="center"/>
                </w:tcPr>
                <w:p>
                  <w:pPr>
                    <w:widowControl/>
                    <w:jc w:val="center"/>
                    <w:rPr>
                      <w:szCs w:val="21"/>
                    </w:rPr>
                  </w:pPr>
                </w:p>
              </w:tc>
              <w:tc>
                <w:tcPr>
                  <w:tcW w:w="1791" w:type="dxa"/>
                  <w:noWrap w:val="0"/>
                  <w:vAlign w:val="center"/>
                </w:tcPr>
                <w:p>
                  <w:pPr>
                    <w:spacing w:line="320" w:lineRule="exact"/>
                    <w:ind w:right="122"/>
                    <w:jc w:val="center"/>
                    <w:rPr>
                      <w:szCs w:val="21"/>
                    </w:rPr>
                  </w:pPr>
                  <w:r>
                    <w:rPr>
                      <w:rFonts w:hint="eastAsia" w:hAnsi="宋体"/>
                    </w:rPr>
                    <w:t>西</w:t>
                  </w:r>
                </w:p>
              </w:tc>
              <w:tc>
                <w:tcPr>
                  <w:tcW w:w="1815" w:type="dxa"/>
                  <w:noWrap w:val="0"/>
                  <w:vAlign w:val="center"/>
                </w:tcPr>
                <w:p>
                  <w:pPr>
                    <w:widowControl/>
                    <w:jc w:val="center"/>
                    <w:textAlignment w:val="center"/>
                    <w:rPr>
                      <w:rFonts w:hint="eastAsia"/>
                      <w:szCs w:val="21"/>
                      <w:highlight w:val="yellow"/>
                    </w:rPr>
                  </w:pPr>
                  <w:r>
                    <w:rPr>
                      <w:rFonts w:hint="eastAsia"/>
                      <w:color w:val="000000"/>
                      <w:kern w:val="0"/>
                      <w:szCs w:val="21"/>
                      <w:lang w:bidi="ar"/>
                    </w:rPr>
                    <w:t>5</w:t>
                  </w:r>
                  <w:r>
                    <w:rPr>
                      <w:rFonts w:hint="eastAsia"/>
                      <w:color w:val="000000"/>
                      <w:kern w:val="0"/>
                      <w:szCs w:val="21"/>
                      <w:lang w:val="en-US" w:eastAsia="zh-CN" w:bidi="ar"/>
                    </w:rPr>
                    <w:t>4</w:t>
                  </w:r>
                  <w:r>
                    <w:rPr>
                      <w:rFonts w:hint="eastAsia"/>
                      <w:color w:val="000000"/>
                      <w:kern w:val="0"/>
                      <w:szCs w:val="21"/>
                      <w:lang w:bidi="ar"/>
                    </w:rPr>
                    <w:t>/4</w:t>
                  </w:r>
                  <w:r>
                    <w:rPr>
                      <w:rFonts w:hint="eastAsia"/>
                      <w:color w:val="000000"/>
                      <w:kern w:val="0"/>
                      <w:szCs w:val="21"/>
                      <w:lang w:val="en-US" w:eastAsia="zh-CN" w:bidi="ar"/>
                    </w:rPr>
                    <w:t>1</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60</w:t>
                  </w:r>
                </w:p>
              </w:tc>
              <w:tc>
                <w:tcPr>
                  <w:tcW w:w="965" w:type="dxa"/>
                  <w:noWrap w:val="0"/>
                  <w:vAlign w:val="center"/>
                </w:tcPr>
                <w:p>
                  <w:pPr>
                    <w:adjustRightInd w:val="0"/>
                    <w:spacing w:line="360" w:lineRule="exact"/>
                    <w:jc w:val="center"/>
                    <w:textAlignment w:val="baseline"/>
                    <w:rPr>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91" w:type="dxa"/>
                  <w:vMerge w:val="continue"/>
                  <w:noWrap w:val="0"/>
                  <w:vAlign w:val="center"/>
                </w:tcPr>
                <w:p>
                  <w:pPr>
                    <w:widowControl/>
                    <w:jc w:val="center"/>
                    <w:rPr>
                      <w:szCs w:val="21"/>
                    </w:rPr>
                  </w:pPr>
                </w:p>
              </w:tc>
              <w:tc>
                <w:tcPr>
                  <w:tcW w:w="1791" w:type="dxa"/>
                  <w:noWrap w:val="0"/>
                  <w:vAlign w:val="center"/>
                </w:tcPr>
                <w:p>
                  <w:pPr>
                    <w:spacing w:line="320" w:lineRule="exact"/>
                    <w:ind w:right="122"/>
                    <w:jc w:val="center"/>
                    <w:rPr>
                      <w:szCs w:val="21"/>
                    </w:rPr>
                  </w:pPr>
                  <w:r>
                    <w:rPr>
                      <w:rFonts w:hint="eastAsia" w:hAnsi="宋体"/>
                    </w:rPr>
                    <w:t>北</w:t>
                  </w:r>
                </w:p>
              </w:tc>
              <w:tc>
                <w:tcPr>
                  <w:tcW w:w="1815" w:type="dxa"/>
                  <w:noWrap w:val="0"/>
                  <w:vAlign w:val="center"/>
                </w:tcPr>
                <w:p>
                  <w:pPr>
                    <w:widowControl/>
                    <w:jc w:val="center"/>
                    <w:textAlignment w:val="center"/>
                    <w:rPr>
                      <w:rFonts w:hint="eastAsia"/>
                      <w:szCs w:val="21"/>
                      <w:highlight w:val="yellow"/>
                    </w:rPr>
                  </w:pPr>
                  <w:r>
                    <w:rPr>
                      <w:rFonts w:hint="eastAsia"/>
                      <w:color w:val="000000"/>
                      <w:kern w:val="0"/>
                      <w:szCs w:val="21"/>
                      <w:lang w:bidi="ar"/>
                    </w:rPr>
                    <w:t>5</w:t>
                  </w:r>
                  <w:r>
                    <w:rPr>
                      <w:rFonts w:hint="eastAsia"/>
                      <w:color w:val="000000"/>
                      <w:kern w:val="0"/>
                      <w:szCs w:val="21"/>
                      <w:lang w:val="en-US" w:eastAsia="zh-CN" w:bidi="ar"/>
                    </w:rPr>
                    <w:t>3</w:t>
                  </w:r>
                  <w:r>
                    <w:rPr>
                      <w:rFonts w:hint="eastAsia"/>
                      <w:color w:val="000000"/>
                      <w:kern w:val="0"/>
                      <w:szCs w:val="21"/>
                      <w:lang w:bidi="ar"/>
                    </w:rPr>
                    <w:t>/4</w:t>
                  </w:r>
                  <w:r>
                    <w:rPr>
                      <w:rFonts w:hint="eastAsia"/>
                      <w:color w:val="000000"/>
                      <w:kern w:val="0"/>
                      <w:szCs w:val="21"/>
                      <w:lang w:val="en-US" w:eastAsia="zh-CN" w:bidi="ar"/>
                    </w:rPr>
                    <w:t>1</w:t>
                  </w:r>
                </w:p>
              </w:tc>
              <w:tc>
                <w:tcPr>
                  <w:tcW w:w="965" w:type="dxa"/>
                  <w:noWrap w:val="0"/>
                  <w:vAlign w:val="center"/>
                </w:tcPr>
                <w:p>
                  <w:pPr>
                    <w:adjustRightInd w:val="0"/>
                    <w:spacing w:line="360" w:lineRule="exact"/>
                    <w:jc w:val="center"/>
                    <w:textAlignment w:val="baseline"/>
                    <w:rPr>
                      <w:szCs w:val="21"/>
                    </w:rPr>
                  </w:pPr>
                  <w:r>
                    <w:rPr>
                      <w:rFonts w:hint="eastAsia"/>
                      <w:szCs w:val="21"/>
                    </w:rPr>
                    <w:t>60</w:t>
                  </w:r>
                </w:p>
              </w:tc>
              <w:tc>
                <w:tcPr>
                  <w:tcW w:w="965" w:type="dxa"/>
                  <w:noWrap w:val="0"/>
                  <w:vAlign w:val="center"/>
                </w:tcPr>
                <w:p>
                  <w:pPr>
                    <w:adjustRightInd w:val="0"/>
                    <w:spacing w:line="360" w:lineRule="exact"/>
                    <w:jc w:val="center"/>
                    <w:textAlignment w:val="baseline"/>
                    <w:rPr>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bl>
          <w:p>
            <w:pPr>
              <w:adjustRightInd w:val="0"/>
              <w:snapToGrid w:val="0"/>
              <w:spacing w:before="156" w:beforeLines="50" w:line="360" w:lineRule="auto"/>
              <w:ind w:firstLine="480" w:firstLineChars="200"/>
              <w:rPr>
                <w:rFonts w:hint="eastAsia"/>
                <w:sz w:val="24"/>
              </w:rPr>
            </w:pPr>
            <w:r>
              <w:rPr>
                <w:sz w:val="24"/>
              </w:rPr>
              <w:t>由以上监测数据可知，</w:t>
            </w:r>
            <w:r>
              <w:rPr>
                <w:rFonts w:hint="eastAsia"/>
                <w:sz w:val="24"/>
              </w:rPr>
              <w:t>项目各厂界</w:t>
            </w:r>
            <w:r>
              <w:rPr>
                <w:sz w:val="24"/>
              </w:rPr>
              <w:t>噪声均可达到</w:t>
            </w:r>
            <w:r>
              <w:rPr>
                <w:rFonts w:hint="eastAsia"/>
                <w:sz w:val="24"/>
              </w:rPr>
              <w:t>《声环境质量标准》（GB3096-2008）2类</w:t>
            </w:r>
            <w:r>
              <w:rPr>
                <w:sz w:val="24"/>
              </w:rPr>
              <w:t>标准的要求</w:t>
            </w:r>
            <w:r>
              <w:rPr>
                <w:rFonts w:hint="eastAsia"/>
                <w:sz w:val="24"/>
              </w:rPr>
              <w:t>。项目区域声环相关境质量良好。</w:t>
            </w:r>
          </w:p>
          <w:p>
            <w:pPr>
              <w:adjustRightInd w:val="0"/>
              <w:snapToGrid w:val="0"/>
              <w:spacing w:before="156" w:beforeLines="50" w:line="360" w:lineRule="auto"/>
              <w:ind w:firstLine="480" w:firstLineChars="200"/>
              <w:rPr>
                <w:sz w:val="24"/>
              </w:rPr>
            </w:pPr>
            <w:r>
              <w:rPr>
                <w:rFonts w:hint="eastAsia"/>
                <w:sz w:val="24"/>
                <w:lang w:val="en-US" w:eastAsia="zh-CN"/>
              </w:rPr>
              <w:t>5</w:t>
            </w:r>
            <w:r>
              <w:rPr>
                <w:sz w:val="24"/>
              </w:rPr>
              <w:t>、生态环境现状</w:t>
            </w:r>
          </w:p>
          <w:p>
            <w:pPr>
              <w:adjustRightInd w:val="0"/>
              <w:snapToGrid w:val="0"/>
              <w:spacing w:before="156" w:beforeLines="50" w:line="360" w:lineRule="auto"/>
              <w:ind w:firstLine="480" w:firstLineChars="200"/>
              <w:rPr>
                <w:sz w:val="24"/>
              </w:rPr>
            </w:pPr>
            <w:r>
              <w:rPr>
                <w:sz w:val="24"/>
              </w:rPr>
              <w:t>本项目位于</w:t>
            </w:r>
            <w:r>
              <w:rPr>
                <w:rFonts w:hint="eastAsia"/>
                <w:sz w:val="24"/>
              </w:rPr>
              <w:t>信阳市淮滨县</w:t>
            </w:r>
            <w:r>
              <w:rPr>
                <w:sz w:val="24"/>
              </w:rPr>
              <w:t>，区域生态系统现以人工生态系统为主，项目周围主要为</w:t>
            </w:r>
            <w:r>
              <w:rPr>
                <w:rFonts w:hint="eastAsia"/>
                <w:sz w:val="24"/>
              </w:rPr>
              <w:t>道路、农田等</w:t>
            </w:r>
            <w:r>
              <w:rPr>
                <w:sz w:val="24"/>
              </w:rPr>
              <w:t>，生态环境较好，区域内无珍惜动植物存在，无规划的自然生态保护区，无重点保护的野生动植物。</w:t>
            </w:r>
          </w:p>
          <w:p>
            <w:pPr>
              <w:spacing w:before="156" w:beforeLines="50" w:line="440" w:lineRule="exact"/>
              <w:rPr>
                <w:b/>
                <w:bCs/>
                <w:sz w:val="24"/>
              </w:rPr>
            </w:pPr>
            <w:r>
              <w:rPr>
                <w:b/>
                <w:bCs/>
                <w:sz w:val="24"/>
              </w:rPr>
              <w:t>主要环境保护目标（列出名单及保护级别）：</w:t>
            </w:r>
          </w:p>
          <w:p>
            <w:pPr>
              <w:spacing w:before="156" w:beforeLines="50" w:line="440" w:lineRule="exact"/>
              <w:ind w:firstLine="480" w:firstLineChars="200"/>
              <w:jc w:val="both"/>
              <w:rPr>
                <w:rFonts w:hint="eastAsia"/>
                <w:sz w:val="24"/>
              </w:rPr>
            </w:pPr>
            <w:r>
              <w:rPr>
                <w:rFonts w:hint="eastAsia"/>
                <w:sz w:val="24"/>
              </w:rPr>
              <w:t>根据项目周围环境情况，确定本次环评的环境保护目标。具体保护目标分布见下表</w:t>
            </w:r>
            <w:r>
              <w:rPr>
                <w:rFonts w:hint="eastAsia"/>
                <w:sz w:val="24"/>
                <w:lang w:val="en-US" w:eastAsia="zh-CN"/>
              </w:rPr>
              <w:t>6</w:t>
            </w:r>
            <w:r>
              <w:rPr>
                <w:rFonts w:hint="eastAsia"/>
                <w:sz w:val="24"/>
              </w:rPr>
              <w:t>。</w:t>
            </w:r>
          </w:p>
          <w:p>
            <w:pPr>
              <w:spacing w:before="156" w:beforeLines="50" w:line="440" w:lineRule="exact"/>
              <w:ind w:firstLine="482" w:firstLineChars="200"/>
              <w:jc w:val="center"/>
              <w:rPr>
                <w:rFonts w:hint="eastAsia"/>
                <w:b/>
                <w:bCs/>
                <w:sz w:val="24"/>
                <w:highlight w:val="none"/>
              </w:rPr>
            </w:pPr>
            <w:r>
              <w:rPr>
                <w:rFonts w:hint="eastAsia"/>
                <w:b/>
                <w:bCs/>
                <w:sz w:val="24"/>
                <w:highlight w:val="none"/>
              </w:rPr>
              <w:t>表</w:t>
            </w:r>
            <w:r>
              <w:rPr>
                <w:rFonts w:hint="eastAsia"/>
                <w:b/>
                <w:bCs/>
                <w:sz w:val="24"/>
                <w:highlight w:val="none"/>
                <w:lang w:val="en-US" w:eastAsia="zh-CN"/>
              </w:rPr>
              <w:t>6</w:t>
            </w:r>
            <w:r>
              <w:rPr>
                <w:b/>
                <w:bCs/>
                <w:sz w:val="24"/>
                <w:highlight w:val="none"/>
              </w:rPr>
              <w:t xml:space="preserve">   环境保护目标及保护级别一览表</w:t>
            </w:r>
          </w:p>
          <w:tbl>
            <w:tblPr>
              <w:tblStyle w:val="15"/>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909"/>
              <w:gridCol w:w="876"/>
              <w:gridCol w:w="1448"/>
              <w:gridCol w:w="3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noWrap w:val="0"/>
                  <w:vAlign w:val="center"/>
                </w:tcPr>
                <w:p>
                  <w:pPr>
                    <w:jc w:val="center"/>
                    <w:rPr>
                      <w:rFonts w:hint="eastAsia"/>
                      <w:highlight w:val="none"/>
                    </w:rPr>
                  </w:pPr>
                  <w:r>
                    <w:rPr>
                      <w:rFonts w:hint="eastAsia"/>
                      <w:highlight w:val="none"/>
                    </w:rPr>
                    <w:t>环境要素</w:t>
                  </w:r>
                </w:p>
              </w:tc>
              <w:tc>
                <w:tcPr>
                  <w:tcW w:w="1909" w:type="dxa"/>
                  <w:noWrap w:val="0"/>
                  <w:vAlign w:val="center"/>
                </w:tcPr>
                <w:p>
                  <w:pPr>
                    <w:jc w:val="center"/>
                    <w:rPr>
                      <w:highlight w:val="none"/>
                    </w:rPr>
                  </w:pPr>
                  <w:r>
                    <w:rPr>
                      <w:rFonts w:hint="eastAsia"/>
                      <w:highlight w:val="none"/>
                    </w:rPr>
                    <w:t>保护</w:t>
                  </w:r>
                  <w:r>
                    <w:rPr>
                      <w:highlight w:val="none"/>
                    </w:rPr>
                    <w:t>目标</w:t>
                  </w:r>
                </w:p>
              </w:tc>
              <w:tc>
                <w:tcPr>
                  <w:tcW w:w="876" w:type="dxa"/>
                  <w:noWrap w:val="0"/>
                  <w:vAlign w:val="center"/>
                </w:tcPr>
                <w:p>
                  <w:pPr>
                    <w:jc w:val="center"/>
                    <w:rPr>
                      <w:rFonts w:hint="eastAsia"/>
                      <w:highlight w:val="none"/>
                    </w:rPr>
                  </w:pPr>
                  <w:r>
                    <w:rPr>
                      <w:rFonts w:hint="eastAsia"/>
                      <w:highlight w:val="none"/>
                    </w:rPr>
                    <w:t>方位</w:t>
                  </w:r>
                </w:p>
              </w:tc>
              <w:tc>
                <w:tcPr>
                  <w:tcW w:w="1448" w:type="dxa"/>
                  <w:noWrap w:val="0"/>
                  <w:vAlign w:val="center"/>
                </w:tcPr>
                <w:p>
                  <w:pPr>
                    <w:jc w:val="center"/>
                    <w:rPr>
                      <w:rFonts w:hint="eastAsia"/>
                      <w:highlight w:val="none"/>
                    </w:rPr>
                  </w:pPr>
                  <w:r>
                    <w:rPr>
                      <w:rFonts w:hint="eastAsia"/>
                      <w:highlight w:val="none"/>
                    </w:rPr>
                    <w:t>距离（m）</w:t>
                  </w:r>
                </w:p>
              </w:tc>
              <w:tc>
                <w:tcPr>
                  <w:tcW w:w="3446" w:type="dxa"/>
                  <w:noWrap w:val="0"/>
                  <w:vAlign w:val="center"/>
                </w:tcPr>
                <w:p>
                  <w:pPr>
                    <w:jc w:val="center"/>
                    <w:rPr>
                      <w:rFonts w:hint="eastAsia"/>
                      <w:highlight w:val="none"/>
                    </w:rPr>
                  </w:pPr>
                  <w:r>
                    <w:rPr>
                      <w:rFonts w:hint="eastAsia"/>
                      <w:highlight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noWrap w:val="0"/>
                  <w:vAlign w:val="center"/>
                </w:tcPr>
                <w:p>
                  <w:pPr>
                    <w:jc w:val="center"/>
                    <w:rPr>
                      <w:rFonts w:hint="eastAsia"/>
                      <w:highlight w:val="none"/>
                    </w:rPr>
                  </w:pPr>
                  <w:r>
                    <w:rPr>
                      <w:rFonts w:hint="eastAsia"/>
                      <w:highlight w:val="none"/>
                    </w:rPr>
                    <w:t>环境空气</w:t>
                  </w:r>
                </w:p>
              </w:tc>
              <w:tc>
                <w:tcPr>
                  <w:tcW w:w="1909" w:type="dxa"/>
                  <w:noWrap w:val="0"/>
                  <w:vAlign w:val="center"/>
                </w:tcPr>
                <w:p>
                  <w:pPr>
                    <w:jc w:val="center"/>
                    <w:rPr>
                      <w:rFonts w:hint="eastAsia" w:eastAsia="宋体"/>
                      <w:highlight w:val="none"/>
                      <w:lang w:eastAsia="zh-CN"/>
                    </w:rPr>
                  </w:pPr>
                  <w:r>
                    <w:rPr>
                      <w:rFonts w:hint="eastAsia"/>
                      <w:highlight w:val="none"/>
                      <w:lang w:val="en-US" w:eastAsia="zh-CN"/>
                    </w:rPr>
                    <w:t>西部十乡镇沿线居民</w:t>
                  </w:r>
                </w:p>
              </w:tc>
              <w:tc>
                <w:tcPr>
                  <w:tcW w:w="876" w:type="dxa"/>
                  <w:noWrap w:val="0"/>
                  <w:vAlign w:val="center"/>
                </w:tcPr>
                <w:p>
                  <w:pPr>
                    <w:jc w:val="center"/>
                    <w:rPr>
                      <w:rFonts w:hint="eastAsia" w:eastAsia="宋体"/>
                      <w:highlight w:val="none"/>
                      <w:lang w:eastAsia="zh-CN"/>
                    </w:rPr>
                  </w:pPr>
                  <w:r>
                    <w:rPr>
                      <w:rFonts w:hint="eastAsia"/>
                      <w:highlight w:val="none"/>
                      <w:lang w:val="en-US" w:eastAsia="zh-CN"/>
                    </w:rPr>
                    <w:t>/</w:t>
                  </w:r>
                </w:p>
              </w:tc>
              <w:tc>
                <w:tcPr>
                  <w:tcW w:w="1448" w:type="dxa"/>
                  <w:noWrap w:val="0"/>
                  <w:vAlign w:val="center"/>
                </w:tcPr>
                <w:p>
                  <w:pPr>
                    <w:jc w:val="center"/>
                    <w:rPr>
                      <w:highlight w:val="none"/>
                    </w:rPr>
                  </w:pPr>
                  <w:r>
                    <w:rPr>
                      <w:rFonts w:hint="eastAsia"/>
                      <w:highlight w:val="none"/>
                      <w:lang w:val="en-US" w:eastAsia="zh-CN"/>
                    </w:rPr>
                    <w:t>20</w:t>
                  </w:r>
                  <w:r>
                    <w:rPr>
                      <w:rFonts w:hint="eastAsia"/>
                      <w:highlight w:val="none"/>
                    </w:rPr>
                    <w:t>0</w:t>
                  </w:r>
                </w:p>
              </w:tc>
              <w:tc>
                <w:tcPr>
                  <w:tcW w:w="3446" w:type="dxa"/>
                  <w:noWrap w:val="0"/>
                  <w:vAlign w:val="center"/>
                </w:tcPr>
                <w:p>
                  <w:pPr>
                    <w:jc w:val="both"/>
                    <w:rPr>
                      <w:rFonts w:hint="eastAsia"/>
                      <w:highlight w:val="none"/>
                    </w:rPr>
                  </w:pPr>
                  <w:r>
                    <w:rPr>
                      <w:rFonts w:hint="eastAsia"/>
                      <w:highlight w:val="none"/>
                    </w:rPr>
                    <w:t>《环境空气质量标准》(GB3095</w:t>
                  </w:r>
                  <w:r>
                    <w:rPr>
                      <w:rFonts w:hint="eastAsia"/>
                      <w:highlight w:val="none"/>
                    </w:rPr>
                    <w:sym w:font="Symbol" w:char="F02D"/>
                  </w:r>
                  <w:r>
                    <w:rPr>
                      <w:rFonts w:hint="eastAsia"/>
                      <w:highlight w:val="none"/>
                    </w:rPr>
                    <w:t>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noWrap w:val="0"/>
                  <w:vAlign w:val="center"/>
                </w:tcPr>
                <w:p>
                  <w:pPr>
                    <w:jc w:val="center"/>
                    <w:rPr>
                      <w:rFonts w:hint="eastAsia"/>
                      <w:highlight w:val="none"/>
                    </w:rPr>
                  </w:pPr>
                  <w:r>
                    <w:rPr>
                      <w:rFonts w:hint="eastAsia"/>
                      <w:highlight w:val="none"/>
                    </w:rPr>
                    <w:t>地表水</w:t>
                  </w:r>
                </w:p>
              </w:tc>
              <w:tc>
                <w:tcPr>
                  <w:tcW w:w="1909" w:type="dxa"/>
                  <w:noWrap w:val="0"/>
                  <w:vAlign w:val="center"/>
                </w:tcPr>
                <w:p>
                  <w:pPr>
                    <w:jc w:val="center"/>
                    <w:rPr>
                      <w:rFonts w:hint="eastAsia"/>
                      <w:highlight w:val="none"/>
                    </w:rPr>
                  </w:pPr>
                  <w:r>
                    <w:rPr>
                      <w:rFonts w:hint="eastAsia"/>
                      <w:highlight w:val="none"/>
                    </w:rPr>
                    <w:t>淮河</w:t>
                  </w:r>
                </w:p>
              </w:tc>
              <w:tc>
                <w:tcPr>
                  <w:tcW w:w="876" w:type="dxa"/>
                  <w:noWrap w:val="0"/>
                  <w:vAlign w:val="center"/>
                </w:tcPr>
                <w:p>
                  <w:pPr>
                    <w:jc w:val="center"/>
                    <w:rPr>
                      <w:rFonts w:hint="eastAsia" w:eastAsia="宋体"/>
                      <w:highlight w:val="none"/>
                      <w:lang w:eastAsia="zh-CN"/>
                    </w:rPr>
                  </w:pPr>
                  <w:r>
                    <w:rPr>
                      <w:rFonts w:hint="eastAsia"/>
                      <w:highlight w:val="none"/>
                      <w:lang w:val="en-US" w:eastAsia="zh-CN"/>
                    </w:rPr>
                    <w:t>/</w:t>
                  </w:r>
                </w:p>
              </w:tc>
              <w:tc>
                <w:tcPr>
                  <w:tcW w:w="1448" w:type="dxa"/>
                  <w:noWrap w:val="0"/>
                  <w:vAlign w:val="center"/>
                </w:tcPr>
                <w:p>
                  <w:pPr>
                    <w:jc w:val="center"/>
                    <w:rPr>
                      <w:rFonts w:hint="default" w:eastAsia="宋体"/>
                      <w:highlight w:val="none"/>
                      <w:lang w:val="en-US" w:eastAsia="zh-CN"/>
                    </w:rPr>
                  </w:pPr>
                  <w:r>
                    <w:rPr>
                      <w:rFonts w:hint="eastAsia"/>
                      <w:highlight w:val="none"/>
                      <w:lang w:val="en-US" w:eastAsia="zh-CN"/>
                    </w:rPr>
                    <w:t>/</w:t>
                  </w:r>
                </w:p>
              </w:tc>
              <w:tc>
                <w:tcPr>
                  <w:tcW w:w="3446" w:type="dxa"/>
                  <w:noWrap w:val="0"/>
                  <w:vAlign w:val="center"/>
                </w:tcPr>
                <w:p>
                  <w:pPr>
                    <w:jc w:val="center"/>
                    <w:rPr>
                      <w:rFonts w:hint="eastAsia"/>
                      <w:highlight w:val="none"/>
                    </w:rPr>
                  </w:pPr>
                  <w:r>
                    <w:rPr>
                      <w:rFonts w:hint="eastAsia"/>
                      <w:highlight w:val="none"/>
                    </w:rPr>
                    <w:t>《地表水环境质量标准》</w:t>
                  </w:r>
                </w:p>
                <w:p>
                  <w:pPr>
                    <w:jc w:val="center"/>
                    <w:rPr>
                      <w:rFonts w:hint="eastAsia"/>
                      <w:highlight w:val="none"/>
                    </w:rPr>
                  </w:pPr>
                  <w:r>
                    <w:rPr>
                      <w:rFonts w:hint="eastAsia"/>
                      <w:highlight w:val="none"/>
                    </w:rPr>
                    <w:t>（GB3838</w:t>
                  </w:r>
                  <w:r>
                    <w:rPr>
                      <w:rFonts w:hint="eastAsia"/>
                      <w:highlight w:val="none"/>
                    </w:rPr>
                    <w:sym w:font="Symbol" w:char="F02D"/>
                  </w:r>
                  <w:r>
                    <w:rPr>
                      <w:rFonts w:hint="eastAsia"/>
                      <w:highlight w:val="none"/>
                    </w:rPr>
                    <w:t>2002）Ⅲ类</w:t>
                  </w:r>
                </w:p>
              </w:tc>
            </w:tr>
          </w:tbl>
          <w:p>
            <w:pPr>
              <w:bidi w:val="0"/>
              <w:rPr>
                <w:rFonts w:hint="eastAsia"/>
              </w:rPr>
            </w:pPr>
          </w:p>
        </w:tc>
      </w:tr>
    </w:tbl>
    <w:p>
      <w:pPr>
        <w:spacing w:before="156" w:beforeLines="50" w:line="480" w:lineRule="exact"/>
        <w:rPr>
          <w:rFonts w:eastAsia="黑体"/>
          <w:bCs/>
          <w:sz w:val="32"/>
        </w:rPr>
      </w:pPr>
      <w:r>
        <w:rPr>
          <w:rFonts w:eastAsia="黑体"/>
          <w:bCs/>
          <w:sz w:val="32"/>
        </w:rPr>
        <w:br w:type="page"/>
      </w:r>
      <w:r>
        <w:rPr>
          <w:rFonts w:eastAsia="黑体"/>
          <w:bCs/>
          <w:sz w:val="32"/>
        </w:rPr>
        <w:t>评价适用标准</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457" w:type="dxa"/>
            <w:noWrap w:val="0"/>
            <w:vAlign w:val="center"/>
          </w:tcPr>
          <w:p>
            <w:pPr>
              <w:spacing w:before="156" w:beforeLines="50" w:line="400" w:lineRule="exact"/>
              <w:jc w:val="center"/>
              <w:rPr>
                <w:sz w:val="24"/>
              </w:rPr>
            </w:pPr>
            <w:r>
              <w:rPr>
                <w:sz w:val="24"/>
              </w:rPr>
              <w:t>环</w:t>
            </w:r>
          </w:p>
          <w:p>
            <w:pPr>
              <w:spacing w:before="156" w:beforeLines="50" w:line="400" w:lineRule="exact"/>
              <w:jc w:val="center"/>
              <w:rPr>
                <w:sz w:val="24"/>
              </w:rPr>
            </w:pPr>
            <w:r>
              <w:rPr>
                <w:sz w:val="24"/>
              </w:rPr>
              <w:t>境</w:t>
            </w:r>
          </w:p>
          <w:p>
            <w:pPr>
              <w:spacing w:before="156" w:beforeLines="50" w:line="400" w:lineRule="exact"/>
              <w:jc w:val="center"/>
              <w:rPr>
                <w:sz w:val="24"/>
              </w:rPr>
            </w:pPr>
            <w:r>
              <w:rPr>
                <w:sz w:val="24"/>
              </w:rPr>
              <w:t>质</w:t>
            </w:r>
          </w:p>
          <w:p>
            <w:pPr>
              <w:spacing w:before="156" w:beforeLines="50" w:line="400" w:lineRule="exact"/>
              <w:jc w:val="center"/>
              <w:rPr>
                <w:sz w:val="24"/>
              </w:rPr>
            </w:pPr>
            <w:r>
              <w:rPr>
                <w:sz w:val="24"/>
              </w:rPr>
              <w:t>量</w:t>
            </w:r>
          </w:p>
          <w:p>
            <w:pPr>
              <w:spacing w:before="156" w:beforeLines="50" w:line="400" w:lineRule="exact"/>
              <w:jc w:val="center"/>
              <w:rPr>
                <w:sz w:val="24"/>
              </w:rPr>
            </w:pPr>
            <w:r>
              <w:rPr>
                <w:sz w:val="24"/>
              </w:rPr>
              <w:t>标</w:t>
            </w:r>
          </w:p>
          <w:p>
            <w:pPr>
              <w:spacing w:before="156" w:beforeLines="50" w:line="400" w:lineRule="exact"/>
              <w:jc w:val="center"/>
              <w:rPr>
                <w:sz w:val="24"/>
              </w:rPr>
            </w:pPr>
            <w:r>
              <w:rPr>
                <w:sz w:val="24"/>
              </w:rPr>
              <w:t>准</w:t>
            </w:r>
          </w:p>
        </w:tc>
        <w:tc>
          <w:tcPr>
            <w:tcW w:w="8829" w:type="dxa"/>
            <w:noWrap w:val="0"/>
            <w:vAlign w:val="center"/>
          </w:tcPr>
          <w:p>
            <w:pPr>
              <w:spacing w:before="156" w:beforeLines="50" w:line="440" w:lineRule="exact"/>
              <w:rPr>
                <w:rFonts w:hint="eastAsia"/>
                <w:sz w:val="24"/>
              </w:rPr>
            </w:pPr>
            <w:r>
              <w:rPr>
                <w:rFonts w:hint="eastAsia"/>
                <w:sz w:val="24"/>
              </w:rPr>
              <w:t>1、</w:t>
            </w:r>
            <w:r>
              <w:rPr>
                <w:sz w:val="24"/>
              </w:rPr>
              <w:t>环境空气</w:t>
            </w:r>
          </w:p>
          <w:p>
            <w:pPr>
              <w:spacing w:before="156" w:beforeLines="50" w:line="440" w:lineRule="exact"/>
              <w:ind w:firstLine="480" w:firstLineChars="200"/>
              <w:rPr>
                <w:rFonts w:hint="eastAsia"/>
                <w:sz w:val="24"/>
              </w:rPr>
            </w:pPr>
            <w:r>
              <w:rPr>
                <w:rFonts w:hint="eastAsia"/>
                <w:sz w:val="24"/>
              </w:rPr>
              <w:t>区域</w:t>
            </w:r>
            <w:r>
              <w:rPr>
                <w:sz w:val="24"/>
              </w:rPr>
              <w:t>大气环境执行《环境空气质量标准》（GB3095-</w:t>
            </w:r>
            <w:r>
              <w:rPr>
                <w:rFonts w:hint="eastAsia"/>
                <w:sz w:val="24"/>
              </w:rPr>
              <w:t>2012</w:t>
            </w:r>
            <w:r>
              <w:rPr>
                <w:sz w:val="24"/>
              </w:rPr>
              <w:t>）二级标准</w:t>
            </w:r>
            <w:r>
              <w:rPr>
                <w:rFonts w:hint="eastAsia"/>
                <w:sz w:val="24"/>
              </w:rPr>
              <w:t>、非甲烷总烃参照《大气污染物综合排放标准详解》，具体</w:t>
            </w:r>
            <w:r>
              <w:rPr>
                <w:sz w:val="24"/>
              </w:rPr>
              <w:t>标准值见</w:t>
            </w:r>
            <w:r>
              <w:rPr>
                <w:rFonts w:hint="eastAsia"/>
                <w:sz w:val="24"/>
              </w:rPr>
              <w:t>下</w:t>
            </w:r>
            <w:r>
              <w:rPr>
                <w:sz w:val="24"/>
              </w:rPr>
              <w:t>表</w:t>
            </w:r>
            <w:r>
              <w:rPr>
                <w:rFonts w:hint="eastAsia"/>
                <w:sz w:val="24"/>
                <w:lang w:val="en-US" w:eastAsia="zh-CN"/>
              </w:rPr>
              <w:t>7</w:t>
            </w:r>
            <w:r>
              <w:rPr>
                <w:sz w:val="24"/>
              </w:rPr>
              <w:t>。</w:t>
            </w:r>
          </w:p>
          <w:p>
            <w:pPr>
              <w:spacing w:line="520" w:lineRule="exact"/>
              <w:jc w:val="center"/>
              <w:rPr>
                <w:rFonts w:hint="eastAsia"/>
              </w:rPr>
            </w:pPr>
            <w:r>
              <w:rPr>
                <w:b/>
                <w:bCs/>
                <w:sz w:val="24"/>
              </w:rPr>
              <w:t>表</w:t>
            </w:r>
            <w:r>
              <w:rPr>
                <w:rFonts w:hint="eastAsia"/>
                <w:b/>
                <w:bCs/>
                <w:sz w:val="24"/>
                <w:lang w:val="en-US" w:eastAsia="zh-CN"/>
              </w:rPr>
              <w:t>7</w:t>
            </w:r>
            <w:r>
              <w:rPr>
                <w:b/>
                <w:bCs/>
                <w:sz w:val="24"/>
              </w:rPr>
              <w:t xml:space="preserve">   环境空气质量标准</w:t>
            </w:r>
            <w:r>
              <w:rPr>
                <w:rFonts w:hint="eastAsia"/>
                <w:sz w:val="24"/>
              </w:rPr>
              <w:t xml:space="preserve">   </w:t>
            </w:r>
            <w:r>
              <w:rPr>
                <w:rFonts w:hint="eastAsia"/>
              </w:rPr>
              <w:t xml:space="preserve"> </w:t>
            </w:r>
          </w:p>
          <w:tbl>
            <w:tblPr>
              <w:tblStyle w:val="15"/>
              <w:tblW w:w="87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2463"/>
              <w:gridCol w:w="2130"/>
              <w:gridCol w:w="2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noWrap w:val="0"/>
                  <w:vAlign w:val="top"/>
                </w:tcPr>
                <w:p>
                  <w:pPr>
                    <w:pStyle w:val="19"/>
                    <w:spacing w:before="1" w:line="251" w:lineRule="exact"/>
                    <w:ind w:left="259"/>
                    <w:rPr>
                      <w:sz w:val="21"/>
                    </w:rPr>
                  </w:pPr>
                  <w:r>
                    <w:rPr>
                      <w:sz w:val="21"/>
                    </w:rPr>
                    <w:t>污染物名称</w:t>
                  </w:r>
                </w:p>
              </w:tc>
              <w:tc>
                <w:tcPr>
                  <w:tcW w:w="2463" w:type="dxa"/>
                  <w:noWrap w:val="0"/>
                  <w:vAlign w:val="top"/>
                </w:tcPr>
                <w:p>
                  <w:pPr>
                    <w:pStyle w:val="19"/>
                    <w:spacing w:before="1" w:line="251" w:lineRule="exact"/>
                    <w:ind w:left="254" w:right="251"/>
                    <w:jc w:val="center"/>
                    <w:rPr>
                      <w:sz w:val="21"/>
                    </w:rPr>
                  </w:pPr>
                  <w:r>
                    <w:rPr>
                      <w:sz w:val="21"/>
                    </w:rPr>
                    <w:t>取值时间</w:t>
                  </w:r>
                </w:p>
              </w:tc>
              <w:tc>
                <w:tcPr>
                  <w:tcW w:w="2130" w:type="dxa"/>
                  <w:noWrap w:val="0"/>
                  <w:vAlign w:val="top"/>
                </w:tcPr>
                <w:p>
                  <w:pPr>
                    <w:pStyle w:val="19"/>
                    <w:spacing w:before="1" w:line="251" w:lineRule="exact"/>
                    <w:ind w:left="117" w:right="111"/>
                    <w:jc w:val="center"/>
                    <w:rPr>
                      <w:sz w:val="21"/>
                    </w:rPr>
                  </w:pPr>
                  <w:r>
                    <w:rPr>
                      <w:sz w:val="21"/>
                    </w:rPr>
                    <w:t>浓度限值（</w:t>
                  </w:r>
                  <w:r>
                    <w:rPr>
                      <w:rFonts w:ascii="Times New Roman" w:eastAsia="Times New Roman"/>
                      <w:sz w:val="21"/>
                    </w:rPr>
                    <w:t>ug/m</w:t>
                  </w:r>
                  <w:r>
                    <w:rPr>
                      <w:rFonts w:ascii="Times New Roman" w:eastAsia="Times New Roman"/>
                      <w:position w:val="7"/>
                      <w:sz w:val="13"/>
                    </w:rPr>
                    <w:t>3</w:t>
                  </w:r>
                  <w:r>
                    <w:rPr>
                      <w:sz w:val="21"/>
                    </w:rPr>
                    <w:t>）</w:t>
                  </w:r>
                </w:p>
              </w:tc>
              <w:tc>
                <w:tcPr>
                  <w:tcW w:w="2583" w:type="dxa"/>
                  <w:noWrap w:val="0"/>
                  <w:vAlign w:val="top"/>
                </w:tcPr>
                <w:p>
                  <w:pPr>
                    <w:pStyle w:val="19"/>
                    <w:spacing w:before="1" w:line="251" w:lineRule="exact"/>
                    <w:ind w:left="171" w:right="164"/>
                    <w:jc w:val="center"/>
                    <w:rPr>
                      <w:sz w:val="21"/>
                    </w:rPr>
                  </w:pPr>
                  <w:r>
                    <w:rPr>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restart"/>
                  <w:noWrap w:val="0"/>
                  <w:vAlign w:val="top"/>
                </w:tcPr>
                <w:p>
                  <w:pPr>
                    <w:pStyle w:val="19"/>
                    <w:spacing w:before="11"/>
                    <w:rPr>
                      <w:sz w:val="22"/>
                    </w:rPr>
                  </w:pPr>
                </w:p>
                <w:p>
                  <w:pPr>
                    <w:pStyle w:val="19"/>
                    <w:spacing w:before="1"/>
                    <w:ind w:left="517" w:right="508"/>
                    <w:jc w:val="center"/>
                    <w:rPr>
                      <w:rFonts w:ascii="Times New Roman"/>
                      <w:sz w:val="21"/>
                    </w:rPr>
                  </w:pPr>
                  <w:r>
                    <w:rPr>
                      <w:rFonts w:ascii="Times New Roman"/>
                      <w:position w:val="2"/>
                      <w:sz w:val="21"/>
                    </w:rPr>
                    <w:t>SO</w:t>
                  </w:r>
                  <w:r>
                    <w:rPr>
                      <w:rFonts w:ascii="Times New Roman"/>
                      <w:position w:val="2"/>
                      <w:sz w:val="21"/>
                      <w:vertAlign w:val="subscript"/>
                    </w:rPr>
                    <w:t>2</w:t>
                  </w:r>
                </w:p>
              </w:tc>
              <w:tc>
                <w:tcPr>
                  <w:tcW w:w="2463" w:type="dxa"/>
                  <w:noWrap w:val="0"/>
                  <w:vAlign w:val="top"/>
                </w:tcPr>
                <w:p>
                  <w:pPr>
                    <w:pStyle w:val="19"/>
                    <w:spacing w:line="252" w:lineRule="exact"/>
                    <w:ind w:left="257" w:right="251"/>
                    <w:jc w:val="center"/>
                    <w:rPr>
                      <w:sz w:val="21"/>
                    </w:rPr>
                  </w:pPr>
                  <w:r>
                    <w:rPr>
                      <w:sz w:val="21"/>
                    </w:rPr>
                    <w:t>年平均</w:t>
                  </w:r>
                </w:p>
              </w:tc>
              <w:tc>
                <w:tcPr>
                  <w:tcW w:w="2130" w:type="dxa"/>
                  <w:noWrap w:val="0"/>
                  <w:vAlign w:val="top"/>
                </w:tcPr>
                <w:p>
                  <w:pPr>
                    <w:pStyle w:val="19"/>
                    <w:spacing w:before="13" w:line="238" w:lineRule="exact"/>
                    <w:ind w:left="117" w:right="107"/>
                    <w:jc w:val="center"/>
                    <w:rPr>
                      <w:rFonts w:ascii="Times New Roman"/>
                      <w:sz w:val="21"/>
                    </w:rPr>
                  </w:pPr>
                  <w:r>
                    <w:rPr>
                      <w:rFonts w:ascii="Times New Roman"/>
                      <w:sz w:val="21"/>
                    </w:rPr>
                    <w:t>60</w:t>
                  </w:r>
                </w:p>
              </w:tc>
              <w:tc>
                <w:tcPr>
                  <w:tcW w:w="2583" w:type="dxa"/>
                  <w:vMerge w:val="restart"/>
                  <w:noWrap w:val="0"/>
                  <w:vAlign w:val="top"/>
                </w:tcPr>
                <w:p>
                  <w:pPr>
                    <w:pStyle w:val="19"/>
                    <w:rPr>
                      <w:sz w:val="20"/>
                    </w:rPr>
                  </w:pPr>
                </w:p>
                <w:p>
                  <w:pPr>
                    <w:pStyle w:val="19"/>
                    <w:rPr>
                      <w:sz w:val="20"/>
                    </w:rPr>
                  </w:pPr>
                </w:p>
                <w:p>
                  <w:pPr>
                    <w:pStyle w:val="19"/>
                    <w:rPr>
                      <w:sz w:val="20"/>
                    </w:rPr>
                  </w:pPr>
                </w:p>
                <w:p>
                  <w:pPr>
                    <w:pStyle w:val="19"/>
                    <w:rPr>
                      <w:sz w:val="20"/>
                    </w:rPr>
                  </w:pPr>
                </w:p>
                <w:p>
                  <w:pPr>
                    <w:pStyle w:val="19"/>
                    <w:rPr>
                      <w:sz w:val="20"/>
                    </w:rPr>
                  </w:pPr>
                </w:p>
                <w:p>
                  <w:pPr>
                    <w:pStyle w:val="19"/>
                    <w:rPr>
                      <w:sz w:val="20"/>
                    </w:rPr>
                  </w:pPr>
                </w:p>
                <w:p>
                  <w:pPr>
                    <w:pStyle w:val="19"/>
                    <w:spacing w:before="161"/>
                    <w:ind w:left="169" w:right="164"/>
                    <w:jc w:val="center"/>
                    <w:rPr>
                      <w:sz w:val="21"/>
                    </w:rPr>
                  </w:pPr>
                  <w:r>
                    <w:rPr>
                      <w:sz w:val="21"/>
                    </w:rPr>
                    <w:t>《环境空气质量标准》</w:t>
                  </w:r>
                </w:p>
                <w:p>
                  <w:pPr>
                    <w:pStyle w:val="19"/>
                    <w:spacing w:before="2"/>
                    <w:ind w:left="171" w:right="164"/>
                    <w:jc w:val="center"/>
                    <w:rPr>
                      <w:sz w:val="21"/>
                    </w:rPr>
                  </w:pPr>
                  <w:r>
                    <w:rPr>
                      <w:sz w:val="21"/>
                    </w:rPr>
                    <w:t>（</w:t>
                  </w:r>
                  <w:r>
                    <w:rPr>
                      <w:rFonts w:ascii="Times New Roman" w:eastAsia="Times New Roman"/>
                      <w:sz w:val="21"/>
                    </w:rPr>
                    <w:t>GB3095-2012</w:t>
                  </w:r>
                  <w:r>
                    <w:rPr>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before="1" w:line="252" w:lineRule="exact"/>
                    <w:ind w:left="257" w:right="251"/>
                    <w:jc w:val="center"/>
                    <w:rPr>
                      <w:sz w:val="21"/>
                    </w:rPr>
                  </w:pPr>
                  <w:r>
                    <w:rPr>
                      <w:sz w:val="21"/>
                    </w:rPr>
                    <w:t>日平均</w:t>
                  </w:r>
                </w:p>
              </w:tc>
              <w:tc>
                <w:tcPr>
                  <w:tcW w:w="2130" w:type="dxa"/>
                  <w:noWrap w:val="0"/>
                  <w:vAlign w:val="top"/>
                </w:tcPr>
                <w:p>
                  <w:pPr>
                    <w:pStyle w:val="19"/>
                    <w:spacing w:before="15" w:line="238" w:lineRule="exact"/>
                    <w:ind w:left="117" w:right="107"/>
                    <w:jc w:val="center"/>
                    <w:rPr>
                      <w:rFonts w:ascii="Times New Roman"/>
                      <w:sz w:val="21"/>
                    </w:rPr>
                  </w:pPr>
                  <w:r>
                    <w:rPr>
                      <w:rFonts w:ascii="Times New Roman"/>
                      <w:sz w:val="21"/>
                    </w:rPr>
                    <w:t>150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before="1" w:line="251"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9"/>
                    <w:spacing w:before="15" w:line="237" w:lineRule="exact"/>
                    <w:ind w:left="117" w:right="107"/>
                    <w:jc w:val="center"/>
                    <w:rPr>
                      <w:rFonts w:ascii="Times New Roman"/>
                      <w:sz w:val="21"/>
                    </w:rPr>
                  </w:pPr>
                  <w:r>
                    <w:rPr>
                      <w:rFonts w:ascii="Times New Roman"/>
                      <w:sz w:val="21"/>
                    </w:rPr>
                    <w:t>500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restart"/>
                  <w:noWrap w:val="0"/>
                  <w:vAlign w:val="top"/>
                </w:tcPr>
                <w:p>
                  <w:pPr>
                    <w:pStyle w:val="19"/>
                    <w:spacing w:before="12"/>
                    <w:rPr>
                      <w:sz w:val="22"/>
                    </w:rPr>
                  </w:pPr>
                </w:p>
                <w:p>
                  <w:pPr>
                    <w:pStyle w:val="19"/>
                    <w:ind w:left="517" w:right="508"/>
                    <w:jc w:val="center"/>
                    <w:rPr>
                      <w:rFonts w:ascii="Times New Roman"/>
                      <w:sz w:val="21"/>
                    </w:rPr>
                  </w:pPr>
                  <w:r>
                    <w:rPr>
                      <w:rFonts w:ascii="Times New Roman"/>
                      <w:position w:val="2"/>
                      <w:sz w:val="21"/>
                    </w:rPr>
                    <w:t>NO</w:t>
                  </w:r>
                  <w:r>
                    <w:rPr>
                      <w:rFonts w:ascii="Times New Roman"/>
                      <w:position w:val="2"/>
                      <w:sz w:val="21"/>
                      <w:vertAlign w:val="subscript"/>
                    </w:rPr>
                    <w:t>2</w:t>
                  </w:r>
                </w:p>
              </w:tc>
              <w:tc>
                <w:tcPr>
                  <w:tcW w:w="2463" w:type="dxa"/>
                  <w:noWrap w:val="0"/>
                  <w:vAlign w:val="top"/>
                </w:tcPr>
                <w:p>
                  <w:pPr>
                    <w:pStyle w:val="19"/>
                    <w:spacing w:line="252" w:lineRule="exact"/>
                    <w:ind w:left="257" w:right="251"/>
                    <w:jc w:val="center"/>
                    <w:rPr>
                      <w:sz w:val="21"/>
                    </w:rPr>
                  </w:pPr>
                  <w:r>
                    <w:rPr>
                      <w:sz w:val="21"/>
                    </w:rPr>
                    <w:t>年平均</w:t>
                  </w:r>
                </w:p>
              </w:tc>
              <w:tc>
                <w:tcPr>
                  <w:tcW w:w="2130" w:type="dxa"/>
                  <w:noWrap w:val="0"/>
                  <w:vAlign w:val="top"/>
                </w:tcPr>
                <w:p>
                  <w:pPr>
                    <w:pStyle w:val="19"/>
                    <w:spacing w:before="14" w:line="238" w:lineRule="exact"/>
                    <w:ind w:left="117" w:right="107"/>
                    <w:jc w:val="center"/>
                    <w:rPr>
                      <w:rFonts w:ascii="Times New Roman"/>
                      <w:sz w:val="21"/>
                    </w:rPr>
                  </w:pPr>
                  <w:r>
                    <w:rPr>
                      <w:rFonts w:ascii="Times New Roman"/>
                      <w:sz w:val="21"/>
                    </w:rPr>
                    <w:t>40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before="1" w:line="252" w:lineRule="exact"/>
                    <w:ind w:left="257" w:right="251"/>
                    <w:jc w:val="center"/>
                    <w:rPr>
                      <w:sz w:val="21"/>
                    </w:rPr>
                  </w:pPr>
                  <w:r>
                    <w:rPr>
                      <w:sz w:val="21"/>
                    </w:rPr>
                    <w:t>日平均</w:t>
                  </w:r>
                </w:p>
              </w:tc>
              <w:tc>
                <w:tcPr>
                  <w:tcW w:w="2130" w:type="dxa"/>
                  <w:noWrap w:val="0"/>
                  <w:vAlign w:val="top"/>
                </w:tcPr>
                <w:p>
                  <w:pPr>
                    <w:pStyle w:val="19"/>
                    <w:spacing w:before="15" w:line="238" w:lineRule="exact"/>
                    <w:ind w:left="117" w:right="107"/>
                    <w:jc w:val="center"/>
                    <w:rPr>
                      <w:rFonts w:ascii="Times New Roman"/>
                      <w:sz w:val="21"/>
                    </w:rPr>
                  </w:pPr>
                  <w:r>
                    <w:rPr>
                      <w:rFonts w:ascii="Times New Roman"/>
                      <w:sz w:val="21"/>
                    </w:rPr>
                    <w:t>80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line="252"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9"/>
                    <w:spacing w:before="13" w:line="239" w:lineRule="exact"/>
                    <w:ind w:left="117" w:right="107"/>
                    <w:jc w:val="center"/>
                    <w:rPr>
                      <w:rFonts w:ascii="Times New Roman"/>
                      <w:sz w:val="21"/>
                    </w:rPr>
                  </w:pPr>
                  <w:r>
                    <w:rPr>
                      <w:rFonts w:ascii="Times New Roman"/>
                      <w:sz w:val="21"/>
                    </w:rPr>
                    <w:t>200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68" w:type="dxa"/>
                  <w:vMerge w:val="restart"/>
                  <w:noWrap w:val="0"/>
                  <w:vAlign w:val="top"/>
                </w:tcPr>
                <w:p>
                  <w:pPr>
                    <w:pStyle w:val="19"/>
                    <w:spacing w:before="155"/>
                    <w:ind w:left="513" w:right="508"/>
                    <w:jc w:val="center"/>
                    <w:rPr>
                      <w:rFonts w:ascii="Times New Roman"/>
                      <w:sz w:val="21"/>
                    </w:rPr>
                  </w:pPr>
                  <w:r>
                    <w:rPr>
                      <w:rFonts w:ascii="Times New Roman"/>
                      <w:sz w:val="21"/>
                    </w:rPr>
                    <w:t>CO</w:t>
                  </w:r>
                </w:p>
              </w:tc>
              <w:tc>
                <w:tcPr>
                  <w:tcW w:w="2463" w:type="dxa"/>
                  <w:noWrap w:val="0"/>
                  <w:vAlign w:val="top"/>
                </w:tcPr>
                <w:p>
                  <w:pPr>
                    <w:pStyle w:val="19"/>
                    <w:spacing w:line="252" w:lineRule="exact"/>
                    <w:ind w:left="257" w:right="251"/>
                    <w:jc w:val="center"/>
                    <w:rPr>
                      <w:sz w:val="21"/>
                    </w:rPr>
                  </w:pPr>
                  <w:r>
                    <w:rPr>
                      <w:rFonts w:ascii="Times New Roman" w:eastAsia="Times New Roman"/>
                      <w:sz w:val="21"/>
                    </w:rPr>
                    <w:t xml:space="preserve">24 </w:t>
                  </w:r>
                  <w:r>
                    <w:rPr>
                      <w:sz w:val="21"/>
                    </w:rPr>
                    <w:t>小时平均</w:t>
                  </w:r>
                </w:p>
              </w:tc>
              <w:tc>
                <w:tcPr>
                  <w:tcW w:w="2130" w:type="dxa"/>
                  <w:noWrap w:val="0"/>
                  <w:vAlign w:val="top"/>
                </w:tcPr>
                <w:p>
                  <w:pPr>
                    <w:pStyle w:val="19"/>
                    <w:spacing w:before="14" w:line="238" w:lineRule="exact"/>
                    <w:ind w:left="117" w:right="107"/>
                    <w:jc w:val="center"/>
                    <w:rPr>
                      <w:rFonts w:ascii="Times New Roman"/>
                      <w:sz w:val="21"/>
                    </w:rPr>
                  </w:pPr>
                  <w:r>
                    <w:rPr>
                      <w:rFonts w:ascii="Times New Roman"/>
                      <w:sz w:val="21"/>
                    </w:rPr>
                    <w:t>4000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before="1" w:line="252"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9"/>
                    <w:spacing w:before="15" w:line="238" w:lineRule="exact"/>
                    <w:ind w:left="117" w:right="109"/>
                    <w:jc w:val="center"/>
                    <w:rPr>
                      <w:rFonts w:ascii="Times New Roman"/>
                      <w:sz w:val="21"/>
                    </w:rPr>
                  </w:pPr>
                  <w:r>
                    <w:rPr>
                      <w:rFonts w:ascii="Times New Roman"/>
                      <w:sz w:val="21"/>
                    </w:rPr>
                    <w:t>10000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68" w:type="dxa"/>
                  <w:vMerge w:val="restart"/>
                  <w:noWrap w:val="0"/>
                  <w:vAlign w:val="top"/>
                </w:tcPr>
                <w:p>
                  <w:pPr>
                    <w:pStyle w:val="19"/>
                    <w:spacing w:before="151"/>
                    <w:ind w:left="514" w:right="508"/>
                    <w:jc w:val="center"/>
                    <w:rPr>
                      <w:rFonts w:ascii="Times New Roman"/>
                      <w:sz w:val="21"/>
                    </w:rPr>
                  </w:pPr>
                  <w:r>
                    <w:rPr>
                      <w:rFonts w:ascii="Times New Roman"/>
                      <w:position w:val="2"/>
                      <w:sz w:val="21"/>
                    </w:rPr>
                    <w:t>O</w:t>
                  </w:r>
                  <w:r>
                    <w:rPr>
                      <w:rFonts w:ascii="Times New Roman"/>
                      <w:position w:val="2"/>
                      <w:sz w:val="21"/>
                      <w:vertAlign w:val="subscript"/>
                    </w:rPr>
                    <w:t>3</w:t>
                  </w:r>
                </w:p>
              </w:tc>
              <w:tc>
                <w:tcPr>
                  <w:tcW w:w="2463" w:type="dxa"/>
                  <w:noWrap w:val="0"/>
                  <w:vAlign w:val="top"/>
                </w:tcPr>
                <w:p>
                  <w:pPr>
                    <w:pStyle w:val="19"/>
                    <w:spacing w:line="252" w:lineRule="exact"/>
                    <w:ind w:left="259" w:right="251"/>
                    <w:jc w:val="center"/>
                    <w:rPr>
                      <w:sz w:val="21"/>
                    </w:rPr>
                  </w:pPr>
                  <w:r>
                    <w:rPr>
                      <w:sz w:val="21"/>
                    </w:rPr>
                    <w:t xml:space="preserve">日最大 </w:t>
                  </w:r>
                  <w:r>
                    <w:rPr>
                      <w:rFonts w:ascii="Times New Roman" w:eastAsia="Times New Roman"/>
                      <w:sz w:val="21"/>
                    </w:rPr>
                    <w:t xml:space="preserve">8 </w:t>
                  </w:r>
                  <w:r>
                    <w:rPr>
                      <w:sz w:val="21"/>
                    </w:rPr>
                    <w:t>小时平均</w:t>
                  </w:r>
                </w:p>
              </w:tc>
              <w:tc>
                <w:tcPr>
                  <w:tcW w:w="2130" w:type="dxa"/>
                  <w:noWrap w:val="0"/>
                  <w:vAlign w:val="top"/>
                </w:tcPr>
                <w:p>
                  <w:pPr>
                    <w:pStyle w:val="19"/>
                    <w:spacing w:before="13" w:line="239" w:lineRule="exact"/>
                    <w:ind w:left="117" w:right="107"/>
                    <w:jc w:val="center"/>
                    <w:rPr>
                      <w:rFonts w:ascii="Times New Roman"/>
                      <w:sz w:val="21"/>
                    </w:rPr>
                  </w:pPr>
                  <w:r>
                    <w:rPr>
                      <w:rFonts w:ascii="Times New Roman"/>
                      <w:sz w:val="21"/>
                    </w:rPr>
                    <w:t>160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line="252"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9"/>
                    <w:spacing w:before="14" w:line="238" w:lineRule="exact"/>
                    <w:ind w:left="117" w:right="107"/>
                    <w:jc w:val="center"/>
                    <w:rPr>
                      <w:rFonts w:ascii="Times New Roman"/>
                      <w:sz w:val="21"/>
                    </w:rPr>
                  </w:pPr>
                  <w:r>
                    <w:rPr>
                      <w:rFonts w:ascii="Times New Roman"/>
                      <w:sz w:val="21"/>
                    </w:rPr>
                    <w:t>200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restart"/>
                  <w:noWrap w:val="0"/>
                  <w:vAlign w:val="top"/>
                </w:tcPr>
                <w:p>
                  <w:pPr>
                    <w:pStyle w:val="19"/>
                    <w:spacing w:before="154"/>
                    <w:ind w:left="519" w:right="508"/>
                    <w:jc w:val="center"/>
                    <w:rPr>
                      <w:rFonts w:ascii="Times New Roman"/>
                      <w:sz w:val="21"/>
                    </w:rPr>
                  </w:pPr>
                  <w:r>
                    <w:rPr>
                      <w:rFonts w:ascii="Times New Roman"/>
                      <w:position w:val="2"/>
                      <w:sz w:val="21"/>
                    </w:rPr>
                    <w:t>PM</w:t>
                  </w:r>
                  <w:r>
                    <w:rPr>
                      <w:rFonts w:ascii="Times New Roman"/>
                      <w:position w:val="2"/>
                      <w:sz w:val="21"/>
                      <w:vertAlign w:val="subscript"/>
                    </w:rPr>
                    <w:t>10</w:t>
                  </w:r>
                </w:p>
              </w:tc>
              <w:tc>
                <w:tcPr>
                  <w:tcW w:w="2463" w:type="dxa"/>
                  <w:noWrap w:val="0"/>
                  <w:vAlign w:val="top"/>
                </w:tcPr>
                <w:p>
                  <w:pPr>
                    <w:pStyle w:val="19"/>
                    <w:spacing w:before="1" w:line="251" w:lineRule="exact"/>
                    <w:ind w:left="257" w:right="251"/>
                    <w:jc w:val="center"/>
                    <w:rPr>
                      <w:sz w:val="21"/>
                    </w:rPr>
                  </w:pPr>
                  <w:r>
                    <w:rPr>
                      <w:sz w:val="21"/>
                    </w:rPr>
                    <w:t>年平均</w:t>
                  </w:r>
                </w:p>
              </w:tc>
              <w:tc>
                <w:tcPr>
                  <w:tcW w:w="2130" w:type="dxa"/>
                  <w:noWrap w:val="0"/>
                  <w:vAlign w:val="top"/>
                </w:tcPr>
                <w:p>
                  <w:pPr>
                    <w:pStyle w:val="19"/>
                    <w:spacing w:before="15" w:line="237" w:lineRule="exact"/>
                    <w:ind w:left="117" w:right="107"/>
                    <w:jc w:val="center"/>
                    <w:rPr>
                      <w:rFonts w:ascii="Times New Roman"/>
                      <w:sz w:val="21"/>
                    </w:rPr>
                  </w:pPr>
                  <w:r>
                    <w:rPr>
                      <w:rFonts w:ascii="Times New Roman"/>
                      <w:sz w:val="21"/>
                    </w:rPr>
                    <w:t>70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line="252" w:lineRule="exact"/>
                    <w:ind w:left="257" w:right="251"/>
                    <w:jc w:val="center"/>
                    <w:rPr>
                      <w:sz w:val="21"/>
                    </w:rPr>
                  </w:pPr>
                  <w:r>
                    <w:rPr>
                      <w:sz w:val="21"/>
                    </w:rPr>
                    <w:t>日平均</w:t>
                  </w:r>
                </w:p>
              </w:tc>
              <w:tc>
                <w:tcPr>
                  <w:tcW w:w="2130" w:type="dxa"/>
                  <w:noWrap w:val="0"/>
                  <w:vAlign w:val="top"/>
                </w:tcPr>
                <w:p>
                  <w:pPr>
                    <w:pStyle w:val="19"/>
                    <w:spacing w:before="13" w:line="239" w:lineRule="exact"/>
                    <w:ind w:left="117" w:right="107"/>
                    <w:jc w:val="center"/>
                    <w:rPr>
                      <w:rFonts w:ascii="Times New Roman"/>
                      <w:sz w:val="21"/>
                    </w:rPr>
                  </w:pPr>
                  <w:r>
                    <w:rPr>
                      <w:rFonts w:ascii="Times New Roman"/>
                      <w:sz w:val="21"/>
                    </w:rPr>
                    <w:t>150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68" w:type="dxa"/>
                  <w:vMerge w:val="restart"/>
                  <w:noWrap w:val="0"/>
                  <w:vAlign w:val="top"/>
                </w:tcPr>
                <w:p>
                  <w:pPr>
                    <w:pStyle w:val="19"/>
                    <w:spacing w:before="153"/>
                    <w:ind w:left="519" w:right="508"/>
                    <w:jc w:val="center"/>
                    <w:rPr>
                      <w:rFonts w:ascii="Times New Roman"/>
                      <w:sz w:val="13"/>
                    </w:rPr>
                  </w:pPr>
                  <w:r>
                    <w:rPr>
                      <w:rFonts w:ascii="Times New Roman"/>
                      <w:w w:val="105"/>
                      <w:position w:val="2"/>
                      <w:sz w:val="21"/>
                    </w:rPr>
                    <w:t>PM</w:t>
                  </w:r>
                  <w:r>
                    <w:rPr>
                      <w:rFonts w:ascii="Times New Roman"/>
                      <w:w w:val="105"/>
                      <w:sz w:val="13"/>
                    </w:rPr>
                    <w:t>2.5</w:t>
                  </w:r>
                </w:p>
              </w:tc>
              <w:tc>
                <w:tcPr>
                  <w:tcW w:w="2463" w:type="dxa"/>
                  <w:noWrap w:val="0"/>
                  <w:vAlign w:val="top"/>
                </w:tcPr>
                <w:p>
                  <w:pPr>
                    <w:pStyle w:val="19"/>
                    <w:spacing w:line="251" w:lineRule="exact"/>
                    <w:ind w:left="257" w:right="251"/>
                    <w:jc w:val="center"/>
                    <w:rPr>
                      <w:sz w:val="21"/>
                    </w:rPr>
                  </w:pPr>
                  <w:r>
                    <w:rPr>
                      <w:sz w:val="21"/>
                    </w:rPr>
                    <w:t>年平均</w:t>
                  </w:r>
                </w:p>
              </w:tc>
              <w:tc>
                <w:tcPr>
                  <w:tcW w:w="2130" w:type="dxa"/>
                  <w:noWrap w:val="0"/>
                  <w:vAlign w:val="top"/>
                </w:tcPr>
                <w:p>
                  <w:pPr>
                    <w:pStyle w:val="19"/>
                    <w:spacing w:before="14" w:line="237" w:lineRule="exact"/>
                    <w:ind w:left="117" w:right="107"/>
                    <w:jc w:val="center"/>
                    <w:rPr>
                      <w:rFonts w:ascii="Times New Roman"/>
                      <w:sz w:val="21"/>
                    </w:rPr>
                  </w:pPr>
                  <w:r>
                    <w:rPr>
                      <w:rFonts w:ascii="Times New Roman"/>
                      <w:sz w:val="21"/>
                    </w:rPr>
                    <w:t>35</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9"/>
                    <w:spacing w:before="1" w:line="251" w:lineRule="exact"/>
                    <w:ind w:left="257" w:right="251"/>
                    <w:jc w:val="center"/>
                    <w:rPr>
                      <w:sz w:val="21"/>
                    </w:rPr>
                  </w:pPr>
                  <w:r>
                    <w:rPr>
                      <w:sz w:val="21"/>
                    </w:rPr>
                    <w:t>日平均</w:t>
                  </w:r>
                </w:p>
              </w:tc>
              <w:tc>
                <w:tcPr>
                  <w:tcW w:w="2130" w:type="dxa"/>
                  <w:noWrap w:val="0"/>
                  <w:vAlign w:val="top"/>
                </w:tcPr>
                <w:p>
                  <w:pPr>
                    <w:pStyle w:val="19"/>
                    <w:spacing w:before="15" w:line="237" w:lineRule="exact"/>
                    <w:ind w:left="117" w:right="107"/>
                    <w:jc w:val="center"/>
                    <w:rPr>
                      <w:rFonts w:ascii="Times New Roman"/>
                      <w:sz w:val="21"/>
                    </w:rPr>
                  </w:pPr>
                  <w:r>
                    <w:rPr>
                      <w:rFonts w:ascii="Times New Roman"/>
                      <w:sz w:val="21"/>
                    </w:rPr>
                    <w:t>70</w:t>
                  </w:r>
                </w:p>
              </w:tc>
              <w:tc>
                <w:tcPr>
                  <w:tcW w:w="2583" w:type="dxa"/>
                  <w:vMerge w:val="continue"/>
                  <w:tcBorders>
                    <w:top w:val="nil"/>
                  </w:tcBorders>
                  <w:noWrap w:val="0"/>
                  <w:vAlign w:val="top"/>
                </w:tcPr>
                <w:p>
                  <w:pPr>
                    <w:rPr>
                      <w:sz w:val="2"/>
                      <w:szCs w:val="2"/>
                    </w:rPr>
                  </w:pPr>
                </w:p>
              </w:tc>
            </w:tr>
          </w:tbl>
          <w:p>
            <w:pPr>
              <w:spacing w:before="156" w:beforeLines="50" w:line="440" w:lineRule="exact"/>
              <w:rPr>
                <w:rFonts w:hint="eastAsia"/>
                <w:sz w:val="24"/>
              </w:rPr>
            </w:pPr>
            <w:r>
              <w:rPr>
                <w:rFonts w:hint="eastAsia"/>
                <w:sz w:val="24"/>
              </w:rPr>
              <w:t>2、地表水环境质量标准</w:t>
            </w:r>
          </w:p>
          <w:p>
            <w:pPr>
              <w:tabs>
                <w:tab w:val="left" w:pos="460"/>
              </w:tabs>
              <w:spacing w:before="156" w:beforeLines="50" w:line="440" w:lineRule="exact"/>
              <w:ind w:firstLine="480" w:firstLineChars="200"/>
              <w:jc w:val="left"/>
              <w:rPr>
                <w:rFonts w:hint="eastAsia"/>
                <w:sz w:val="24"/>
              </w:rPr>
            </w:pPr>
            <w:r>
              <w:rPr>
                <w:rFonts w:hint="eastAsia"/>
                <w:sz w:val="24"/>
              </w:rPr>
              <w:t>本项目附近地表水体为淮河，执行《地表水环境质量标准》（</w:t>
            </w:r>
            <w:r>
              <w:rPr>
                <w:sz w:val="24"/>
              </w:rPr>
              <w:t>GB3838-2002</w:t>
            </w:r>
            <w:r>
              <w:rPr>
                <w:rFonts w:hint="eastAsia"/>
                <w:sz w:val="24"/>
              </w:rPr>
              <w:t>）</w:t>
            </w:r>
            <w:r>
              <w:rPr>
                <w:rFonts w:hint="eastAsia"/>
                <w:sz w:val="24"/>
              </w:rPr>
              <w:fldChar w:fldCharType="begin"/>
            </w:r>
            <w:r>
              <w:rPr>
                <w:rFonts w:hint="eastAsia"/>
                <w:sz w:val="24"/>
              </w:rPr>
              <w:instrText xml:space="preserve"> = 4 \* ROMAN \* MERGEFORMAT </w:instrText>
            </w:r>
            <w:r>
              <w:rPr>
                <w:rFonts w:hint="eastAsia"/>
                <w:sz w:val="24"/>
              </w:rPr>
              <w:fldChar w:fldCharType="separate"/>
            </w:r>
            <w:r>
              <w:rPr>
                <w:sz w:val="24"/>
              </w:rPr>
              <w:fldChar w:fldCharType="begin"/>
            </w:r>
            <w:r>
              <w:rPr>
                <w:sz w:val="24"/>
              </w:rPr>
              <w:instrText xml:space="preserve"> = 3 \* ROMAN \* MERGEFORMAT </w:instrText>
            </w:r>
            <w:r>
              <w:rPr>
                <w:sz w:val="24"/>
              </w:rPr>
              <w:fldChar w:fldCharType="separate"/>
            </w:r>
            <w:r>
              <w:rPr>
                <w:sz w:val="24"/>
              </w:rPr>
              <w:t>III</w:t>
            </w:r>
            <w:r>
              <w:rPr>
                <w:sz w:val="24"/>
              </w:rPr>
              <w:fldChar w:fldCharType="end"/>
            </w:r>
            <w:r>
              <w:rPr>
                <w:rFonts w:hint="eastAsia"/>
                <w:sz w:val="24"/>
              </w:rPr>
              <w:fldChar w:fldCharType="end"/>
            </w:r>
            <w:r>
              <w:rPr>
                <w:rFonts w:hint="eastAsia"/>
                <w:sz w:val="24"/>
              </w:rPr>
              <w:t>类标准，相关标准限值见下表</w:t>
            </w:r>
            <w:r>
              <w:rPr>
                <w:rFonts w:hint="eastAsia"/>
                <w:sz w:val="24"/>
                <w:lang w:val="en-US" w:eastAsia="zh-CN"/>
              </w:rPr>
              <w:t>8</w:t>
            </w:r>
            <w:r>
              <w:rPr>
                <w:rFonts w:hint="eastAsia"/>
                <w:sz w:val="24"/>
              </w:rPr>
              <w:t>。</w:t>
            </w:r>
          </w:p>
          <w:p>
            <w:pPr>
              <w:spacing w:line="520" w:lineRule="exact"/>
              <w:jc w:val="center"/>
              <w:rPr>
                <w:rFonts w:hint="eastAsia"/>
                <w:sz w:val="24"/>
              </w:rPr>
            </w:pPr>
            <w:r>
              <w:rPr>
                <w:rFonts w:hint="eastAsia"/>
                <w:sz w:val="24"/>
              </w:rPr>
              <w:t xml:space="preserve"> </w:t>
            </w:r>
            <w:r>
              <w:rPr>
                <w:rFonts w:hint="eastAsia"/>
                <w:b/>
                <w:bCs/>
                <w:sz w:val="24"/>
              </w:rPr>
              <w:t xml:space="preserve"> </w:t>
            </w:r>
            <w:r>
              <w:rPr>
                <w:b/>
                <w:bCs/>
                <w:sz w:val="24"/>
              </w:rPr>
              <w:t>表</w:t>
            </w:r>
            <w:r>
              <w:rPr>
                <w:rFonts w:hint="eastAsia"/>
                <w:b/>
                <w:bCs/>
                <w:sz w:val="24"/>
                <w:lang w:val="en-US" w:eastAsia="zh-CN"/>
              </w:rPr>
              <w:t>8</w:t>
            </w:r>
            <w:r>
              <w:rPr>
                <w:rFonts w:hint="eastAsia"/>
                <w:b/>
                <w:bCs/>
                <w:sz w:val="24"/>
              </w:rPr>
              <w:t xml:space="preserve">  </w:t>
            </w:r>
            <w:r>
              <w:rPr>
                <w:b/>
                <w:bCs/>
                <w:sz w:val="24"/>
              </w:rPr>
              <w:t xml:space="preserve"> </w:t>
            </w:r>
            <w:r>
              <w:rPr>
                <w:rFonts w:hint="eastAsia"/>
                <w:b/>
                <w:bCs/>
                <w:sz w:val="24"/>
              </w:rPr>
              <w:t>地表水环境质量</w:t>
            </w:r>
            <w:r>
              <w:rPr>
                <w:b/>
                <w:bCs/>
                <w:sz w:val="24"/>
              </w:rPr>
              <w:t>标准    单位：</w:t>
            </w:r>
            <w:r>
              <w:rPr>
                <w:rFonts w:hint="eastAsia"/>
                <w:b/>
                <w:bCs/>
                <w:sz w:val="24"/>
              </w:rPr>
              <w:t>mg/L（除pH外）</w:t>
            </w:r>
          </w:p>
          <w:tbl>
            <w:tblPr>
              <w:tblStyle w:val="15"/>
              <w:tblW w:w="0" w:type="auto"/>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98"/>
              <w:gridCol w:w="1536"/>
              <w:gridCol w:w="1508"/>
              <w:gridCol w:w="1508"/>
              <w:gridCol w:w="153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498" w:type="dxa"/>
                  <w:tcBorders>
                    <w:top w:val="single" w:color="auto" w:sz="12" w:space="0"/>
                    <w:left w:val="single" w:color="auto" w:sz="12" w:space="0"/>
                    <w:bottom w:val="single" w:color="auto" w:sz="6" w:space="0"/>
                  </w:tcBorders>
                  <w:noWrap w:val="0"/>
                  <w:vAlign w:val="center"/>
                </w:tcPr>
                <w:p>
                  <w:pPr>
                    <w:pStyle w:val="13"/>
                    <w:ind w:firstLine="422"/>
                    <w:rPr>
                      <w:rFonts w:hint="eastAsia"/>
                    </w:rPr>
                  </w:pPr>
                  <w:r>
                    <w:rPr>
                      <w:rFonts w:hint="eastAsia"/>
                    </w:rPr>
                    <w:t>项目</w:t>
                  </w:r>
                </w:p>
              </w:tc>
              <w:tc>
                <w:tcPr>
                  <w:tcW w:w="1536" w:type="dxa"/>
                  <w:tcBorders>
                    <w:top w:val="single" w:color="auto" w:sz="12" w:space="0"/>
                    <w:bottom w:val="single" w:color="auto" w:sz="6" w:space="0"/>
                    <w:right w:val="single" w:color="auto" w:sz="4" w:space="0"/>
                  </w:tcBorders>
                  <w:noWrap w:val="0"/>
                  <w:vAlign w:val="center"/>
                </w:tcPr>
                <w:p>
                  <w:pPr>
                    <w:pStyle w:val="13"/>
                    <w:ind w:firstLine="422"/>
                    <w:jc w:val="both"/>
                  </w:pPr>
                  <w:r>
                    <w:rPr>
                      <w:rFonts w:hint="eastAsia"/>
                    </w:rPr>
                    <w:t>pH</w:t>
                  </w:r>
                </w:p>
              </w:tc>
              <w:tc>
                <w:tcPr>
                  <w:tcW w:w="1508" w:type="dxa"/>
                  <w:tcBorders>
                    <w:top w:val="single" w:color="auto" w:sz="12" w:space="0"/>
                    <w:bottom w:val="single" w:color="auto" w:sz="6" w:space="0"/>
                    <w:right w:val="single" w:color="auto" w:sz="4" w:space="0"/>
                  </w:tcBorders>
                  <w:noWrap w:val="0"/>
                  <w:vAlign w:val="center"/>
                </w:tcPr>
                <w:p>
                  <w:pPr>
                    <w:pStyle w:val="13"/>
                    <w:ind w:firstLine="422"/>
                    <w:jc w:val="both"/>
                    <w:rPr>
                      <w:rFonts w:hint="eastAsia"/>
                    </w:rPr>
                  </w:pPr>
                  <w:r>
                    <w:rPr>
                      <w:rFonts w:hint="eastAsia"/>
                    </w:rPr>
                    <w:t>COD</w:t>
                  </w:r>
                </w:p>
              </w:tc>
              <w:tc>
                <w:tcPr>
                  <w:tcW w:w="1508" w:type="dxa"/>
                  <w:tcBorders>
                    <w:top w:val="single" w:color="auto" w:sz="12" w:space="0"/>
                    <w:left w:val="single" w:color="auto" w:sz="4" w:space="0"/>
                    <w:bottom w:val="single" w:color="auto" w:sz="6" w:space="0"/>
                  </w:tcBorders>
                  <w:noWrap w:val="0"/>
                  <w:vAlign w:val="center"/>
                </w:tcPr>
                <w:p>
                  <w:pPr>
                    <w:pStyle w:val="13"/>
                    <w:ind w:firstLine="422"/>
                    <w:jc w:val="both"/>
                    <w:rPr>
                      <w:rFonts w:hint="eastAsia"/>
                    </w:rPr>
                  </w:pPr>
                  <w:r>
                    <w:rPr>
                      <w:rFonts w:hint="eastAsia"/>
                    </w:rPr>
                    <w:t>BOD5</w:t>
                  </w:r>
                </w:p>
              </w:tc>
              <w:tc>
                <w:tcPr>
                  <w:tcW w:w="1533" w:type="dxa"/>
                  <w:tcBorders>
                    <w:top w:val="single" w:color="auto" w:sz="12" w:space="0"/>
                    <w:bottom w:val="single" w:color="auto" w:sz="6" w:space="0"/>
                    <w:right w:val="single" w:color="auto" w:sz="12" w:space="0"/>
                  </w:tcBorders>
                  <w:noWrap w:val="0"/>
                  <w:vAlign w:val="center"/>
                </w:tcPr>
                <w:p>
                  <w:pPr>
                    <w:pStyle w:val="13"/>
                    <w:ind w:firstLine="422"/>
                    <w:jc w:val="both"/>
                    <w:rPr>
                      <w:rFonts w:hint="eastAsia"/>
                    </w:rPr>
                  </w:pPr>
                  <w:r>
                    <w:rPr>
                      <w:rFonts w:hint="eastAsia"/>
                    </w:rPr>
                    <w:t>氨氮</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498" w:type="dxa"/>
                  <w:tcBorders>
                    <w:top w:val="single" w:color="auto" w:sz="6" w:space="0"/>
                    <w:left w:val="single" w:color="auto" w:sz="12" w:space="0"/>
                    <w:bottom w:val="single" w:color="auto" w:sz="12" w:space="0"/>
                  </w:tcBorders>
                  <w:noWrap w:val="0"/>
                  <w:vAlign w:val="center"/>
                </w:tcPr>
                <w:p>
                  <w:pPr>
                    <w:pStyle w:val="13"/>
                    <w:ind w:firstLine="422"/>
                    <w:rPr>
                      <w:rFonts w:hint="eastAsia"/>
                    </w:rPr>
                  </w:pPr>
                  <w:r>
                    <w:rPr>
                      <w:rFonts w:hint="eastAsia"/>
                    </w:rPr>
                    <w:t>Ⅲ类标准限值</w:t>
                  </w:r>
                </w:p>
              </w:tc>
              <w:tc>
                <w:tcPr>
                  <w:tcW w:w="1536" w:type="dxa"/>
                  <w:tcBorders>
                    <w:top w:val="single" w:color="auto" w:sz="6" w:space="0"/>
                    <w:bottom w:val="single" w:color="auto" w:sz="12" w:space="0"/>
                    <w:right w:val="single" w:color="auto" w:sz="4" w:space="0"/>
                  </w:tcBorders>
                  <w:noWrap w:val="0"/>
                  <w:vAlign w:val="center"/>
                </w:tcPr>
                <w:p>
                  <w:pPr>
                    <w:pStyle w:val="13"/>
                    <w:ind w:firstLine="422"/>
                    <w:jc w:val="both"/>
                    <w:rPr>
                      <w:rFonts w:hint="eastAsia"/>
                    </w:rPr>
                  </w:pPr>
                  <w:r>
                    <w:rPr>
                      <w:rFonts w:hint="eastAsia"/>
                    </w:rPr>
                    <w:t>6-9</w:t>
                  </w:r>
                </w:p>
              </w:tc>
              <w:tc>
                <w:tcPr>
                  <w:tcW w:w="1508" w:type="dxa"/>
                  <w:tcBorders>
                    <w:top w:val="single" w:color="auto" w:sz="6" w:space="0"/>
                    <w:bottom w:val="single" w:color="auto" w:sz="12" w:space="0"/>
                    <w:right w:val="single" w:color="auto" w:sz="4" w:space="0"/>
                  </w:tcBorders>
                  <w:noWrap w:val="0"/>
                  <w:vAlign w:val="center"/>
                </w:tcPr>
                <w:p>
                  <w:pPr>
                    <w:pStyle w:val="13"/>
                    <w:ind w:firstLine="422"/>
                    <w:jc w:val="both"/>
                    <w:rPr>
                      <w:rFonts w:hint="eastAsia"/>
                    </w:rPr>
                  </w:pPr>
                  <w:r>
                    <w:rPr>
                      <w:rFonts w:hint="eastAsia"/>
                    </w:rPr>
                    <w:t>≤20</w:t>
                  </w:r>
                </w:p>
              </w:tc>
              <w:tc>
                <w:tcPr>
                  <w:tcW w:w="1508" w:type="dxa"/>
                  <w:tcBorders>
                    <w:top w:val="single" w:color="auto" w:sz="6" w:space="0"/>
                    <w:left w:val="single" w:color="auto" w:sz="4" w:space="0"/>
                    <w:bottom w:val="single" w:color="auto" w:sz="12" w:space="0"/>
                  </w:tcBorders>
                  <w:noWrap w:val="0"/>
                  <w:vAlign w:val="center"/>
                </w:tcPr>
                <w:p>
                  <w:pPr>
                    <w:pStyle w:val="13"/>
                    <w:ind w:firstLine="422"/>
                    <w:jc w:val="both"/>
                    <w:rPr>
                      <w:rFonts w:hint="eastAsia"/>
                    </w:rPr>
                  </w:pPr>
                  <w:r>
                    <w:rPr>
                      <w:rFonts w:hint="eastAsia"/>
                    </w:rPr>
                    <w:t>≤4</w:t>
                  </w:r>
                </w:p>
              </w:tc>
              <w:tc>
                <w:tcPr>
                  <w:tcW w:w="1533" w:type="dxa"/>
                  <w:tcBorders>
                    <w:top w:val="single" w:color="auto" w:sz="6" w:space="0"/>
                    <w:bottom w:val="single" w:color="auto" w:sz="12" w:space="0"/>
                    <w:right w:val="single" w:color="auto" w:sz="12" w:space="0"/>
                  </w:tcBorders>
                  <w:noWrap w:val="0"/>
                  <w:vAlign w:val="center"/>
                </w:tcPr>
                <w:p>
                  <w:pPr>
                    <w:pStyle w:val="13"/>
                    <w:ind w:firstLine="422"/>
                    <w:jc w:val="both"/>
                    <w:rPr>
                      <w:rFonts w:hint="eastAsia"/>
                    </w:rPr>
                  </w:pPr>
                  <w:r>
                    <w:rPr>
                      <w:rFonts w:hint="eastAsia"/>
                    </w:rPr>
                    <w:t>≤1.0</w:t>
                  </w:r>
                </w:p>
              </w:tc>
            </w:tr>
          </w:tbl>
          <w:p>
            <w:pPr>
              <w:snapToGrid w:val="0"/>
              <w:spacing w:before="156" w:beforeLines="50" w:line="440" w:lineRule="exact"/>
              <w:rPr>
                <w:rFonts w:hint="eastAsia"/>
                <w:sz w:val="24"/>
              </w:rPr>
            </w:pPr>
            <w:r>
              <w:rPr>
                <w:rFonts w:hint="eastAsia"/>
                <w:sz w:val="24"/>
              </w:rPr>
              <w:t>3</w:t>
            </w:r>
            <w:r>
              <w:rPr>
                <w:sz w:val="24"/>
              </w:rPr>
              <w:t>、</w:t>
            </w:r>
            <w:r>
              <w:rPr>
                <w:rFonts w:hint="eastAsia"/>
                <w:sz w:val="24"/>
              </w:rPr>
              <w:t>声环境</w:t>
            </w:r>
          </w:p>
          <w:p>
            <w:pPr>
              <w:spacing w:before="156" w:beforeLines="50" w:line="440" w:lineRule="exact"/>
              <w:ind w:firstLine="480" w:firstLineChars="200"/>
              <w:rPr>
                <w:rFonts w:hint="eastAsia"/>
                <w:sz w:val="24"/>
              </w:rPr>
            </w:pPr>
            <w:r>
              <w:rPr>
                <w:rFonts w:hint="eastAsia"/>
                <w:sz w:val="24"/>
              </w:rPr>
              <w:t>区域环境噪声</w:t>
            </w:r>
            <w:r>
              <w:rPr>
                <w:sz w:val="24"/>
              </w:rPr>
              <w:t>执行《声环境质量标准》（GB3096-2008）</w:t>
            </w:r>
            <w:r>
              <w:rPr>
                <w:rFonts w:hint="eastAsia"/>
                <w:sz w:val="24"/>
              </w:rPr>
              <w:t>2</w:t>
            </w:r>
            <w:r>
              <w:rPr>
                <w:sz w:val="24"/>
              </w:rPr>
              <w:t>类标准</w:t>
            </w:r>
            <w:r>
              <w:rPr>
                <w:rFonts w:hint="eastAsia"/>
                <w:sz w:val="24"/>
              </w:rPr>
              <w:t>，标准值见表</w:t>
            </w:r>
            <w:r>
              <w:rPr>
                <w:rFonts w:hint="eastAsia"/>
                <w:sz w:val="24"/>
                <w:lang w:val="en-US" w:eastAsia="zh-CN"/>
              </w:rPr>
              <w:t>9</w:t>
            </w:r>
            <w:r>
              <w:rPr>
                <w:sz w:val="24"/>
              </w:rPr>
              <w:t>。</w:t>
            </w:r>
          </w:p>
          <w:p>
            <w:pPr>
              <w:spacing w:before="50" w:line="460" w:lineRule="exact"/>
              <w:jc w:val="center"/>
              <w:rPr>
                <w:rFonts w:hint="eastAsia"/>
                <w:b/>
                <w:bCs/>
                <w:sz w:val="24"/>
              </w:rPr>
            </w:pPr>
            <w:r>
              <w:rPr>
                <w:b/>
                <w:bCs/>
                <w:sz w:val="24"/>
              </w:rPr>
              <w:t>表</w:t>
            </w:r>
            <w:r>
              <w:rPr>
                <w:rFonts w:hint="eastAsia"/>
                <w:b/>
                <w:bCs/>
                <w:sz w:val="24"/>
                <w:lang w:val="en-US" w:eastAsia="zh-CN"/>
              </w:rPr>
              <w:t>9</w:t>
            </w:r>
            <w:r>
              <w:rPr>
                <w:rFonts w:hint="eastAsia"/>
                <w:b/>
                <w:bCs/>
                <w:sz w:val="24"/>
              </w:rPr>
              <w:t xml:space="preserve"> </w:t>
            </w:r>
            <w:r>
              <w:rPr>
                <w:b/>
                <w:bCs/>
                <w:sz w:val="24"/>
              </w:rPr>
              <w:t xml:space="preserve">  声环境质量标准    单位：dB(A)</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2860"/>
              <w:gridCol w:w="2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61" w:type="dxa"/>
                  <w:noWrap w:val="0"/>
                  <w:vAlign w:val="center"/>
                </w:tcPr>
                <w:p>
                  <w:pPr>
                    <w:pStyle w:val="13"/>
                  </w:pPr>
                  <w:r>
                    <w:t>类别</w:t>
                  </w:r>
                </w:p>
              </w:tc>
              <w:tc>
                <w:tcPr>
                  <w:tcW w:w="2860" w:type="dxa"/>
                  <w:noWrap w:val="0"/>
                  <w:vAlign w:val="center"/>
                </w:tcPr>
                <w:p>
                  <w:pPr>
                    <w:pStyle w:val="13"/>
                  </w:pPr>
                  <w:r>
                    <w:t>昼间</w:t>
                  </w:r>
                </w:p>
              </w:tc>
              <w:tc>
                <w:tcPr>
                  <w:tcW w:w="2862" w:type="dxa"/>
                  <w:noWrap w:val="0"/>
                  <w:vAlign w:val="center"/>
                </w:tcPr>
                <w:p>
                  <w:pPr>
                    <w:pStyle w:val="13"/>
                  </w:pPr>
                  <w: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61" w:type="dxa"/>
                  <w:noWrap w:val="0"/>
                  <w:vAlign w:val="center"/>
                </w:tcPr>
                <w:p>
                  <w:pPr>
                    <w:pStyle w:val="13"/>
                    <w:rPr>
                      <w:rFonts w:hint="eastAsia"/>
                    </w:rPr>
                  </w:pPr>
                  <w:r>
                    <w:rPr>
                      <w:rFonts w:hint="eastAsia"/>
                    </w:rPr>
                    <w:t>2</w:t>
                  </w:r>
                </w:p>
              </w:tc>
              <w:tc>
                <w:tcPr>
                  <w:tcW w:w="2860" w:type="dxa"/>
                  <w:noWrap w:val="0"/>
                  <w:vAlign w:val="center"/>
                </w:tcPr>
                <w:p>
                  <w:pPr>
                    <w:pStyle w:val="13"/>
                    <w:rPr>
                      <w:rFonts w:hint="eastAsia"/>
                    </w:rPr>
                  </w:pPr>
                  <w:r>
                    <w:rPr>
                      <w:rFonts w:hint="eastAsia"/>
                    </w:rPr>
                    <w:t>60</w:t>
                  </w:r>
                </w:p>
              </w:tc>
              <w:tc>
                <w:tcPr>
                  <w:tcW w:w="2862" w:type="dxa"/>
                  <w:noWrap w:val="0"/>
                  <w:vAlign w:val="center"/>
                </w:tcPr>
                <w:p>
                  <w:pPr>
                    <w:pStyle w:val="13"/>
                    <w:rPr>
                      <w:rFonts w:hint="eastAsia"/>
                    </w:rPr>
                  </w:pPr>
                  <w:r>
                    <w:rPr>
                      <w:rFonts w:hint="eastAsia"/>
                    </w:rPr>
                    <w:t>50</w:t>
                  </w:r>
                  <w:r>
                    <w:rPr>
                      <w:rFonts w:hint="eastAsia"/>
                    </w:rPr>
                    <w:cr/>
                  </w:r>
                  <w:r>
                    <w:rPr>
                      <w:rFonts w:hint="eastAsia"/>
                    </w:rPr>
                    <w:t>0</w:t>
                  </w:r>
                </w:p>
              </w:tc>
            </w:tr>
          </w:tbl>
          <w:p>
            <w:pPr>
              <w:keepNext w:val="0"/>
              <w:keepLines w:val="0"/>
              <w:pageBreakBefore w:val="0"/>
              <w:widowControl w:val="0"/>
              <w:kinsoku/>
              <w:wordWrap/>
              <w:overflowPunct/>
              <w:topLinePunct w:val="0"/>
              <w:autoSpaceDE/>
              <w:autoSpaceDN/>
              <w:bidi w:val="0"/>
              <w:adjustRightInd w:val="0"/>
              <w:snapToGrid w:val="0"/>
              <w:spacing w:line="480" w:lineRule="exact"/>
              <w:ind w:right="0" w:rightChars="0"/>
              <w:jc w:val="both"/>
              <w:textAlignment w:val="auto"/>
              <w:outlineLvl w:val="9"/>
              <w:rPr>
                <w:rFonts w:hint="default"/>
                <w:sz w:val="24"/>
                <w:szCs w:val="24"/>
                <w:lang w:val="en-US" w:eastAsia="zh-CN"/>
              </w:rPr>
            </w:pPr>
            <w:r>
              <w:rPr>
                <w:rFonts w:hint="eastAsia"/>
                <w:sz w:val="24"/>
                <w:szCs w:val="24"/>
                <w:lang w:val="en-US" w:eastAsia="zh-CN"/>
              </w:rPr>
              <w:t>4、土壤环境</w:t>
            </w:r>
          </w:p>
          <w:p>
            <w:pPr>
              <w:keepNext w:val="0"/>
              <w:keepLines w:val="0"/>
              <w:pageBreakBefore w:val="0"/>
              <w:widowControl w:val="0"/>
              <w:kinsoku/>
              <w:wordWrap/>
              <w:overflowPunct/>
              <w:topLinePunct w:val="0"/>
              <w:autoSpaceDE/>
              <w:autoSpaceDN/>
              <w:bidi w:val="0"/>
              <w:adjustRightInd w:val="0"/>
              <w:snapToGrid w:val="0"/>
              <w:spacing w:line="480" w:lineRule="exact"/>
              <w:ind w:right="0" w:rightChars="0" w:firstLine="480" w:firstLineChars="200"/>
              <w:jc w:val="both"/>
              <w:textAlignment w:val="auto"/>
              <w:outlineLvl w:val="9"/>
              <w:rPr>
                <w:rFonts w:hint="default"/>
                <w:sz w:val="24"/>
                <w:szCs w:val="24"/>
                <w:lang w:val="en-US"/>
              </w:rPr>
            </w:pPr>
            <w:r>
              <w:rPr>
                <w:rFonts w:hint="eastAsia"/>
                <w:sz w:val="24"/>
                <w:szCs w:val="24"/>
                <w:lang w:val="en-US" w:eastAsia="zh-CN"/>
              </w:rPr>
              <w:t>《土壤环境质量  建设用地土壤污染风险管控标准（试行）》（GB36600--2018）筛选值第二类地标准限值，标准值见表10。</w:t>
            </w:r>
          </w:p>
          <w:p>
            <w:pPr>
              <w:pStyle w:val="21"/>
              <w:spacing w:line="520" w:lineRule="exact"/>
              <w:jc w:val="center"/>
              <w:rPr>
                <w:rFonts w:ascii="Times New Roman" w:eastAsia="宋体" w:cs="Times New Roman"/>
                <w:b/>
                <w:bCs/>
              </w:rPr>
            </w:pPr>
            <w:bookmarkStart w:id="3" w:name="_Toc6511"/>
            <w:r>
              <w:rPr>
                <w:rFonts w:hint="eastAsia" w:ascii="Times New Roman" w:eastAsia="宋体" w:cs="Times New Roman"/>
                <w:b/>
                <w:bCs/>
                <w:color w:val="auto"/>
                <w:kern w:val="2"/>
                <w:sz w:val="24"/>
                <w:szCs w:val="24"/>
                <w:lang w:val="en-US" w:eastAsia="zh-CN" w:bidi="ar-SA"/>
              </w:rPr>
              <w:t>表10    土壤检测项目执行标准</w:t>
            </w:r>
            <w:bookmarkEnd w:id="3"/>
            <w:r>
              <w:rPr>
                <w:rFonts w:hint="eastAsia" w:ascii="黑体" w:hAnsi="黑体" w:eastAsia="黑体" w:cs="黑体"/>
                <w:b w:val="0"/>
                <w:bCs w:val="0"/>
                <w:sz w:val="24"/>
                <w:szCs w:val="22"/>
                <w:lang w:val="en-US" w:eastAsia="zh-CN" w:bidi="ar-SA"/>
              </w:rPr>
              <w:t xml:space="preserve"> </w:t>
            </w:r>
            <w:r>
              <w:rPr>
                <w:rFonts w:hint="eastAsia" w:ascii="Times New Roman" w:hAnsi="Times New Roman" w:eastAsia="黑体" w:cs="Times New Roman"/>
                <w:sz w:val="24"/>
                <w:szCs w:val="22"/>
                <w:lang w:val="en-US" w:eastAsia="zh-CN" w:bidi="ar-SA"/>
              </w:rPr>
              <w:t xml:space="preserve"> </w:t>
            </w:r>
            <w:r>
              <w:rPr>
                <w:rFonts w:hint="eastAsia" w:ascii="Times New Roman" w:eastAsia="宋体" w:cs="Times New Roman"/>
                <w:b/>
                <w:bCs/>
              </w:rPr>
              <w:t xml:space="preserve">     单位：mg/kg</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09"/>
              <w:gridCol w:w="1701"/>
              <w:gridCol w:w="1183"/>
              <w:gridCol w:w="1112"/>
              <w:gridCol w:w="1107"/>
              <w:gridCol w:w="33"/>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序号</w:t>
                  </w:r>
                </w:p>
              </w:tc>
              <w:tc>
                <w:tcPr>
                  <w:tcW w:w="1609" w:type="dxa"/>
                  <w:vMerge w:val="restart"/>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污染物项目</w:t>
                  </w:r>
                </w:p>
              </w:tc>
              <w:tc>
                <w:tcPr>
                  <w:tcW w:w="1701" w:type="dxa"/>
                  <w:vMerge w:val="restart"/>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CAS</w:t>
                  </w:r>
                  <w:r>
                    <w:rPr>
                      <w:rFonts w:ascii="Times New Roman" w:hAnsi="宋体" w:eastAsia="宋体" w:cs="Times New Roman"/>
                      <w:sz w:val="21"/>
                      <w:szCs w:val="21"/>
                    </w:rPr>
                    <w:t>编号</w:t>
                  </w:r>
                </w:p>
              </w:tc>
              <w:tc>
                <w:tcPr>
                  <w:tcW w:w="2295" w:type="dxa"/>
                  <w:gridSpan w:val="2"/>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筛选值</w:t>
                  </w:r>
                </w:p>
              </w:tc>
              <w:tc>
                <w:tcPr>
                  <w:tcW w:w="2280" w:type="dxa"/>
                  <w:gridSpan w:val="3"/>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noWrap w:val="0"/>
                  <w:vAlign w:val="top"/>
                </w:tcPr>
                <w:p>
                  <w:pPr>
                    <w:pStyle w:val="21"/>
                    <w:spacing w:line="520" w:lineRule="exact"/>
                    <w:jc w:val="both"/>
                    <w:rPr>
                      <w:rFonts w:ascii="Times New Roman" w:eastAsia="宋体" w:cs="Times New Roman"/>
                      <w:sz w:val="21"/>
                      <w:szCs w:val="21"/>
                    </w:rPr>
                  </w:pPr>
                </w:p>
              </w:tc>
              <w:tc>
                <w:tcPr>
                  <w:tcW w:w="1609" w:type="dxa"/>
                  <w:vMerge w:val="continue"/>
                  <w:noWrap w:val="0"/>
                  <w:vAlign w:val="top"/>
                </w:tcPr>
                <w:p>
                  <w:pPr>
                    <w:pStyle w:val="21"/>
                    <w:spacing w:line="520" w:lineRule="exact"/>
                    <w:jc w:val="both"/>
                    <w:rPr>
                      <w:rFonts w:ascii="Times New Roman" w:eastAsia="宋体" w:cs="Times New Roman"/>
                      <w:sz w:val="21"/>
                      <w:szCs w:val="21"/>
                    </w:rPr>
                  </w:pPr>
                </w:p>
              </w:tc>
              <w:tc>
                <w:tcPr>
                  <w:tcW w:w="1701" w:type="dxa"/>
                  <w:vMerge w:val="continue"/>
                  <w:noWrap w:val="0"/>
                  <w:vAlign w:val="top"/>
                </w:tcPr>
                <w:p>
                  <w:pPr>
                    <w:pStyle w:val="21"/>
                    <w:spacing w:line="520" w:lineRule="exact"/>
                    <w:jc w:val="both"/>
                    <w:rPr>
                      <w:rFonts w:ascii="Times New Roman" w:eastAsia="宋体" w:cs="Times New Roman"/>
                      <w:sz w:val="21"/>
                      <w:szCs w:val="21"/>
                    </w:rPr>
                  </w:pPr>
                </w:p>
              </w:tc>
              <w:tc>
                <w:tcPr>
                  <w:tcW w:w="1183" w:type="dxa"/>
                  <w:noWrap w:val="0"/>
                  <w:vAlign w:val="top"/>
                </w:tcPr>
                <w:p>
                  <w:pPr>
                    <w:pStyle w:val="21"/>
                    <w:spacing w:line="520" w:lineRule="exact"/>
                    <w:jc w:val="both"/>
                    <w:rPr>
                      <w:rFonts w:ascii="Times New Roman" w:eastAsia="宋体" w:cs="Times New Roman"/>
                      <w:sz w:val="21"/>
                      <w:szCs w:val="21"/>
                    </w:rPr>
                  </w:pPr>
                  <w:r>
                    <w:rPr>
                      <w:rFonts w:ascii="Times New Roman" w:hAnsi="宋体" w:eastAsia="宋体" w:cs="Times New Roman"/>
                      <w:sz w:val="21"/>
                      <w:szCs w:val="21"/>
                    </w:rPr>
                    <w:t>第一类地</w:t>
                  </w:r>
                </w:p>
              </w:tc>
              <w:tc>
                <w:tcPr>
                  <w:tcW w:w="1112" w:type="dxa"/>
                  <w:noWrap w:val="0"/>
                  <w:vAlign w:val="top"/>
                </w:tcPr>
                <w:p>
                  <w:pPr>
                    <w:pStyle w:val="21"/>
                    <w:spacing w:line="520" w:lineRule="exact"/>
                    <w:jc w:val="both"/>
                    <w:rPr>
                      <w:rFonts w:ascii="Times New Roman" w:eastAsia="宋体" w:cs="Times New Roman"/>
                      <w:sz w:val="21"/>
                      <w:szCs w:val="21"/>
                    </w:rPr>
                  </w:pPr>
                  <w:r>
                    <w:rPr>
                      <w:rFonts w:ascii="Times New Roman" w:hAnsi="宋体" w:eastAsia="宋体" w:cs="Times New Roman"/>
                      <w:sz w:val="21"/>
                      <w:szCs w:val="21"/>
                    </w:rPr>
                    <w:t>第二类地</w:t>
                  </w:r>
                </w:p>
              </w:tc>
              <w:tc>
                <w:tcPr>
                  <w:tcW w:w="1140" w:type="dxa"/>
                  <w:gridSpan w:val="2"/>
                  <w:noWrap w:val="0"/>
                  <w:vAlign w:val="top"/>
                </w:tcPr>
                <w:p>
                  <w:pPr>
                    <w:pStyle w:val="21"/>
                    <w:spacing w:line="520" w:lineRule="exact"/>
                    <w:jc w:val="both"/>
                    <w:rPr>
                      <w:rFonts w:ascii="Times New Roman" w:eastAsia="宋体" w:cs="Times New Roman"/>
                      <w:sz w:val="21"/>
                      <w:szCs w:val="21"/>
                    </w:rPr>
                  </w:pPr>
                  <w:r>
                    <w:rPr>
                      <w:rFonts w:ascii="Times New Roman" w:hAnsi="宋体" w:eastAsia="宋体" w:cs="Times New Roman"/>
                      <w:sz w:val="21"/>
                      <w:szCs w:val="21"/>
                    </w:rPr>
                    <w:t>第一类地</w:t>
                  </w:r>
                </w:p>
              </w:tc>
              <w:tc>
                <w:tcPr>
                  <w:tcW w:w="1140" w:type="dxa"/>
                  <w:noWrap w:val="0"/>
                  <w:vAlign w:val="top"/>
                </w:tcPr>
                <w:p>
                  <w:pPr>
                    <w:pStyle w:val="21"/>
                    <w:spacing w:line="520" w:lineRule="exact"/>
                    <w:jc w:val="both"/>
                    <w:rPr>
                      <w:rFonts w:ascii="Times New Roman" w:eastAsia="宋体" w:cs="Times New Roman"/>
                      <w:sz w:val="21"/>
                      <w:szCs w:val="21"/>
                    </w:rPr>
                  </w:pPr>
                  <w:r>
                    <w:rPr>
                      <w:rFonts w:ascii="Times New Roman" w:hAnsi="宋体" w:eastAsia="宋体" w:cs="Times New Roman"/>
                      <w:sz w:val="21"/>
                      <w:szCs w:val="21"/>
                    </w:rPr>
                    <w:t>第二类地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2" w:type="dxa"/>
                  <w:gridSpan w:val="8"/>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w:t>
                  </w:r>
                </w:p>
              </w:tc>
              <w:tc>
                <w:tcPr>
                  <w:tcW w:w="1609" w:type="dxa"/>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7440-38-2</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镉</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7440-43-9</w:t>
                  </w:r>
                </w:p>
              </w:tc>
              <w:tc>
                <w:tcPr>
                  <w:tcW w:w="1183" w:type="dxa"/>
                  <w:noWrap w:val="0"/>
                  <w:vAlign w:val="top"/>
                </w:tcPr>
                <w:p>
                  <w:pPr>
                    <w:pStyle w:val="21"/>
                    <w:spacing w:line="520" w:lineRule="exact"/>
                    <w:rPr>
                      <w:rFonts w:ascii="Times New Roman" w:eastAsia="宋体" w:cs="Times New Roman"/>
                      <w:sz w:val="21"/>
                      <w:szCs w:val="21"/>
                    </w:rPr>
                  </w:pPr>
                  <w:r>
                    <w:rPr>
                      <w:rFonts w:hint="eastAsia" w:ascii="Times New Roman" w:eastAsia="宋体" w:cs="Times New Roman"/>
                      <w:sz w:val="21"/>
                      <w:szCs w:val="21"/>
                      <w:lang w:val="en-US" w:eastAsia="zh-CN"/>
                    </w:rPr>
                    <w:t>2</w:t>
                  </w:r>
                  <w:r>
                    <w:rPr>
                      <w:rFonts w:ascii="Times New Roman" w:eastAsia="宋体" w:cs="Times New Roman"/>
                      <w:sz w:val="21"/>
                      <w:szCs w:val="21"/>
                    </w:rPr>
                    <w:t>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47</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铬（六价）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28540-29-9</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5.7</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铜</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7440-50-8</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18000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8000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铅</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7439-92-1</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400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800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800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汞</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7439-97-6</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8</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38</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33</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w:t>
                  </w:r>
                </w:p>
              </w:tc>
              <w:tc>
                <w:tcPr>
                  <w:tcW w:w="1609" w:type="dxa"/>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镍</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7440-02-0</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900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2" w:type="dxa"/>
                  <w:gridSpan w:val="8"/>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四氯化碳</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56-23-5</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0.9</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氯仿</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67-66-3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0.3</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0.9</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氯甲烷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74-87-3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37</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21</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w:t>
                  </w:r>
                  <w:r>
                    <w:rPr>
                      <w:rFonts w:ascii="Times New Roman" w:hAnsi="宋体"/>
                      <w:color w:val="000000"/>
                      <w:sz w:val="21"/>
                      <w:szCs w:val="21"/>
                    </w:rPr>
                    <w:t>二氯乙烷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75-34-3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w:t>
                  </w:r>
                  <w:r>
                    <w:rPr>
                      <w:rFonts w:ascii="Times New Roman" w:hAnsi="宋体"/>
                      <w:color w:val="000000"/>
                      <w:sz w:val="21"/>
                      <w:szCs w:val="21"/>
                    </w:rPr>
                    <w:t>二氯乙烷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107-06-2</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0.52</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13</w:t>
                  </w:r>
                </w:p>
              </w:tc>
              <w:tc>
                <w:tcPr>
                  <w:tcW w:w="1609" w:type="dxa"/>
                  <w:noWrap w:val="0"/>
                  <w:vAlign w:val="top"/>
                </w:tcPr>
                <w:p>
                  <w:pPr>
                    <w:widowControl w:val="0"/>
                    <w:autoSpaceDE w:val="0"/>
                    <w:autoSpaceDN w:val="0"/>
                    <w:adjustRightInd w:val="0"/>
                    <w:spacing w:line="520" w:lineRule="exact"/>
                    <w:rPr>
                      <w:rFonts w:ascii="Times New Roman" w:hAnsi="Times New Roman"/>
                      <w:color w:val="000000"/>
                      <w:sz w:val="21"/>
                      <w:szCs w:val="21"/>
                    </w:rPr>
                  </w:pPr>
                  <w:r>
                    <w:rPr>
                      <w:rFonts w:ascii="Times New Roman" w:hAnsi="Times New Roman"/>
                      <w:color w:val="000000"/>
                      <w:sz w:val="21"/>
                      <w:szCs w:val="21"/>
                    </w:rPr>
                    <w:t>1,1-</w:t>
                  </w:r>
                  <w:r>
                    <w:rPr>
                      <w:rFonts w:ascii="Times New Roman" w:hAnsi="宋体"/>
                      <w:color w:val="000000"/>
                      <w:sz w:val="21"/>
                      <w:szCs w:val="21"/>
                    </w:rPr>
                    <w:t>二氯乙烯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75-35-4</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66</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顺</w:t>
                  </w:r>
                  <w:r>
                    <w:rPr>
                      <w:rFonts w:ascii="Times New Roman" w:hAnsi="Times New Roman"/>
                      <w:color w:val="000000"/>
                      <w:sz w:val="21"/>
                      <w:szCs w:val="21"/>
                    </w:rPr>
                    <w:t>1,2-</w:t>
                  </w:r>
                  <w:r>
                    <w:rPr>
                      <w:rFonts w:ascii="Times New Roman" w:hAnsi="宋体"/>
                      <w:color w:val="000000"/>
                      <w:sz w:val="21"/>
                      <w:szCs w:val="21"/>
                    </w:rPr>
                    <w:t>二氯乙烯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156-59-2</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66</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596</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反</w:t>
                  </w:r>
                  <w:r>
                    <w:rPr>
                      <w:rFonts w:ascii="Times New Roman" w:hAnsi="Times New Roman"/>
                      <w:color w:val="000000"/>
                      <w:sz w:val="21"/>
                      <w:szCs w:val="21"/>
                    </w:rPr>
                    <w:t>1,2-</w:t>
                  </w:r>
                  <w:r>
                    <w:rPr>
                      <w:rFonts w:ascii="Times New Roman" w:hAnsi="宋体"/>
                      <w:color w:val="000000"/>
                      <w:sz w:val="21"/>
                      <w:szCs w:val="21"/>
                    </w:rPr>
                    <w:t>二氯乙烯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156-60-5</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54</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31</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16</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二氯甲烷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75-09-2</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94</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616</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17</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w:t>
                  </w:r>
                  <w:r>
                    <w:rPr>
                      <w:rFonts w:ascii="Times New Roman" w:hAnsi="宋体"/>
                      <w:color w:val="000000"/>
                      <w:sz w:val="21"/>
                      <w:szCs w:val="21"/>
                    </w:rPr>
                    <w:t>二氯丙烷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78-87-5</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1,1,1-2</w:t>
                  </w:r>
                  <w:r>
                    <w:rPr>
                      <w:rFonts w:ascii="Times New Roman" w:hAnsi="宋体"/>
                      <w:color w:val="000000"/>
                      <w:sz w:val="21"/>
                      <w:szCs w:val="21"/>
                    </w:rPr>
                    <w:t>四氯乙烷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630-20-6</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2.6</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26</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1,1,2-2</w:t>
                  </w:r>
                  <w:r>
                    <w:rPr>
                      <w:rFonts w:ascii="Times New Roman" w:hAnsi="宋体"/>
                      <w:color w:val="000000"/>
                      <w:sz w:val="21"/>
                      <w:szCs w:val="21"/>
                    </w:rPr>
                    <w:t>四氯乙烷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79-34-5</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1.6</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6.8</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14</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四氯乙烯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127-18-4</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11</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53</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34</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1,1,1-</w:t>
                  </w:r>
                  <w:r>
                    <w:rPr>
                      <w:rFonts w:ascii="Times New Roman" w:hAnsi="宋体"/>
                      <w:color w:val="000000"/>
                      <w:sz w:val="21"/>
                      <w:szCs w:val="21"/>
                    </w:rPr>
                    <w:t>三氯乙烷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71-55-6</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701</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840</w:t>
                  </w:r>
                </w:p>
              </w:tc>
              <w:tc>
                <w:tcPr>
                  <w:tcW w:w="1107" w:type="dxa"/>
                  <w:noWrap w:val="0"/>
                  <w:vAlign w:val="top"/>
                </w:tcPr>
                <w:p>
                  <w:pPr>
                    <w:widowControl w:val="0"/>
                    <w:jc w:val="both"/>
                    <w:rPr>
                      <w:rFonts w:ascii="Times New Roman" w:hAnsi="Times New Roman"/>
                      <w:sz w:val="21"/>
                      <w:szCs w:val="21"/>
                    </w:rPr>
                  </w:pPr>
                  <w:r>
                    <w:rPr>
                      <w:rFonts w:ascii="Times New Roman" w:hAnsi="Times New Roman"/>
                      <w:sz w:val="21"/>
                      <w:szCs w:val="21"/>
                    </w:rPr>
                    <w:t>840</w:t>
                  </w:r>
                </w:p>
              </w:tc>
              <w:tc>
                <w:tcPr>
                  <w:tcW w:w="1173" w:type="dxa"/>
                  <w:gridSpan w:val="2"/>
                  <w:noWrap w:val="0"/>
                  <w:vAlign w:val="top"/>
                </w:tcPr>
                <w:p>
                  <w:pPr>
                    <w:widowControl w:val="0"/>
                    <w:jc w:val="both"/>
                    <w:rPr>
                      <w:rFonts w:ascii="Times New Roman" w:hAnsi="Times New Roman"/>
                      <w:sz w:val="21"/>
                      <w:szCs w:val="21"/>
                    </w:rPr>
                  </w:pPr>
                  <w:r>
                    <w:rPr>
                      <w:rFonts w:ascii="Times New Roman" w:hAnsi="Times New Roman"/>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1,1,2-</w:t>
                  </w:r>
                  <w:r>
                    <w:rPr>
                      <w:rFonts w:ascii="Times New Roman" w:hAnsi="宋体"/>
                      <w:color w:val="000000"/>
                      <w:sz w:val="21"/>
                      <w:szCs w:val="21"/>
                    </w:rPr>
                    <w:t>三氯乙烷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79-00-5</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0.6</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三氯乙烯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79-01-6</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0.7</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1,2,3-</w:t>
                  </w:r>
                  <w:r>
                    <w:rPr>
                      <w:rFonts w:ascii="Times New Roman" w:hAnsi="宋体"/>
                      <w:color w:val="000000"/>
                      <w:sz w:val="21"/>
                      <w:szCs w:val="21"/>
                    </w:rPr>
                    <w:t>三氯丙烷</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96-18-4</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0.05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氯乙烯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75-01-4</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0.12</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0.43</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26</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71-43-2</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27</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108-90-7</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68</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270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w:t>
                  </w:r>
                  <w:r>
                    <w:rPr>
                      <w:rFonts w:ascii="Times New Roman" w:hAnsi="宋体"/>
                      <w:color w:val="000000"/>
                      <w:sz w:val="21"/>
                      <w:szCs w:val="21"/>
                    </w:rPr>
                    <w:t>二氯苯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95-50-1</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1,4-</w:t>
                  </w:r>
                  <w:r>
                    <w:rPr>
                      <w:rFonts w:ascii="Times New Roman" w:hAnsi="宋体"/>
                      <w:color w:val="000000"/>
                      <w:sz w:val="21"/>
                      <w:szCs w:val="21"/>
                    </w:rPr>
                    <w:t>二氯苯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106-46-7</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乙苯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100-41-4</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7.2</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72</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苯乙烯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100-42-5</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1290</w:t>
                  </w:r>
                </w:p>
              </w:tc>
              <w:tc>
                <w:tcPr>
                  <w:tcW w:w="1112" w:type="dxa"/>
                  <w:noWrap w:val="0"/>
                  <w:vAlign w:val="top"/>
                </w:tcPr>
                <w:p>
                  <w:pPr>
                    <w:widowControl w:val="0"/>
                    <w:jc w:val="both"/>
                    <w:rPr>
                      <w:rFonts w:ascii="Times New Roman" w:hAnsi="Times New Roman"/>
                      <w:sz w:val="21"/>
                      <w:szCs w:val="21"/>
                    </w:rPr>
                  </w:pPr>
                  <w:r>
                    <w:rPr>
                      <w:rFonts w:ascii="Times New Roman" w:hAnsi="Times New Roman"/>
                      <w:sz w:val="21"/>
                      <w:szCs w:val="21"/>
                    </w:rPr>
                    <w:t>1290</w:t>
                  </w:r>
                </w:p>
              </w:tc>
              <w:tc>
                <w:tcPr>
                  <w:tcW w:w="1107" w:type="dxa"/>
                  <w:noWrap w:val="0"/>
                  <w:vAlign w:val="top"/>
                </w:tcPr>
                <w:p>
                  <w:pPr>
                    <w:widowControl w:val="0"/>
                    <w:jc w:val="both"/>
                    <w:rPr>
                      <w:rFonts w:ascii="Times New Roman" w:hAnsi="Times New Roman"/>
                      <w:sz w:val="21"/>
                      <w:szCs w:val="21"/>
                    </w:rPr>
                  </w:pPr>
                  <w:r>
                    <w:rPr>
                      <w:rFonts w:ascii="Times New Roman" w:hAnsi="Times New Roman"/>
                      <w:sz w:val="21"/>
                      <w:szCs w:val="21"/>
                    </w:rPr>
                    <w:t>1290</w:t>
                  </w:r>
                </w:p>
              </w:tc>
              <w:tc>
                <w:tcPr>
                  <w:tcW w:w="1173" w:type="dxa"/>
                  <w:gridSpan w:val="2"/>
                  <w:noWrap w:val="0"/>
                  <w:vAlign w:val="top"/>
                </w:tcPr>
                <w:p>
                  <w:pPr>
                    <w:widowControl w:val="0"/>
                    <w:jc w:val="both"/>
                    <w:rPr>
                      <w:rFonts w:ascii="Times New Roman" w:hAnsi="Times New Roman"/>
                      <w:sz w:val="21"/>
                      <w:szCs w:val="21"/>
                    </w:rPr>
                  </w:pPr>
                  <w:r>
                    <w:rPr>
                      <w:rFonts w:ascii="Times New Roman" w:hAnsi="Times New Roman"/>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甲苯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108-88-3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1200</w:t>
                  </w:r>
                </w:p>
              </w:tc>
              <w:tc>
                <w:tcPr>
                  <w:tcW w:w="1112" w:type="dxa"/>
                  <w:noWrap w:val="0"/>
                  <w:vAlign w:val="top"/>
                </w:tcPr>
                <w:p>
                  <w:pPr>
                    <w:widowControl w:val="0"/>
                    <w:jc w:val="both"/>
                    <w:rPr>
                      <w:rFonts w:ascii="Times New Roman" w:hAnsi="Times New Roman"/>
                      <w:sz w:val="21"/>
                      <w:szCs w:val="21"/>
                    </w:rPr>
                  </w:pPr>
                  <w:r>
                    <w:rPr>
                      <w:rFonts w:ascii="Times New Roman" w:hAnsi="Times New Roman"/>
                      <w:sz w:val="21"/>
                      <w:szCs w:val="21"/>
                    </w:rPr>
                    <w:t>1200</w:t>
                  </w:r>
                </w:p>
              </w:tc>
              <w:tc>
                <w:tcPr>
                  <w:tcW w:w="1107" w:type="dxa"/>
                  <w:noWrap w:val="0"/>
                  <w:vAlign w:val="top"/>
                </w:tcPr>
                <w:p>
                  <w:pPr>
                    <w:widowControl w:val="0"/>
                    <w:jc w:val="both"/>
                    <w:rPr>
                      <w:rFonts w:ascii="Times New Roman" w:hAnsi="Times New Roman"/>
                      <w:sz w:val="21"/>
                      <w:szCs w:val="21"/>
                    </w:rPr>
                  </w:pPr>
                  <w:r>
                    <w:rPr>
                      <w:rFonts w:ascii="Times New Roman" w:hAnsi="Times New Roman"/>
                      <w:sz w:val="21"/>
                      <w:szCs w:val="21"/>
                    </w:rPr>
                    <w:t>1200</w:t>
                  </w:r>
                </w:p>
              </w:tc>
              <w:tc>
                <w:tcPr>
                  <w:tcW w:w="1173" w:type="dxa"/>
                  <w:gridSpan w:val="2"/>
                  <w:noWrap w:val="0"/>
                  <w:vAlign w:val="top"/>
                </w:tcPr>
                <w:p>
                  <w:pPr>
                    <w:widowControl w:val="0"/>
                    <w:jc w:val="both"/>
                    <w:rPr>
                      <w:rFonts w:ascii="Times New Roman" w:hAnsi="Times New Roman"/>
                      <w:sz w:val="21"/>
                      <w:szCs w:val="21"/>
                    </w:rPr>
                  </w:pPr>
                  <w:r>
                    <w:rPr>
                      <w:rFonts w:ascii="Times New Roman" w:hAnsi="Times New Roman"/>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间二甲苯</w:t>
                  </w:r>
                  <w:r>
                    <w:rPr>
                      <w:rFonts w:ascii="Times New Roman" w:hAnsi="Times New Roman"/>
                      <w:color w:val="000000"/>
                      <w:sz w:val="21"/>
                      <w:szCs w:val="21"/>
                    </w:rPr>
                    <w:t>+</w:t>
                  </w:r>
                  <w:r>
                    <w:rPr>
                      <w:rFonts w:ascii="Times New Roman" w:hAnsi="宋体"/>
                      <w:color w:val="000000"/>
                      <w:sz w:val="21"/>
                      <w:szCs w:val="21"/>
                    </w:rPr>
                    <w:t>对二甲苯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108-38-3</w:t>
                  </w:r>
                  <w:r>
                    <w:rPr>
                      <w:rFonts w:ascii="Times New Roman" w:hAnsi="宋体" w:eastAsia="宋体" w:cs="Times New Roman"/>
                      <w:sz w:val="21"/>
                      <w:szCs w:val="21"/>
                    </w:rPr>
                    <w:t>，</w:t>
                  </w:r>
                  <w:r>
                    <w:rPr>
                      <w:rFonts w:ascii="Times New Roman" w:eastAsia="宋体" w:cs="Times New Roman"/>
                      <w:sz w:val="21"/>
                      <w:szCs w:val="21"/>
                    </w:rPr>
                    <w:t>106-42-3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163</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570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34</w:t>
                  </w:r>
                </w:p>
              </w:tc>
              <w:tc>
                <w:tcPr>
                  <w:tcW w:w="1609" w:type="dxa"/>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邻二甲苯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95-47-6</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222</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640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640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2" w:type="dxa"/>
                  <w:gridSpan w:val="8"/>
                  <w:noWrap w:val="0"/>
                  <w:vAlign w:val="top"/>
                </w:tcPr>
                <w:p>
                  <w:pPr>
                    <w:pStyle w:val="21"/>
                    <w:spacing w:line="520" w:lineRule="exact"/>
                    <w:rPr>
                      <w:rFonts w:ascii="Times New Roman" w:eastAsia="宋体" w:cs="Times New Roman"/>
                      <w:sz w:val="21"/>
                      <w:szCs w:val="21"/>
                    </w:rPr>
                  </w:pPr>
                  <w:r>
                    <w:rPr>
                      <w:rFonts w:ascii="Times New Roman" w:hAnsi="宋体" w:eastAsia="宋体" w:cs="Times New Roman"/>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硝基苯</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98-95-3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34</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76</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190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36</w:t>
                  </w:r>
                </w:p>
              </w:tc>
              <w:tc>
                <w:tcPr>
                  <w:tcW w:w="1609" w:type="dxa"/>
                  <w:noWrap w:val="0"/>
                  <w:vAlign w:val="top"/>
                </w:tcPr>
                <w:p>
                  <w:pPr>
                    <w:widowControl w:val="0"/>
                    <w:autoSpaceDE w:val="0"/>
                    <w:autoSpaceDN w:val="0"/>
                    <w:adjustRightInd w:val="0"/>
                    <w:spacing w:line="520" w:lineRule="exact"/>
                    <w:rPr>
                      <w:rFonts w:ascii="Times New Roman" w:hAnsi="Times New Roman"/>
                      <w:color w:val="000000"/>
                      <w:sz w:val="21"/>
                      <w:szCs w:val="21"/>
                    </w:rPr>
                  </w:pPr>
                  <w:r>
                    <w:rPr>
                      <w:rFonts w:ascii="Times New Roman" w:hAnsi="宋体"/>
                      <w:color w:val="000000"/>
                      <w:sz w:val="21"/>
                      <w:szCs w:val="21"/>
                    </w:rPr>
                    <w:t>苯胺</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62-53-3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92</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260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211</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37</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2-</w:t>
                  </w:r>
                  <w:r>
                    <w:rPr>
                      <w:rFonts w:ascii="Times New Roman" w:hAnsi="宋体"/>
                      <w:color w:val="000000"/>
                      <w:sz w:val="21"/>
                      <w:szCs w:val="21"/>
                    </w:rPr>
                    <w:t>氯酚</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95-57-8</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250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2256</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[α]</w:t>
                  </w:r>
                  <w:r>
                    <w:rPr>
                      <w:rFonts w:ascii="Times New Roman" w:hAnsi="宋体"/>
                      <w:color w:val="000000"/>
                      <w:sz w:val="21"/>
                      <w:szCs w:val="21"/>
                    </w:rPr>
                    <w:t>蒽</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56-55-3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39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[α]</w:t>
                  </w:r>
                  <w:r>
                    <w:rPr>
                      <w:rFonts w:ascii="Times New Roman" w:hAnsi="宋体"/>
                      <w:color w:val="000000"/>
                      <w:sz w:val="21"/>
                      <w:szCs w:val="21"/>
                    </w:rPr>
                    <w:t>芘</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50-32-8</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0.55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[b]</w:t>
                  </w:r>
                  <w:r>
                    <w:rPr>
                      <w:rFonts w:ascii="Times New Roman" w:hAnsi="宋体"/>
                      <w:color w:val="000000"/>
                      <w:sz w:val="21"/>
                      <w:szCs w:val="21"/>
                    </w:rPr>
                    <w:t>荧蒽</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205-99-2</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[k]</w:t>
                  </w:r>
                  <w:r>
                    <w:rPr>
                      <w:rFonts w:ascii="Times New Roman" w:hAnsi="宋体"/>
                      <w:color w:val="000000"/>
                      <w:sz w:val="21"/>
                      <w:szCs w:val="21"/>
                    </w:rPr>
                    <w:t>荧蒽</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207-08-9</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151</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䓛</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218-01-9</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490</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1293</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4900</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二苯并</w:t>
                  </w:r>
                  <w:r>
                    <w:rPr>
                      <w:rFonts w:ascii="Times New Roman" w:hAnsi="Times New Roman"/>
                      <w:color w:val="000000"/>
                      <w:sz w:val="21"/>
                      <w:szCs w:val="21"/>
                    </w:rPr>
                    <w:t>[α</w:t>
                  </w:r>
                  <w:r>
                    <w:rPr>
                      <w:rFonts w:ascii="Times New Roman" w:hAnsi="宋体"/>
                      <w:color w:val="000000"/>
                      <w:sz w:val="21"/>
                      <w:szCs w:val="21"/>
                    </w:rPr>
                    <w:t>，</w:t>
                  </w:r>
                  <w:r>
                    <w:rPr>
                      <w:rFonts w:ascii="Times New Roman" w:hAnsi="Times New Roman"/>
                      <w:color w:val="000000"/>
                      <w:sz w:val="21"/>
                      <w:szCs w:val="21"/>
                    </w:rPr>
                    <w:t>h]</w:t>
                  </w:r>
                  <w:r>
                    <w:rPr>
                      <w:rFonts w:ascii="Times New Roman" w:hAnsi="宋体"/>
                      <w:color w:val="000000"/>
                      <w:sz w:val="21"/>
                      <w:szCs w:val="21"/>
                    </w:rPr>
                    <w:t>蒽</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53-70-3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0.55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茚并</w:t>
                  </w:r>
                  <w:r>
                    <w:rPr>
                      <w:rFonts w:ascii="Times New Roman" w:hAnsi="Times New Roman"/>
                      <w:color w:val="000000"/>
                      <w:sz w:val="21"/>
                      <w:szCs w:val="21"/>
                    </w:rPr>
                    <w:t>[1,2,3-cd]</w:t>
                  </w:r>
                  <w:r>
                    <w:rPr>
                      <w:rFonts w:ascii="Times New Roman" w:hAnsi="宋体"/>
                      <w:color w:val="000000"/>
                      <w:sz w:val="21"/>
                      <w:szCs w:val="21"/>
                    </w:rPr>
                    <w:t>芘</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193-39-5</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45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萘</w:t>
                  </w:r>
                </w:p>
              </w:tc>
              <w:tc>
                <w:tcPr>
                  <w:tcW w:w="1701"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91-20-3</w:t>
                  </w:r>
                </w:p>
              </w:tc>
              <w:tc>
                <w:tcPr>
                  <w:tcW w:w="1183"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25</w:t>
                  </w:r>
                </w:p>
              </w:tc>
              <w:tc>
                <w:tcPr>
                  <w:tcW w:w="1112"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70</w:t>
                  </w:r>
                </w:p>
              </w:tc>
              <w:tc>
                <w:tcPr>
                  <w:tcW w:w="1107" w:type="dxa"/>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255</w:t>
                  </w:r>
                </w:p>
              </w:tc>
              <w:tc>
                <w:tcPr>
                  <w:tcW w:w="1173" w:type="dxa"/>
                  <w:gridSpan w:val="2"/>
                  <w:noWrap w:val="0"/>
                  <w:vAlign w:val="top"/>
                </w:tcPr>
                <w:p>
                  <w:pPr>
                    <w:pStyle w:val="21"/>
                    <w:spacing w:line="520" w:lineRule="exact"/>
                    <w:rPr>
                      <w:rFonts w:ascii="Times New Roman" w:eastAsia="宋体" w:cs="Times New Roman"/>
                      <w:sz w:val="21"/>
                      <w:szCs w:val="21"/>
                    </w:rPr>
                  </w:pPr>
                  <w:r>
                    <w:rPr>
                      <w:rFonts w:ascii="Times New Roman" w:eastAsia="宋体" w:cs="Times New Roman"/>
                      <w:sz w:val="21"/>
                      <w:szCs w:val="21"/>
                    </w:rPr>
                    <w:t>700</w:t>
                  </w:r>
                </w:p>
              </w:tc>
            </w:tr>
          </w:tbl>
          <w:p>
            <w:pPr>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57" w:type="dxa"/>
            <w:noWrap w:val="0"/>
            <w:vAlign w:val="center"/>
          </w:tcPr>
          <w:p>
            <w:pPr>
              <w:spacing w:before="156" w:beforeLines="50" w:line="400" w:lineRule="exact"/>
              <w:jc w:val="center"/>
              <w:rPr>
                <w:sz w:val="24"/>
              </w:rPr>
            </w:pPr>
            <w:r>
              <w:rPr>
                <w:sz w:val="24"/>
              </w:rPr>
              <w:t>污</w:t>
            </w:r>
          </w:p>
          <w:p>
            <w:pPr>
              <w:spacing w:before="156" w:beforeLines="50" w:line="400" w:lineRule="exact"/>
              <w:jc w:val="center"/>
              <w:rPr>
                <w:sz w:val="24"/>
              </w:rPr>
            </w:pPr>
            <w:r>
              <w:rPr>
                <w:sz w:val="24"/>
              </w:rPr>
              <w:t>染</w:t>
            </w:r>
          </w:p>
          <w:p>
            <w:pPr>
              <w:spacing w:before="156" w:beforeLines="50" w:line="400" w:lineRule="exact"/>
              <w:jc w:val="center"/>
              <w:rPr>
                <w:sz w:val="24"/>
              </w:rPr>
            </w:pPr>
            <w:r>
              <w:rPr>
                <w:sz w:val="24"/>
              </w:rPr>
              <w:t>物</w:t>
            </w:r>
          </w:p>
          <w:p>
            <w:pPr>
              <w:spacing w:before="156" w:beforeLines="50" w:line="400" w:lineRule="exact"/>
              <w:jc w:val="center"/>
              <w:rPr>
                <w:sz w:val="24"/>
              </w:rPr>
            </w:pPr>
            <w:r>
              <w:rPr>
                <w:sz w:val="24"/>
              </w:rPr>
              <w:t>排</w:t>
            </w:r>
          </w:p>
          <w:p>
            <w:pPr>
              <w:spacing w:before="156" w:beforeLines="50" w:line="400" w:lineRule="exact"/>
              <w:jc w:val="center"/>
              <w:rPr>
                <w:sz w:val="24"/>
              </w:rPr>
            </w:pPr>
            <w:r>
              <w:rPr>
                <w:sz w:val="24"/>
              </w:rPr>
              <w:t>放</w:t>
            </w:r>
          </w:p>
          <w:p>
            <w:pPr>
              <w:spacing w:before="156" w:beforeLines="50" w:line="400" w:lineRule="exact"/>
              <w:jc w:val="center"/>
              <w:rPr>
                <w:sz w:val="24"/>
              </w:rPr>
            </w:pPr>
            <w:r>
              <w:rPr>
                <w:sz w:val="24"/>
              </w:rPr>
              <w:t>标</w:t>
            </w:r>
          </w:p>
          <w:p>
            <w:pPr>
              <w:spacing w:before="156" w:beforeLines="50" w:line="400" w:lineRule="exact"/>
              <w:jc w:val="center"/>
              <w:rPr>
                <w:sz w:val="24"/>
              </w:rPr>
            </w:pPr>
            <w:r>
              <w:rPr>
                <w:sz w:val="24"/>
              </w:rPr>
              <w:t>准</w:t>
            </w:r>
          </w:p>
        </w:tc>
        <w:tc>
          <w:tcPr>
            <w:tcW w:w="8829" w:type="dxa"/>
            <w:noWrap w:val="0"/>
            <w:vAlign w:val="center"/>
          </w:tcPr>
          <w:p>
            <w:pPr>
              <w:snapToGrid w:val="0"/>
              <w:spacing w:before="156" w:beforeLines="50" w:line="440" w:lineRule="exact"/>
              <w:rPr>
                <w:rFonts w:hint="eastAsia"/>
                <w:b/>
                <w:bCs/>
                <w:sz w:val="24"/>
              </w:rPr>
            </w:pPr>
            <w:r>
              <w:rPr>
                <w:rFonts w:hint="eastAsia"/>
                <w:b/>
                <w:bCs/>
                <w:sz w:val="24"/>
              </w:rPr>
              <w:t>1、噪声</w:t>
            </w:r>
          </w:p>
          <w:p>
            <w:pPr>
              <w:snapToGrid w:val="0"/>
              <w:spacing w:line="440" w:lineRule="exact"/>
              <w:ind w:firstLine="480" w:firstLineChars="200"/>
              <w:rPr>
                <w:rFonts w:hint="eastAsia"/>
                <w:bCs/>
                <w:sz w:val="24"/>
              </w:rPr>
            </w:pPr>
            <w:r>
              <w:rPr>
                <w:rFonts w:hint="eastAsia"/>
                <w:bCs/>
                <w:sz w:val="24"/>
              </w:rPr>
              <w:t>施工期噪声执行《建筑施工场界环境噪声排放标准》(GB12523-2011)中表 1 建筑施工场界环境噪声排放限值。标准具体限值见表1</w:t>
            </w:r>
            <w:r>
              <w:rPr>
                <w:rFonts w:hint="eastAsia"/>
                <w:bCs/>
                <w:sz w:val="24"/>
                <w:lang w:val="en-US" w:eastAsia="zh-CN"/>
              </w:rPr>
              <w:t>1</w:t>
            </w:r>
            <w:r>
              <w:rPr>
                <w:rFonts w:hint="eastAsia"/>
                <w:bCs/>
                <w:sz w:val="24"/>
              </w:rPr>
              <w:t>。</w:t>
            </w:r>
          </w:p>
          <w:p>
            <w:pPr>
              <w:pStyle w:val="4"/>
              <w:spacing w:before="156" w:beforeLines="50" w:line="440" w:lineRule="exact"/>
              <w:ind w:firstLine="0" w:firstLineChars="0"/>
              <w:rPr>
                <w:rFonts w:hint="eastAsia"/>
                <w:b/>
                <w:bCs/>
                <w:sz w:val="24"/>
                <w:szCs w:val="24"/>
              </w:rPr>
            </w:pPr>
            <w:r>
              <w:rPr>
                <w:rFonts w:hAnsi="宋体"/>
                <w:b/>
                <w:sz w:val="24"/>
                <w:szCs w:val="24"/>
              </w:rPr>
              <w:t>表</w:t>
            </w:r>
            <w:r>
              <w:rPr>
                <w:rFonts w:hint="eastAsia" w:hAnsi="宋体"/>
                <w:b/>
                <w:sz w:val="24"/>
                <w:szCs w:val="24"/>
              </w:rPr>
              <w:t>1</w:t>
            </w:r>
            <w:r>
              <w:rPr>
                <w:rFonts w:hint="eastAsia" w:hAnsi="宋体"/>
                <w:b/>
                <w:sz w:val="24"/>
                <w:szCs w:val="24"/>
                <w:lang w:val="en-US" w:eastAsia="zh-CN"/>
              </w:rPr>
              <w:t>1</w:t>
            </w:r>
            <w:r>
              <w:rPr>
                <w:rFonts w:hint="eastAsia" w:hAnsi="宋体"/>
                <w:b/>
                <w:sz w:val="24"/>
                <w:szCs w:val="24"/>
              </w:rPr>
              <w:t xml:space="preserve">  </w:t>
            </w:r>
            <w:r>
              <w:rPr>
                <w:rFonts w:hAnsi="宋体"/>
                <w:b/>
                <w:sz w:val="24"/>
                <w:szCs w:val="24"/>
              </w:rPr>
              <w:t xml:space="preserve"> </w:t>
            </w:r>
            <w:r>
              <w:rPr>
                <w:rFonts w:hint="eastAsia" w:hAnsi="宋体"/>
                <w:b/>
                <w:sz w:val="24"/>
                <w:szCs w:val="24"/>
              </w:rPr>
              <w:t>《建筑施工场界环境噪声排放标准》（GB12523-2011）</w:t>
            </w:r>
            <w:r>
              <w:rPr>
                <w:rFonts w:hAnsi="宋体"/>
                <w:b/>
                <w:sz w:val="24"/>
                <w:szCs w:val="24"/>
              </w:rPr>
              <w:t xml:space="preserve">  单位：dB(A)</w:t>
            </w:r>
          </w:p>
          <w:tbl>
            <w:tblPr>
              <w:tblStyle w:val="1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72"/>
              <w:gridCol w:w="4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372" w:type="dxa"/>
                  <w:noWrap w:val="0"/>
                  <w:vAlign w:val="top"/>
                </w:tcPr>
                <w:p>
                  <w:pPr>
                    <w:pStyle w:val="19"/>
                    <w:spacing w:before="1"/>
                    <w:ind w:left="1170" w:right="741"/>
                    <w:jc w:val="center"/>
                    <w:rPr>
                      <w:sz w:val="24"/>
                    </w:rPr>
                  </w:pPr>
                  <w:r>
                    <w:rPr>
                      <w:sz w:val="24"/>
                    </w:rPr>
                    <w:t>昼间（</w:t>
                  </w:r>
                  <w:r>
                    <w:rPr>
                      <w:rFonts w:ascii="Times New Roman" w:eastAsia="Times New Roman"/>
                      <w:sz w:val="24"/>
                    </w:rPr>
                    <w:t>6</w:t>
                  </w:r>
                  <w:r>
                    <w:rPr>
                      <w:sz w:val="24"/>
                    </w:rPr>
                    <w:t>：</w:t>
                  </w:r>
                  <w:r>
                    <w:rPr>
                      <w:rFonts w:ascii="Times New Roman" w:eastAsia="Times New Roman"/>
                      <w:sz w:val="24"/>
                    </w:rPr>
                    <w:t>00~22</w:t>
                  </w:r>
                  <w:r>
                    <w:rPr>
                      <w:sz w:val="24"/>
                    </w:rPr>
                    <w:t>：</w:t>
                  </w:r>
                  <w:r>
                    <w:rPr>
                      <w:rFonts w:ascii="Times New Roman" w:eastAsia="Times New Roman"/>
                      <w:sz w:val="24"/>
                    </w:rPr>
                    <w:t>00</w:t>
                  </w:r>
                  <w:r>
                    <w:rPr>
                      <w:sz w:val="24"/>
                    </w:rPr>
                    <w:t>）</w:t>
                  </w:r>
                </w:p>
              </w:tc>
              <w:tc>
                <w:tcPr>
                  <w:tcW w:w="4372" w:type="dxa"/>
                  <w:noWrap w:val="0"/>
                  <w:vAlign w:val="top"/>
                </w:tcPr>
                <w:p>
                  <w:pPr>
                    <w:pStyle w:val="19"/>
                    <w:spacing w:before="1"/>
                    <w:ind w:left="1169" w:right="741"/>
                    <w:jc w:val="center"/>
                    <w:rPr>
                      <w:sz w:val="24"/>
                    </w:rPr>
                  </w:pPr>
                  <w:r>
                    <w:rPr>
                      <w:sz w:val="24"/>
                    </w:rPr>
                    <w:t>夜间（</w:t>
                  </w:r>
                  <w:r>
                    <w:rPr>
                      <w:rFonts w:ascii="Times New Roman" w:eastAsia="Times New Roman"/>
                      <w:sz w:val="24"/>
                    </w:rPr>
                    <w:t>22</w:t>
                  </w:r>
                  <w:r>
                    <w:rPr>
                      <w:sz w:val="24"/>
                    </w:rPr>
                    <w:t>：</w:t>
                  </w:r>
                  <w:r>
                    <w:rPr>
                      <w:rFonts w:ascii="Times New Roman" w:eastAsia="Times New Roman"/>
                      <w:sz w:val="24"/>
                    </w:rPr>
                    <w:t>00~6:00</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4372" w:type="dxa"/>
                  <w:noWrap w:val="0"/>
                  <w:vAlign w:val="top"/>
                </w:tcPr>
                <w:p>
                  <w:pPr>
                    <w:pStyle w:val="19"/>
                    <w:ind w:left="1168" w:right="741"/>
                    <w:jc w:val="center"/>
                    <w:rPr>
                      <w:sz w:val="24"/>
                    </w:rPr>
                  </w:pPr>
                  <w:r>
                    <w:rPr>
                      <w:rFonts w:ascii="Times New Roman" w:eastAsia="Times New Roman"/>
                      <w:sz w:val="24"/>
                    </w:rPr>
                    <w:t>70dB</w:t>
                  </w:r>
                  <w:r>
                    <w:rPr>
                      <w:sz w:val="24"/>
                    </w:rPr>
                    <w:t>（</w:t>
                  </w:r>
                  <w:r>
                    <w:rPr>
                      <w:rFonts w:ascii="Times New Roman" w:eastAsia="Times New Roman"/>
                      <w:sz w:val="24"/>
                    </w:rPr>
                    <w:t>A</w:t>
                  </w:r>
                  <w:r>
                    <w:rPr>
                      <w:sz w:val="24"/>
                    </w:rPr>
                    <w:t>）</w:t>
                  </w:r>
                </w:p>
              </w:tc>
              <w:tc>
                <w:tcPr>
                  <w:tcW w:w="4372" w:type="dxa"/>
                  <w:noWrap w:val="0"/>
                  <w:vAlign w:val="top"/>
                </w:tcPr>
                <w:p>
                  <w:pPr>
                    <w:pStyle w:val="19"/>
                    <w:ind w:left="1169" w:right="741"/>
                    <w:jc w:val="center"/>
                    <w:rPr>
                      <w:sz w:val="24"/>
                    </w:rPr>
                  </w:pPr>
                  <w:r>
                    <w:rPr>
                      <w:rFonts w:ascii="Times New Roman" w:eastAsia="Times New Roman"/>
                      <w:sz w:val="24"/>
                    </w:rPr>
                    <w:t>55dB</w:t>
                  </w:r>
                  <w:r>
                    <w:rPr>
                      <w:sz w:val="24"/>
                    </w:rPr>
                    <w:t>（</w:t>
                  </w:r>
                  <w:r>
                    <w:rPr>
                      <w:rFonts w:ascii="Times New Roman" w:eastAsia="Times New Roman"/>
                      <w:sz w:val="24"/>
                    </w:rPr>
                    <w:t>A</w:t>
                  </w:r>
                  <w:r>
                    <w:rPr>
                      <w:sz w:val="24"/>
                    </w:rPr>
                    <w:t>）</w:t>
                  </w:r>
                </w:p>
              </w:tc>
            </w:tr>
          </w:tbl>
          <w:p>
            <w:pPr>
              <w:pStyle w:val="4"/>
              <w:spacing w:before="156" w:beforeLines="50" w:line="440" w:lineRule="exact"/>
              <w:ind w:firstLine="0" w:firstLineChars="0"/>
              <w:rPr>
                <w:rFonts w:hint="eastAsia"/>
                <w:b/>
                <w:bCs/>
                <w:sz w:val="24"/>
                <w:szCs w:val="24"/>
              </w:rPr>
            </w:pPr>
            <w:r>
              <w:rPr>
                <w:rFonts w:hint="eastAsia"/>
                <w:b/>
                <w:bCs/>
                <w:sz w:val="24"/>
                <w:szCs w:val="24"/>
              </w:rPr>
              <w:t>2、废气</w:t>
            </w:r>
          </w:p>
          <w:p>
            <w:pPr>
              <w:tabs>
                <w:tab w:val="left" w:pos="460"/>
              </w:tabs>
              <w:spacing w:before="50" w:line="440" w:lineRule="exact"/>
              <w:ind w:firstLine="480" w:firstLineChars="200"/>
              <w:jc w:val="left"/>
              <w:rPr>
                <w:rFonts w:hint="eastAsia"/>
                <w:sz w:val="24"/>
              </w:rPr>
            </w:pPr>
            <w:r>
              <w:rPr>
                <w:rFonts w:hint="eastAsia"/>
                <w:sz w:val="24"/>
              </w:rPr>
              <w:t>本项目</w:t>
            </w:r>
            <w:r>
              <w:rPr>
                <w:rFonts w:hint="eastAsia" w:eastAsia="宋体"/>
                <w:sz w:val="24"/>
                <w:lang w:val="en-US" w:eastAsia="zh-CN"/>
              </w:rPr>
              <w:t>施工期</w:t>
            </w:r>
            <w:r>
              <w:rPr>
                <w:rFonts w:hint="eastAsia"/>
                <w:sz w:val="24"/>
              </w:rPr>
              <w:t>颗粒物执行</w:t>
            </w:r>
            <w:r>
              <w:rPr>
                <w:sz w:val="24"/>
              </w:rPr>
              <w:t>《大气污染物综合排放标准》（GB16297-1996）</w:t>
            </w:r>
            <w:r>
              <w:rPr>
                <w:rFonts w:hint="eastAsia"/>
                <w:sz w:val="24"/>
              </w:rPr>
              <w:t>二级</w:t>
            </w:r>
            <w:r>
              <w:rPr>
                <w:sz w:val="24"/>
              </w:rPr>
              <w:t>标准要求</w:t>
            </w:r>
            <w:r>
              <w:rPr>
                <w:rFonts w:hint="eastAsia"/>
                <w:sz w:val="24"/>
              </w:rPr>
              <w:t>。</w:t>
            </w:r>
          </w:p>
          <w:p>
            <w:pPr>
              <w:spacing w:before="50" w:line="440" w:lineRule="exact"/>
              <w:ind w:firstLine="2159" w:firstLineChars="896"/>
              <w:rPr>
                <w:b/>
                <w:sz w:val="24"/>
              </w:rPr>
            </w:pPr>
            <w:r>
              <w:rPr>
                <w:rFonts w:hint="eastAsia"/>
                <w:b/>
                <w:sz w:val="24"/>
              </w:rPr>
              <w:t>表1</w:t>
            </w:r>
            <w:r>
              <w:rPr>
                <w:rFonts w:hint="eastAsia"/>
                <w:b/>
                <w:sz w:val="24"/>
                <w:lang w:val="en-US" w:eastAsia="zh-CN"/>
              </w:rPr>
              <w:t>2</w:t>
            </w:r>
            <w:r>
              <w:rPr>
                <w:rFonts w:hint="eastAsia"/>
                <w:b/>
                <w:sz w:val="24"/>
              </w:rPr>
              <w:t xml:space="preserve">   </w:t>
            </w:r>
            <w:r>
              <w:rPr>
                <w:b/>
                <w:sz w:val="24"/>
              </w:rPr>
              <w:t>大气污染物综合排放标准</w:t>
            </w:r>
          </w:p>
          <w:tbl>
            <w:tblPr>
              <w:tblStyle w:val="15"/>
              <w:tblW w:w="0" w:type="auto"/>
              <w:jc w:val="center"/>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84"/>
              <w:gridCol w:w="1909"/>
              <w:gridCol w:w="446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4" w:type="dxa"/>
                  <w:vMerge w:val="restart"/>
                  <w:tcBorders>
                    <w:top w:val="single" w:color="000000" w:sz="12" w:space="0"/>
                    <w:left w:val="single" w:color="000000" w:sz="12" w:space="0"/>
                  </w:tcBorders>
                  <w:noWrap w:val="0"/>
                  <w:vAlign w:val="center"/>
                </w:tcPr>
                <w:p>
                  <w:pPr>
                    <w:pStyle w:val="22"/>
                    <w:spacing w:before="0" w:line="240" w:lineRule="atLeast"/>
                    <w:rPr>
                      <w:rFonts w:hint="eastAsia" w:ascii="Times New Roman"/>
                      <w:b/>
                      <w:sz w:val="21"/>
                    </w:rPr>
                  </w:pPr>
                  <w:r>
                    <w:rPr>
                      <w:rFonts w:hint="eastAsia" w:ascii="Times New Roman"/>
                      <w:b/>
                      <w:sz w:val="21"/>
                    </w:rPr>
                    <w:t>污染物</w:t>
                  </w:r>
                </w:p>
              </w:tc>
              <w:tc>
                <w:tcPr>
                  <w:tcW w:w="6378" w:type="dxa"/>
                  <w:gridSpan w:val="2"/>
                  <w:tcBorders>
                    <w:top w:val="single" w:color="000000" w:sz="12" w:space="0"/>
                    <w:left w:val="single" w:color="auto" w:sz="4" w:space="0"/>
                    <w:bottom w:val="single" w:color="auto" w:sz="4" w:space="0"/>
                    <w:right w:val="single" w:color="000000" w:sz="12" w:space="0"/>
                  </w:tcBorders>
                  <w:noWrap w:val="0"/>
                  <w:vAlign w:val="center"/>
                </w:tcPr>
                <w:p>
                  <w:pPr>
                    <w:pStyle w:val="22"/>
                    <w:spacing w:before="0" w:line="240" w:lineRule="atLeast"/>
                    <w:rPr>
                      <w:rFonts w:hint="eastAsia" w:ascii="Times New Roman"/>
                      <w:b/>
                      <w:sz w:val="21"/>
                    </w:rPr>
                  </w:pPr>
                  <w:r>
                    <w:rPr>
                      <w:rFonts w:hint="eastAsia" w:ascii="Times New Roman"/>
                      <w:b/>
                      <w:sz w:val="21"/>
                    </w:rPr>
                    <w:t>无组织排放监控</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4" w:type="dxa"/>
                  <w:vMerge w:val="continue"/>
                  <w:tcBorders>
                    <w:left w:val="single" w:color="000000" w:sz="12" w:space="0"/>
                    <w:bottom w:val="single" w:color="000000" w:sz="6" w:space="0"/>
                  </w:tcBorders>
                  <w:noWrap w:val="0"/>
                  <w:vAlign w:val="center"/>
                </w:tcPr>
                <w:p>
                  <w:pPr>
                    <w:pStyle w:val="22"/>
                    <w:spacing w:before="0" w:line="240" w:lineRule="atLeast"/>
                    <w:rPr>
                      <w:rFonts w:hint="eastAsia" w:ascii="Times New Roman"/>
                      <w:b/>
                      <w:sz w:val="21"/>
                    </w:rPr>
                  </w:pPr>
                </w:p>
              </w:tc>
              <w:tc>
                <w:tcPr>
                  <w:tcW w:w="1909" w:type="dxa"/>
                  <w:tcBorders>
                    <w:top w:val="single" w:color="auto" w:sz="4" w:space="0"/>
                    <w:left w:val="single" w:color="auto" w:sz="4" w:space="0"/>
                    <w:right w:val="single" w:color="auto" w:sz="4" w:space="0"/>
                  </w:tcBorders>
                  <w:noWrap w:val="0"/>
                  <w:vAlign w:val="center"/>
                </w:tcPr>
                <w:p>
                  <w:pPr>
                    <w:pStyle w:val="22"/>
                    <w:spacing w:before="0" w:line="240" w:lineRule="atLeast"/>
                    <w:rPr>
                      <w:rFonts w:hint="eastAsia" w:ascii="Times New Roman"/>
                      <w:b/>
                      <w:sz w:val="21"/>
                    </w:rPr>
                  </w:pPr>
                  <w:r>
                    <w:rPr>
                      <w:rFonts w:hint="eastAsia" w:ascii="Times New Roman"/>
                      <w:b/>
                      <w:sz w:val="21"/>
                    </w:rPr>
                    <w:t>监测点</w:t>
                  </w:r>
                </w:p>
              </w:tc>
              <w:tc>
                <w:tcPr>
                  <w:tcW w:w="4469" w:type="dxa"/>
                  <w:tcBorders>
                    <w:top w:val="single" w:color="auto" w:sz="4" w:space="0"/>
                    <w:left w:val="single" w:color="auto" w:sz="4" w:space="0"/>
                    <w:right w:val="single" w:color="000000" w:sz="12" w:space="0"/>
                  </w:tcBorders>
                  <w:noWrap w:val="0"/>
                  <w:vAlign w:val="center"/>
                </w:tcPr>
                <w:p>
                  <w:pPr>
                    <w:pStyle w:val="22"/>
                    <w:spacing w:before="0" w:line="240" w:lineRule="atLeast"/>
                    <w:rPr>
                      <w:rFonts w:hint="eastAsia" w:ascii="Times New Roman"/>
                      <w:b/>
                      <w:sz w:val="21"/>
                    </w:rPr>
                  </w:pPr>
                  <w:r>
                    <w:rPr>
                      <w:rFonts w:hint="eastAsia" w:ascii="Times New Roman"/>
                      <w:b/>
                      <w:sz w:val="21"/>
                    </w:rPr>
                    <w:t>浓度（mg/m</w:t>
                  </w:r>
                  <w:r>
                    <w:rPr>
                      <w:rFonts w:hint="eastAsia" w:ascii="Times New Roman"/>
                      <w:b/>
                      <w:sz w:val="21"/>
                      <w:vertAlign w:val="superscript"/>
                    </w:rPr>
                    <w:t>3</w:t>
                  </w:r>
                  <w:r>
                    <w:rPr>
                      <w:rFonts w:hint="eastAsia" w:ascii="Times New Roman"/>
                      <w:b/>
                      <w:sz w:val="21"/>
                    </w:rPr>
                    <w:t>）</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5" w:hRule="atLeast"/>
                <w:jc w:val="center"/>
              </w:trPr>
              <w:tc>
                <w:tcPr>
                  <w:tcW w:w="1584" w:type="dxa"/>
                  <w:tcBorders>
                    <w:top w:val="single" w:color="000000" w:sz="6" w:space="0"/>
                    <w:left w:val="single" w:color="000000" w:sz="12" w:space="0"/>
                  </w:tcBorders>
                  <w:noWrap w:val="0"/>
                  <w:vAlign w:val="center"/>
                </w:tcPr>
                <w:p>
                  <w:pPr>
                    <w:pStyle w:val="22"/>
                    <w:spacing w:before="0" w:line="240" w:lineRule="atLeast"/>
                    <w:rPr>
                      <w:rFonts w:hint="eastAsia" w:ascii="Times New Roman"/>
                      <w:sz w:val="21"/>
                    </w:rPr>
                  </w:pPr>
                  <w:r>
                    <w:rPr>
                      <w:rFonts w:hint="eastAsia" w:ascii="Times New Roman"/>
                      <w:sz w:val="21"/>
                    </w:rPr>
                    <w:t>颗粒物</w:t>
                  </w:r>
                </w:p>
              </w:tc>
              <w:tc>
                <w:tcPr>
                  <w:tcW w:w="1909" w:type="dxa"/>
                  <w:tcBorders>
                    <w:top w:val="single" w:color="000000" w:sz="6" w:space="0"/>
                    <w:left w:val="single" w:color="auto" w:sz="4" w:space="0"/>
                    <w:right w:val="single" w:color="auto" w:sz="4" w:space="0"/>
                  </w:tcBorders>
                  <w:noWrap w:val="0"/>
                  <w:vAlign w:val="center"/>
                </w:tcPr>
                <w:p>
                  <w:pPr>
                    <w:pStyle w:val="22"/>
                    <w:spacing w:before="0" w:line="240" w:lineRule="atLeast"/>
                    <w:jc w:val="both"/>
                    <w:rPr>
                      <w:rFonts w:hint="eastAsia" w:ascii="Times New Roman"/>
                      <w:sz w:val="21"/>
                    </w:rPr>
                  </w:pPr>
                  <w:r>
                    <w:rPr>
                      <w:rFonts w:hint="eastAsia" w:ascii="Times New Roman"/>
                      <w:sz w:val="21"/>
                    </w:rPr>
                    <w:t>周界外浓度最高点</w:t>
                  </w:r>
                </w:p>
              </w:tc>
              <w:tc>
                <w:tcPr>
                  <w:tcW w:w="4469" w:type="dxa"/>
                  <w:tcBorders>
                    <w:top w:val="single" w:color="000000" w:sz="6" w:space="0"/>
                    <w:left w:val="single" w:color="auto" w:sz="4" w:space="0"/>
                    <w:right w:val="single" w:color="000000" w:sz="12" w:space="0"/>
                  </w:tcBorders>
                  <w:noWrap w:val="0"/>
                  <w:vAlign w:val="center"/>
                </w:tcPr>
                <w:p>
                  <w:pPr>
                    <w:pStyle w:val="22"/>
                    <w:spacing w:before="0"/>
                    <w:rPr>
                      <w:rFonts w:hint="eastAsia" w:ascii="Times New Roman"/>
                      <w:sz w:val="21"/>
                    </w:rPr>
                  </w:pPr>
                  <w:r>
                    <w:rPr>
                      <w:rFonts w:hint="eastAsia" w:ascii="Times New Roman"/>
                      <w:sz w:val="21"/>
                    </w:rPr>
                    <w:t>1.0</w:t>
                  </w:r>
                </w:p>
              </w:tc>
            </w:tr>
          </w:tbl>
          <w:p>
            <w:pPr>
              <w:pStyle w:val="4"/>
              <w:spacing w:before="156" w:beforeLines="50" w:line="440" w:lineRule="exact"/>
              <w:ind w:firstLine="0" w:firstLineChars="0"/>
              <w:rPr>
                <w:rFonts w:hint="eastAsia"/>
                <w:b/>
                <w:bCs/>
                <w:sz w:val="24"/>
                <w:szCs w:val="24"/>
              </w:rPr>
            </w:pPr>
            <w:r>
              <w:rPr>
                <w:rFonts w:hint="eastAsia"/>
                <w:b/>
                <w:bCs/>
                <w:sz w:val="24"/>
                <w:szCs w:val="24"/>
              </w:rPr>
              <w:t>3、固体废物</w:t>
            </w:r>
          </w:p>
          <w:p>
            <w:pPr>
              <w:snapToGrid w:val="0"/>
              <w:spacing w:line="440" w:lineRule="exact"/>
              <w:ind w:firstLine="480" w:firstLineChars="200"/>
              <w:rPr>
                <w:rFonts w:hint="eastAsia" w:eastAsia="宋体"/>
                <w:color w:val="000000"/>
                <w:sz w:val="24"/>
                <w:lang w:eastAsia="zh-CN"/>
              </w:rPr>
            </w:pPr>
            <w:r>
              <w:rPr>
                <w:rFonts w:hint="eastAsia"/>
                <w:bCs/>
                <w:sz w:val="24"/>
              </w:rPr>
              <w:t>固体废弃物排放执行《一般工业固体废物贮存、处置场污染控制标准》（GB18599—2001）</w:t>
            </w:r>
            <w:r>
              <w:rPr>
                <w:rFonts w:hint="eastAsia"/>
                <w:color w:val="000000"/>
                <w:sz w:val="24"/>
              </w:rPr>
              <w:t>（2013修改版）</w:t>
            </w:r>
            <w:r>
              <w:rPr>
                <w:rFonts w:hint="eastAsia" w:eastAsia="宋体"/>
                <w:bCs/>
                <w:sz w:val="24"/>
                <w:lang w:eastAsia="zh-CN"/>
              </w:rPr>
              <w:t>。</w:t>
            </w:r>
          </w:p>
          <w:p>
            <w:pPr>
              <w:pStyle w:val="4"/>
              <w:spacing w:before="156" w:beforeLines="50" w:line="440" w:lineRule="exact"/>
              <w:ind w:firstLine="0" w:firstLineChars="0"/>
              <w:rPr>
                <w:rFonts w:hint="eastAsia"/>
                <w:b/>
                <w:bCs/>
                <w:sz w:val="24"/>
                <w:szCs w:val="24"/>
              </w:rPr>
            </w:pPr>
            <w:r>
              <w:rPr>
                <w:rFonts w:hint="eastAsia"/>
                <w:b/>
                <w:bCs/>
                <w:sz w:val="24"/>
                <w:szCs w:val="24"/>
              </w:rPr>
              <w:t>4、废水</w:t>
            </w:r>
          </w:p>
          <w:p>
            <w:pPr>
              <w:snapToGrid w:val="0"/>
              <w:spacing w:line="440" w:lineRule="exact"/>
              <w:ind w:firstLine="480" w:firstLineChars="200"/>
              <w:rPr>
                <w:rFonts w:hint="eastAsia"/>
                <w:bCs/>
                <w:sz w:val="24"/>
              </w:rPr>
            </w:pPr>
            <w:r>
              <w:rPr>
                <w:rFonts w:hint="eastAsia"/>
                <w:sz w:val="24"/>
                <w:highlight w:val="none"/>
              </w:rPr>
              <w:t>项目产生的污水仅为员工生活污水，经化粪池处理后</w:t>
            </w:r>
            <w:r>
              <w:rPr>
                <w:rFonts w:hint="eastAsia"/>
                <w:sz w:val="24"/>
                <w:highlight w:val="none"/>
                <w:lang w:val="en-US" w:eastAsia="zh-CN"/>
              </w:rPr>
              <w:t>排入市政污水管网，执行</w:t>
            </w:r>
            <w:r>
              <w:rPr>
                <w:rFonts w:hint="eastAsia"/>
                <w:bCs/>
                <w:sz w:val="24"/>
                <w:highlight w:val="none"/>
              </w:rPr>
              <w:t>污水综合排放标准》（GB8978-1996）</w:t>
            </w:r>
            <w:r>
              <w:rPr>
                <w:rFonts w:hint="eastAsia"/>
                <w:bCs/>
                <w:sz w:val="24"/>
                <w:highlight w:val="none"/>
                <w:lang w:val="en-US" w:eastAsia="zh-CN"/>
              </w:rPr>
              <w:t>表4</w:t>
            </w:r>
            <w:r>
              <w:rPr>
                <w:rFonts w:hint="eastAsia"/>
                <w:bCs/>
                <w:sz w:val="24"/>
                <w:highlight w:val="none"/>
              </w:rPr>
              <w:t>三级标准</w:t>
            </w:r>
            <w:r>
              <w:rPr>
                <w:rFonts w:hint="eastAsia"/>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5" w:hRule="atLeast"/>
          <w:jc w:val="center"/>
        </w:trPr>
        <w:tc>
          <w:tcPr>
            <w:tcW w:w="457" w:type="dxa"/>
            <w:noWrap w:val="0"/>
            <w:vAlign w:val="center"/>
          </w:tcPr>
          <w:p>
            <w:pPr>
              <w:spacing w:line="240" w:lineRule="atLeast"/>
              <w:rPr>
                <w:sz w:val="24"/>
              </w:rPr>
            </w:pPr>
            <w:r>
              <w:rPr>
                <w:sz w:val="24"/>
              </w:rPr>
              <w:t>总</w:t>
            </w:r>
          </w:p>
          <w:p>
            <w:pPr>
              <w:spacing w:line="240" w:lineRule="atLeast"/>
              <w:jc w:val="center"/>
              <w:rPr>
                <w:sz w:val="24"/>
              </w:rPr>
            </w:pPr>
            <w:r>
              <w:rPr>
                <w:sz w:val="24"/>
              </w:rPr>
              <w:t>量</w:t>
            </w:r>
          </w:p>
          <w:p>
            <w:pPr>
              <w:spacing w:line="240" w:lineRule="atLeast"/>
              <w:jc w:val="center"/>
              <w:rPr>
                <w:sz w:val="24"/>
              </w:rPr>
            </w:pPr>
            <w:r>
              <w:rPr>
                <w:sz w:val="24"/>
              </w:rPr>
              <w:t>控</w:t>
            </w:r>
          </w:p>
          <w:p>
            <w:pPr>
              <w:spacing w:line="240" w:lineRule="atLeast"/>
              <w:jc w:val="center"/>
              <w:rPr>
                <w:sz w:val="24"/>
              </w:rPr>
            </w:pPr>
            <w:r>
              <w:rPr>
                <w:sz w:val="24"/>
              </w:rPr>
              <w:t>制</w:t>
            </w:r>
          </w:p>
          <w:p>
            <w:pPr>
              <w:spacing w:line="240" w:lineRule="atLeast"/>
              <w:jc w:val="center"/>
              <w:rPr>
                <w:sz w:val="24"/>
              </w:rPr>
            </w:pPr>
            <w:r>
              <w:rPr>
                <w:sz w:val="24"/>
              </w:rPr>
              <w:t>指</w:t>
            </w:r>
          </w:p>
          <w:p>
            <w:pPr>
              <w:spacing w:line="240" w:lineRule="atLeast"/>
              <w:jc w:val="center"/>
              <w:rPr>
                <w:sz w:val="24"/>
              </w:rPr>
            </w:pPr>
            <w:r>
              <w:rPr>
                <w:sz w:val="24"/>
              </w:rPr>
              <w:t>标</w:t>
            </w:r>
          </w:p>
        </w:tc>
        <w:tc>
          <w:tcPr>
            <w:tcW w:w="8829" w:type="dxa"/>
            <w:noWrap w:val="0"/>
            <w:vAlign w:val="center"/>
          </w:tcPr>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eastAsia"/>
                <w:sz w:val="24"/>
                <w:szCs w:val="24"/>
              </w:rPr>
            </w:pPr>
            <w:r>
              <w:rPr>
                <w:rFonts w:hint="eastAsia"/>
                <w:sz w:val="24"/>
                <w:szCs w:val="24"/>
              </w:rPr>
              <w:t>本项目营运期正常情况下不产生废水，不需分配水污染物总量控制指标；</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eastAsia"/>
                <w:sz w:val="24"/>
                <w:szCs w:val="24"/>
              </w:rPr>
            </w:pPr>
            <w:r>
              <w:rPr>
                <w:rFonts w:hint="eastAsia"/>
                <w:sz w:val="24"/>
                <w:szCs w:val="24"/>
              </w:rPr>
              <w:t xml:space="preserve">维修管道时会产生少量天然气放散，由于放散量很少，不建议分配大气污染物总量控制指标。 </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bidi w:val="0"/>
              <w:rPr>
                <w:rFonts w:hint="eastAsia"/>
              </w:rPr>
            </w:pPr>
          </w:p>
        </w:tc>
      </w:tr>
    </w:tbl>
    <w:p>
      <w:pPr>
        <w:spacing w:before="156" w:beforeLines="50" w:line="480" w:lineRule="exact"/>
        <w:rPr>
          <w:rFonts w:eastAsia="黑体"/>
          <w:bCs/>
          <w:sz w:val="32"/>
          <w:szCs w:val="32"/>
        </w:rPr>
      </w:pPr>
      <w:r>
        <w:rPr>
          <w:rFonts w:eastAsia="黑体"/>
          <w:bCs/>
          <w:sz w:val="32"/>
          <w:szCs w:val="32"/>
        </w:rPr>
        <w:t>建设项目工程分析</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0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3403" w:hRule="atLeast"/>
        </w:trPr>
        <w:tc>
          <w:tcPr>
            <w:tcW w:w="9061" w:type="dxa"/>
            <w:noWrap w:val="0"/>
            <w:vAlign w:val="top"/>
          </w:tcPr>
          <w:p>
            <w:pPr>
              <w:tabs>
                <w:tab w:val="left" w:pos="5460"/>
              </w:tabs>
              <w:spacing w:before="156" w:beforeLines="50" w:line="440" w:lineRule="exact"/>
              <w:rPr>
                <w:rFonts w:hint="eastAsia" w:ascii="宋体" w:hAnsi="宋体" w:cs="宋体"/>
                <w:b/>
                <w:bCs/>
                <w:sz w:val="24"/>
                <w:u w:val="single"/>
              </w:rPr>
            </w:pPr>
            <w:r>
              <w:rPr>
                <w:rFonts w:hint="eastAsia" w:ascii="宋体" w:hAnsi="宋体" w:cs="宋体"/>
                <w:b/>
                <w:bCs/>
                <w:sz w:val="24"/>
                <w:szCs w:val="28"/>
                <w:u w:val="single"/>
              </w:rPr>
              <w:t>工艺流程及产污环节（图示）</w:t>
            </w:r>
          </w:p>
          <w:p>
            <w:pPr>
              <w:tabs>
                <w:tab w:val="left" w:pos="5460"/>
              </w:tabs>
              <w:spacing w:before="156" w:beforeLines="50" w:line="440" w:lineRule="exact"/>
              <w:rPr>
                <w:rFonts w:hint="eastAsia" w:ascii="宋体" w:hAnsi="宋体" w:cs="宋体"/>
                <w:b/>
                <w:sz w:val="24"/>
                <w:szCs w:val="28"/>
                <w:u w:val="single"/>
              </w:rPr>
            </w:pPr>
            <w:r>
              <w:rPr>
                <w:rFonts w:hint="eastAsia" w:ascii="宋体" w:hAnsi="宋体" w:cs="宋体"/>
                <w:b/>
                <w:sz w:val="24"/>
                <w:szCs w:val="28"/>
                <w:u w:val="single"/>
              </w:rPr>
              <w:t>一、施工期工艺流程</w:t>
            </w:r>
          </w:p>
          <w:p>
            <w:pPr>
              <w:snapToGrid w:val="0"/>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本工程</w:t>
            </w:r>
            <w:r>
              <w:rPr>
                <w:rFonts w:hint="eastAsia" w:ascii="Times New Roman" w:hAnsi="Times New Roman" w:eastAsia="宋体" w:cs="Times New Roman"/>
                <w:sz w:val="24"/>
                <w:szCs w:val="24"/>
                <w:lang w:val="en-US" w:eastAsia="zh-CN"/>
              </w:rPr>
              <w:t>均为</w:t>
            </w:r>
            <w:r>
              <w:rPr>
                <w:rFonts w:hint="eastAsia" w:ascii="Times New Roman" w:hAnsi="Times New Roman" w:cs="Times New Roman"/>
                <w:sz w:val="24"/>
                <w:szCs w:val="24"/>
              </w:rPr>
              <w:t>中压管道敷设区域，为建成区或已平整区域。管道主要采用开挖直埋方式敷设，穿越道路、河流主要采用水平定向钻施工方式。</w:t>
            </w:r>
          </w:p>
          <w:p>
            <w:pPr>
              <w:snapToGrid w:val="0"/>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施工工艺</w:t>
            </w:r>
          </w:p>
          <w:p>
            <w:pPr>
              <w:snapToGrid w:val="0"/>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本工程沿线位于平原地区的城市规划区域，全线主要采用开挖直埋方式敷设。本工程的管线布置是沿已建成或规划道路的人行道和慢车道敷设，与规划道路的建设时序为先建路后埋管，且本工程敷设的管道较长，在施工中拟分段施工，不需要修建施工便道； 施工材料堆放于施工作业带内；管道附近社会依托条件较好，本工程管道敷设不需要设置施工营地。</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①</w:t>
            </w:r>
            <w:r>
              <w:rPr>
                <w:rFonts w:hint="eastAsia" w:ascii="Times New Roman"/>
                <w:sz w:val="24"/>
              </w:rPr>
              <w:t>管道管材、管道敷设</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适用于输送城市燃气的管材有：无缝钢管、聚乙烯塑料管，焊接钢管及球墨铸铁管。根据多年来城市中压燃气管道管材使用及施工情况，普遍采用焊接钢管和PE管。</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PE 管与钢管比具有以下优点：</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管道内壁光滑，摩擦阻力小，一般而言其流通能力比钢管高30%； 抗腐蚀性能好，使用寿命长约50年。钢管的耐腐蚀性能差，采用绝缘防腐后的钢管，估计年限约为30年；具有很好的柔韧性，小口径管可以盘管成卷，铺设时允许有一定的弯曲半径，便于施工。</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根据输送的介质和压力情况，以及近年来各种管径在城市中压管网施工中的经济性比较，本工程推荐埋地中压燃气管道采用SDR11 系列聚乙烯塑料管（PE）管,即淮滨县区中压燃气干管全部采用PE聚乙烯管。</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②</w:t>
            </w:r>
            <w:r>
              <w:rPr>
                <w:rFonts w:hint="eastAsia" w:ascii="Times New Roman"/>
                <w:sz w:val="24"/>
              </w:rPr>
              <w:t>阀门及管道敷设</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2.1</w:t>
            </w:r>
            <w:r>
              <w:rPr>
                <w:rFonts w:hint="eastAsia" w:ascii="Times New Roman"/>
                <w:sz w:val="24"/>
              </w:rPr>
              <w:t>阀门</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阀门设置</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为了保证城市管网稳定、连续供气，必须分段、分片供气，以保障在管道检修、扩建及事故处理时不影响整个管网的正常供气。本工程在以下各处设置阀门：储配站出站处；中压支管起点处；调压柜、站外10～100ｍ处的进、出口管线上；每2km 管道的分段上； 同时近期为远期预留的接口，也设置阀门。</w:t>
            </w:r>
          </w:p>
          <w:p>
            <w:pPr>
              <w:numPr>
                <w:ilvl w:val="0"/>
                <w:numId w:val="0"/>
              </w:numPr>
              <w:spacing w:before="156" w:beforeLines="50" w:line="360" w:lineRule="auto"/>
              <w:rPr>
                <w:rFonts w:hint="eastAsia" w:ascii="Times New Roman"/>
                <w:sz w:val="24"/>
              </w:rPr>
            </w:pPr>
            <w:r>
              <w:rPr>
                <w:rFonts w:hint="eastAsia" w:ascii="Times New Roman" w:eastAsia="宋体"/>
                <w:sz w:val="24"/>
                <w:lang w:val="en-US" w:eastAsia="zh-CN"/>
              </w:rPr>
              <w:t>2.</w:t>
            </w:r>
            <w:r>
              <w:rPr>
                <w:rFonts w:hint="eastAsia" w:ascii="Times New Roman"/>
                <w:sz w:val="24"/>
              </w:rPr>
              <w:t>2、阀门选型</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燃气管道阀门的选用应符合国家现行标准，应选择适用燃气介质的阀门。</w:t>
            </w:r>
          </w:p>
          <w:p>
            <w:pPr>
              <w:numPr>
                <w:ilvl w:val="0"/>
                <w:numId w:val="0"/>
              </w:numPr>
              <w:spacing w:before="156" w:beforeLines="50" w:line="360" w:lineRule="auto"/>
              <w:rPr>
                <w:rFonts w:hint="eastAsia" w:ascii="Times New Roman"/>
                <w:sz w:val="24"/>
              </w:rPr>
            </w:pPr>
            <w:r>
              <w:rPr>
                <w:rFonts w:hint="eastAsia" w:ascii="Times New Roman" w:eastAsia="宋体"/>
                <w:sz w:val="24"/>
                <w:lang w:val="en-US" w:eastAsia="zh-CN"/>
              </w:rPr>
              <w:t>2.3</w:t>
            </w:r>
            <w:r>
              <w:rPr>
                <w:rFonts w:hint="eastAsia" w:ascii="Times New Roman"/>
                <w:sz w:val="24"/>
              </w:rPr>
              <w:t>管道的敷设</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本设计天然气管线采用埋地敷设，埋深为管顶距地面1.2m，个别特殊地段可视现场具体情况适当加大或减小埋设深度，但最小埋深不得小于下列规定：</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埋设在车行道下时，管顶覆土厚度不小于0.9m；埋设在非车行道下时，管顶覆土厚度不小于0.6m； 埋设在铁路下时，管顶距路面不小于1.5m；埋设在庭院内时，管顶覆土厚度不小于0.3m； 埋设在水田下时，管顶覆土厚度不小于0.8m；燃气管道的地基宜为无尖硬土石和无盐类的原土层，当原土层有尖硬石和盐类，应铺垫细沙或细土。可能引起管道不均匀沉降的地段， 其地基应进行处理或采取其它防沉降措施。</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③</w:t>
            </w:r>
            <w:r>
              <w:rPr>
                <w:rFonts w:hint="eastAsia" w:ascii="Times New Roman"/>
                <w:sz w:val="24"/>
              </w:rPr>
              <w:t>管道穿跨越</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本工程的穿越工程包括公路、河渠。由于穿越段管道难于维护；发生事故影响大，维修困难；同时也易于受到外力损伤，因此穿越段设计应首先确保管道的安全运行。</w:t>
            </w:r>
          </w:p>
          <w:p>
            <w:pPr>
              <w:numPr>
                <w:ilvl w:val="0"/>
                <w:numId w:val="0"/>
              </w:numPr>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穿越现有公路时，对于不允许开挖的道路，应尽量采用顶管施工，管道加钢套管；当受地形限制，顶管施工确实无法实施时，可采用小型定向钻的方式。可开挖施工的道路，穿越段设钢套管。</w:t>
            </w:r>
          </w:p>
          <w:p>
            <w:pPr>
              <w:numPr>
                <w:ilvl w:val="0"/>
                <w:numId w:val="0"/>
              </w:numPr>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穿越规划公路时，采用开挖施工，预埋钢套管。套管穿越公路时，保护套管距路基底的间距不小于</w:t>
            </w:r>
            <w:r>
              <w:rPr>
                <w:rFonts w:hint="eastAsia" w:ascii="Times New Roman" w:hAnsi="Times New Roman" w:eastAsia="宋体" w:cs="Times New Roman"/>
                <w:sz w:val="24"/>
                <w:lang w:val="en-US" w:eastAsia="zh-CN"/>
              </w:rPr>
              <w:t>1.5</w:t>
            </w:r>
            <w:r>
              <w:rPr>
                <w:rFonts w:hint="default" w:ascii="Times New Roman" w:hAnsi="Times New Roman" w:cs="Times New Roman"/>
                <w:sz w:val="24"/>
              </w:rPr>
              <w:t>m，距公路边沟底面不小于</w:t>
            </w:r>
            <w:r>
              <w:rPr>
                <w:rFonts w:hint="eastAsia" w:ascii="Times New Roman" w:hAnsi="Times New Roman" w:eastAsia="宋体" w:cs="Times New Roman"/>
                <w:sz w:val="24"/>
                <w:lang w:val="en-US" w:eastAsia="zh-CN"/>
              </w:rPr>
              <w:t>1</w:t>
            </w:r>
            <w:r>
              <w:rPr>
                <w:rFonts w:hint="default" w:ascii="Times New Roman" w:hAnsi="Times New Roman" w:cs="Times New Roman"/>
                <w:sz w:val="24"/>
              </w:rPr>
              <w:t>m。套管端部伸出路基坡脚外不小于</w:t>
            </w:r>
            <w:r>
              <w:rPr>
                <w:rFonts w:hint="eastAsia" w:ascii="Times New Roman" w:hAnsi="Times New Roman" w:eastAsia="宋体" w:cs="Times New Roman"/>
                <w:sz w:val="24"/>
                <w:lang w:val="en-US" w:eastAsia="zh-CN"/>
              </w:rPr>
              <w:t>2</w:t>
            </w:r>
            <w:r>
              <w:rPr>
                <w:rFonts w:hint="default" w:ascii="Times New Roman" w:hAnsi="Times New Roman" w:cs="Times New Roman"/>
                <w:sz w:val="24"/>
              </w:rPr>
              <w:t>m；当有路边沟时，套管端部伸出边沟外侧顶部不小于</w:t>
            </w:r>
            <w:r>
              <w:rPr>
                <w:rFonts w:hint="eastAsia" w:ascii="Times New Roman" w:hAnsi="Times New Roman" w:eastAsia="宋体" w:cs="Times New Roman"/>
                <w:sz w:val="24"/>
                <w:lang w:val="en-US" w:eastAsia="zh-CN"/>
              </w:rPr>
              <w:t>2</w:t>
            </w:r>
            <w:r>
              <w:rPr>
                <w:rFonts w:hint="default" w:ascii="Times New Roman" w:hAnsi="Times New Roman" w:cs="Times New Roman"/>
                <w:sz w:val="24"/>
              </w:rPr>
              <w:t>m。当采用小型定向钻时，管线与路基坡脚的最小间距不得小于</w:t>
            </w:r>
            <w:r>
              <w:rPr>
                <w:rFonts w:hint="eastAsia" w:ascii="Times New Roman" w:hAnsi="Times New Roman" w:eastAsia="宋体" w:cs="Times New Roman"/>
                <w:sz w:val="24"/>
                <w:lang w:val="en-US" w:eastAsia="zh-CN"/>
              </w:rPr>
              <w:t>1.2</w:t>
            </w:r>
            <w:r>
              <w:rPr>
                <w:rFonts w:hint="default" w:ascii="Times New Roman" w:hAnsi="Times New Roman" w:cs="Times New Roman"/>
                <w:sz w:val="24"/>
              </w:rPr>
              <w:t>m。</w:t>
            </w:r>
          </w:p>
          <w:p>
            <w:pPr>
              <w:numPr>
                <w:ilvl w:val="0"/>
                <w:numId w:val="0"/>
              </w:numPr>
              <w:spacing w:before="156" w:beforeLines="50" w:line="360" w:lineRule="auto"/>
              <w:ind w:firstLine="480" w:firstLineChars="200"/>
              <w:rPr>
                <w:rFonts w:hint="default" w:ascii="Times New Roman" w:hAnsi="Times New Roman" w:cs="Times New Roman"/>
                <w:b/>
                <w:sz w:val="24"/>
                <w:szCs w:val="28"/>
                <w:u w:val="single"/>
              </w:rPr>
            </w:pPr>
            <w:r>
              <w:rPr>
                <w:rFonts w:hint="default" w:ascii="Times New Roman" w:hAnsi="Times New Roman" w:cs="Times New Roman"/>
                <w:sz w:val="24"/>
              </w:rPr>
              <w:t>穿越河渠根据现场情况，采用大开挖或定向钻穿越方式。穿越用钢套管的外防腐采用环氧煤沥青特加强级防腐。</w:t>
            </w:r>
          </w:p>
          <w:p>
            <w:pPr>
              <w:snapToGrid w:val="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rPr>
              <w:t xml:space="preserve">施工工艺及产污环节见图 </w:t>
            </w:r>
            <w:r>
              <w:rPr>
                <w:rFonts w:hint="eastAsia" w:ascii="Times New Roman" w:hAnsi="Times New Roman" w:eastAsia="宋体" w:cs="Times New Roman"/>
                <w:sz w:val="24"/>
                <w:szCs w:val="24"/>
                <w:lang w:val="en-US" w:eastAsia="zh-CN"/>
              </w:rPr>
              <w:t>1</w:t>
            </w:r>
            <w:r>
              <w:rPr>
                <w:rFonts w:hint="eastAsia" w:ascii="Times New Roman" w:hAnsi="Times New Roman" w:cs="Times New Roman"/>
                <w:sz w:val="24"/>
                <w:szCs w:val="24"/>
              </w:rPr>
              <w:t>。</w:t>
            </w:r>
          </w:p>
          <w:p>
            <w:pPr>
              <w:spacing w:line="360" w:lineRule="auto"/>
              <w:jc w:val="center"/>
              <w:rPr>
                <w:rFonts w:eastAsia="黑体"/>
                <w:sz w:val="24"/>
              </w:rPr>
            </w:pPr>
            <w:r>
              <w:drawing>
                <wp:inline distT="0" distB="0" distL="114300" distR="114300">
                  <wp:extent cx="5610860" cy="3648075"/>
                  <wp:effectExtent l="0" t="0" r="8890" b="952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5"/>
                          <a:stretch>
                            <a:fillRect/>
                          </a:stretch>
                        </pic:blipFill>
                        <pic:spPr>
                          <a:xfrm>
                            <a:off x="0" y="0"/>
                            <a:ext cx="5610860" cy="3648075"/>
                          </a:xfrm>
                          <a:prstGeom prst="rect">
                            <a:avLst/>
                          </a:prstGeom>
                          <a:noFill/>
                          <a:ln>
                            <a:noFill/>
                          </a:ln>
                        </pic:spPr>
                      </pic:pic>
                    </a:graphicData>
                  </a:graphic>
                </wp:inline>
              </w:drawing>
            </w:r>
          </w:p>
          <w:p>
            <w:pPr>
              <w:spacing w:line="360" w:lineRule="auto"/>
              <w:jc w:val="center"/>
              <w:rPr>
                <w:rFonts w:eastAsia="黑体"/>
                <w:sz w:val="24"/>
              </w:rPr>
            </w:pPr>
            <w:r>
              <w:rPr>
                <w:rFonts w:eastAsia="黑体"/>
                <w:sz w:val="24"/>
              </w:rPr>
              <w:t>图</w:t>
            </w:r>
            <w:r>
              <w:rPr>
                <w:rFonts w:hint="eastAsia" w:eastAsia="黑体"/>
                <w:sz w:val="24"/>
                <w:lang w:val="en-US" w:eastAsia="zh-CN"/>
              </w:rPr>
              <w:t>1</w:t>
            </w:r>
            <w:r>
              <w:rPr>
                <w:rFonts w:eastAsia="黑体"/>
                <w:sz w:val="24"/>
              </w:rPr>
              <w:t xml:space="preserve">  </w:t>
            </w:r>
            <w:r>
              <w:rPr>
                <w:rFonts w:hint="eastAsia" w:eastAsia="黑体"/>
                <w:sz w:val="24"/>
              </w:rPr>
              <w:t xml:space="preserve">   </w:t>
            </w:r>
            <w:r>
              <w:rPr>
                <w:rFonts w:eastAsia="黑体"/>
                <w:sz w:val="24"/>
              </w:rPr>
              <w:t>施工期流程及产污环节</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（2）产污环节</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废水：管沟开挖产生的泥浆水、运输洗涤水、施工机械运转中产生的油滴漏污水及地下水等。</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废气：管沟开挖堆土、道路破开及运输车辆、施工机械走行车道引起的扬尘，管沟开挖弃土的装卸、运输、堆砌过程中造成的扬尘和洒落，各类施工机械、运输车辆排放的废气以及焊接废气。</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噪声：管道敷设过程中噪声源主要为试压噪声、挖掘机、推土机、电焊机等施工机械及运输车辆产生的噪声。</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固废：管线施工过程产生的弃渣土和防腐废弃物。</w:t>
            </w:r>
          </w:p>
          <w:p>
            <w:pPr>
              <w:numPr>
                <w:ilvl w:val="0"/>
                <w:numId w:val="0"/>
              </w:numPr>
              <w:spacing w:before="156" w:beforeLines="50" w:line="360" w:lineRule="auto"/>
              <w:rPr>
                <w:rFonts w:hint="eastAsia" w:ascii="宋体" w:hAnsi="宋体" w:cs="宋体"/>
                <w:b/>
                <w:sz w:val="24"/>
                <w:szCs w:val="28"/>
                <w:u w:val="single"/>
              </w:rPr>
            </w:pPr>
            <w:r>
              <w:rPr>
                <w:rFonts w:hint="eastAsia" w:ascii="宋体" w:hAnsi="宋体" w:cs="宋体"/>
                <w:b/>
                <w:sz w:val="24"/>
                <w:szCs w:val="28"/>
                <w:u w:val="single"/>
              </w:rPr>
              <w:t>运营期工艺流程</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输送和储存介质为天然气，工艺流程为简单的物理过程，营运期在正常情况下，污染物产生量较小，当设备、管道检修时有少量天然气排放。根据工程供气流程，输气管道运行期间采用密闭输送，正常情况不会泄漏天然气，而且天然气为干气，不产生凝结水和固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营运期污染因子分析：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本工程运营期的主要环境影响因素包括：（1）检修或管道超压和管道泄漏时少量天然气气体排放；（2）对管道经过路线的土地利用和社会影响。</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（1）水污染源分析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本工程为天然气输配工程，管道正常运行时没有生产废水产生。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（2）大气污染源分析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本工程为天然气管道工程，正常情况下，输气管道密闭运行，无废气排放，因此不会造成空气污染。只有在管道检修等非正常工况下，会有少量天然气在管道中释放出来， 由于管道检修一次泄漏量很少，约 10m</w:t>
            </w:r>
            <w:r>
              <w:rPr>
                <w:rFonts w:hint="default" w:ascii="Times New Roman" w:hAnsi="Times New Roman" w:cs="Times New Roman"/>
                <w:b w:val="0"/>
                <w:bCs/>
                <w:sz w:val="24"/>
                <w:szCs w:val="24"/>
                <w:vertAlign w:val="superscript"/>
              </w:rPr>
              <w:t>3</w:t>
            </w:r>
            <w:r>
              <w:rPr>
                <w:rFonts w:hint="default" w:ascii="Times New Roman" w:hAnsi="Times New Roman" w:cs="Times New Roman"/>
                <w:b w:val="0"/>
                <w:bCs/>
                <w:sz w:val="24"/>
                <w:szCs w:val="24"/>
              </w:rPr>
              <w:t>/次，每次释放时间约 10min，每年只有 1~2 次， 对其采取收集就地燃烧的措施处理，因此，基本不会对环境空气质量产生影响。</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（3）噪声源分析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管道正常运行过程中无噪声产生。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（4）固体废物</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本项目营运期无固体废物产生。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（5）生态和社会影响分析</w:t>
            </w:r>
          </w:p>
          <w:p>
            <w:pPr>
              <w:spacing w:before="156" w:beforeLines="50" w:line="440" w:lineRule="exact"/>
              <w:ind w:firstLine="480" w:firstLineChars="200"/>
              <w:rPr>
                <w:rFonts w:hint="default" w:ascii="Times New Roman" w:hAnsi="Times New Roman" w:cs="Times New Roman"/>
                <w:b w:val="0"/>
                <w:bCs/>
                <w:sz w:val="24"/>
                <w:szCs w:val="24"/>
                <w:highlight w:val="none"/>
              </w:rPr>
            </w:pPr>
            <w:r>
              <w:rPr>
                <w:rFonts w:hint="default" w:ascii="Times New Roman" w:hAnsi="Times New Roman" w:cs="Times New Roman"/>
                <w:b w:val="0"/>
                <w:bCs/>
                <w:sz w:val="24"/>
                <w:szCs w:val="24"/>
              </w:rPr>
              <w:t>本工程的管道工程建成投入运行后，管沟开挖部分通过植被恢复可大大降低项目建设对陆生生态的影响，对动物也不会造成阻隔，对城区道路的影响也即消除。但天然气管道属安全和消防重点保护对象，管线附近用地会受到限制，对城镇发展构成一定影响。项目供应的天然气属清洁能源，替代部分重油、煤等污染较大的能源后，可减少大气污染物的排放，间接降低大气污染物排放对生态环境的影响。</w:t>
            </w:r>
            <w:r>
              <w:rPr>
                <w:rFonts w:hint="default" w:ascii="Times New Roman" w:hAnsi="Times New Roman" w:cs="Times New Roman"/>
                <w:b w:val="0"/>
                <w:bCs/>
                <w:sz w:val="24"/>
                <w:szCs w:val="24"/>
                <w:highlight w:val="none"/>
              </w:rPr>
              <w:t>采用定向钻法建设河流穿越工程，建成后不会对河流水生生物、水动力、河堤安全和水土流失构成不利影响。</w:t>
            </w:r>
          </w:p>
          <w:p>
            <w:pPr>
              <w:spacing w:before="156" w:line="480" w:lineRule="exact"/>
              <w:ind w:firstLine="480" w:firstLineChars="200"/>
              <w:rPr>
                <w:rFonts w:hint="eastAsia" w:hAnsi="宋体"/>
                <w:sz w:val="24"/>
                <w:u w:val="single"/>
              </w:rPr>
            </w:pPr>
          </w:p>
        </w:tc>
      </w:tr>
    </w:tbl>
    <w:p>
      <w:pPr>
        <w:spacing w:line="360" w:lineRule="auto"/>
        <w:rPr>
          <w:rFonts w:eastAsia="黑体"/>
          <w:sz w:val="32"/>
          <w:szCs w:val="32"/>
        </w:rPr>
      </w:pPr>
      <w:r>
        <w:rPr>
          <w:rFonts w:eastAsia="黑体"/>
          <w:bCs/>
          <w:sz w:val="32"/>
          <w:szCs w:val="32"/>
        </w:rPr>
        <w:br w:type="page"/>
      </w:r>
      <w:r>
        <w:rPr>
          <w:rFonts w:eastAsia="黑体"/>
          <w:sz w:val="32"/>
          <w:szCs w:val="32"/>
        </w:rPr>
        <w:t>项目主要污</w:t>
      </w:r>
      <w:r>
        <w:rPr>
          <w:rFonts w:eastAsia="黑体"/>
          <w:sz w:val="32"/>
          <w:szCs w:val="32"/>
          <w:highlight w:val="none"/>
        </w:rPr>
        <w:t>染物产</w:t>
      </w:r>
      <w:r>
        <w:rPr>
          <w:rFonts w:eastAsia="黑体"/>
          <w:sz w:val="32"/>
          <w:szCs w:val="32"/>
        </w:rPr>
        <w:t>生及预计排放情况</w:t>
      </w:r>
    </w:p>
    <w:tbl>
      <w:tblPr>
        <w:tblStyle w:val="15"/>
        <w:tblW w:w="9321"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23"/>
        <w:gridCol w:w="1275"/>
        <w:gridCol w:w="1925"/>
        <w:gridCol w:w="1245"/>
        <w:gridCol w:w="1200"/>
        <w:gridCol w:w="1170"/>
        <w:gridCol w:w="1222"/>
        <w:gridCol w:w="26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452" w:hRule="atLeast"/>
        </w:trPr>
        <w:tc>
          <w:tcPr>
            <w:tcW w:w="1023" w:type="dxa"/>
            <w:vMerge w:val="restart"/>
            <w:noWrap w:val="0"/>
            <w:vAlign w:val="center"/>
          </w:tcPr>
          <w:p>
            <w:pPr>
              <w:adjustRightInd w:val="0"/>
              <w:snapToGrid w:val="0"/>
              <w:spacing w:line="440" w:lineRule="exact"/>
              <w:ind w:left="-108" w:right="-108"/>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 w:val="24"/>
                <w:highlight w:val="none"/>
              </w:rPr>
              <w:t xml:space="preserve"> </w:t>
            </w:r>
            <w:r>
              <w:rPr>
                <w:rFonts w:hint="default" w:ascii="Times New Roman" w:hAnsi="Times New Roman" w:cs="Times New Roman"/>
                <w:b/>
                <w:bCs/>
                <w:color w:val="000000"/>
                <w:szCs w:val="21"/>
                <w:highlight w:val="none"/>
              </w:rPr>
              <w:t xml:space="preserve"> 内容</w:t>
            </w:r>
          </w:p>
          <w:p>
            <w:pPr>
              <w:adjustRightInd w:val="0"/>
              <w:snapToGrid w:val="0"/>
              <w:spacing w:line="440" w:lineRule="exact"/>
              <w:ind w:left="-107"/>
              <w:rPr>
                <w:rFonts w:hint="default" w:ascii="Times New Roman" w:hAnsi="Times New Roman" w:cs="Times New Roman"/>
                <w:b/>
                <w:bCs/>
                <w:color w:val="000000"/>
                <w:sz w:val="24"/>
                <w:highlight w:val="none"/>
              </w:rPr>
            </w:pPr>
            <w:r>
              <w:rPr>
                <w:rFonts w:hint="default" w:ascii="Times New Roman" w:hAnsi="Times New Roman" w:cs="Times New Roman"/>
                <w:b/>
                <w:bCs/>
                <w:color w:val="000000"/>
                <w:szCs w:val="21"/>
                <w:highlight w:val="none"/>
              </w:rPr>
              <w:t>类型</w:t>
            </w:r>
          </w:p>
        </w:tc>
        <w:tc>
          <w:tcPr>
            <w:tcW w:w="1275" w:type="dxa"/>
            <w:vMerge w:val="restart"/>
            <w:noWrap w:val="0"/>
            <w:vAlign w:val="center"/>
          </w:tcPr>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排放源</w:t>
            </w:r>
          </w:p>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(编号)</w:t>
            </w:r>
          </w:p>
        </w:tc>
        <w:tc>
          <w:tcPr>
            <w:tcW w:w="1925" w:type="dxa"/>
            <w:vMerge w:val="restart"/>
            <w:noWrap w:val="0"/>
            <w:vAlign w:val="center"/>
          </w:tcPr>
          <w:p>
            <w:pPr>
              <w:adjustRightInd w:val="0"/>
              <w:snapToGrid w:val="0"/>
              <w:ind w:righ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污染物</w:t>
            </w:r>
          </w:p>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名称</w:t>
            </w:r>
          </w:p>
        </w:tc>
        <w:tc>
          <w:tcPr>
            <w:tcW w:w="2445" w:type="dxa"/>
            <w:gridSpan w:val="2"/>
            <w:noWrap w:val="0"/>
            <w:vAlign w:val="center"/>
          </w:tcPr>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产生浓度及产生量</w:t>
            </w:r>
          </w:p>
        </w:tc>
        <w:tc>
          <w:tcPr>
            <w:tcW w:w="2392" w:type="dxa"/>
            <w:gridSpan w:val="2"/>
            <w:noWrap w:val="0"/>
            <w:vAlign w:val="center"/>
          </w:tcPr>
          <w:p>
            <w:pPr>
              <w:tabs>
                <w:tab w:val="left" w:pos="5760"/>
              </w:tabs>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排放浓度及排放量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316" w:hRule="atLeast"/>
        </w:trPr>
        <w:tc>
          <w:tcPr>
            <w:tcW w:w="1023" w:type="dxa"/>
            <w:vMerge w:val="continue"/>
            <w:noWrap w:val="0"/>
            <w:vAlign w:val="center"/>
          </w:tcPr>
          <w:p>
            <w:pPr>
              <w:adjustRightInd w:val="0"/>
              <w:snapToGrid w:val="0"/>
              <w:ind w:left="-108"/>
              <w:jc w:val="center"/>
              <w:rPr>
                <w:rFonts w:hint="default" w:ascii="Times New Roman" w:hAnsi="Times New Roman" w:cs="Times New Roman"/>
                <w:b/>
                <w:bCs/>
                <w:color w:val="000000"/>
                <w:sz w:val="24"/>
                <w:highlight w:val="none"/>
              </w:rPr>
            </w:pPr>
          </w:p>
        </w:tc>
        <w:tc>
          <w:tcPr>
            <w:tcW w:w="1275" w:type="dxa"/>
            <w:vMerge w:val="continue"/>
            <w:noWrap w:val="0"/>
            <w:vAlign w:val="center"/>
          </w:tcPr>
          <w:p>
            <w:pPr>
              <w:adjustRightInd w:val="0"/>
              <w:snapToGrid w:val="0"/>
              <w:jc w:val="center"/>
              <w:rPr>
                <w:rFonts w:hint="default" w:ascii="Times New Roman" w:hAnsi="Times New Roman" w:cs="Times New Roman"/>
                <w:b/>
                <w:bCs/>
                <w:color w:val="000000"/>
                <w:sz w:val="24"/>
                <w:highlight w:val="none"/>
              </w:rPr>
            </w:pPr>
          </w:p>
        </w:tc>
        <w:tc>
          <w:tcPr>
            <w:tcW w:w="1925" w:type="dxa"/>
            <w:vMerge w:val="continue"/>
            <w:noWrap w:val="0"/>
            <w:vAlign w:val="center"/>
          </w:tcPr>
          <w:p>
            <w:pPr>
              <w:adjustRightInd w:val="0"/>
              <w:snapToGrid w:val="0"/>
              <w:jc w:val="center"/>
              <w:rPr>
                <w:rFonts w:hint="default" w:ascii="Times New Roman" w:hAnsi="Times New Roman" w:cs="Times New Roman"/>
                <w:b/>
                <w:bCs/>
                <w:color w:val="000000"/>
                <w:sz w:val="24"/>
                <w:highlight w:val="none"/>
              </w:rPr>
            </w:pPr>
          </w:p>
        </w:tc>
        <w:tc>
          <w:tcPr>
            <w:tcW w:w="1245"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浓度</w:t>
            </w:r>
          </w:p>
        </w:tc>
        <w:tc>
          <w:tcPr>
            <w:tcW w:w="1200"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产生量</w:t>
            </w:r>
          </w:p>
          <w:p>
            <w:pPr>
              <w:adjustRightInd w:val="0"/>
              <w:snapToGrid w:val="0"/>
              <w:ind w:left="-108" w:right="-30"/>
              <w:jc w:val="center"/>
              <w:rPr>
                <w:rFonts w:hint="default" w:ascii="Times New Roman" w:hAnsi="Times New Roman" w:cs="Times New Roman"/>
                <w:b/>
                <w:bCs/>
                <w:color w:val="000000"/>
                <w:sz w:val="24"/>
                <w:highlight w:val="none"/>
              </w:rPr>
            </w:pPr>
          </w:p>
        </w:tc>
        <w:tc>
          <w:tcPr>
            <w:tcW w:w="1170"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浓度</w:t>
            </w:r>
          </w:p>
          <w:p>
            <w:pPr>
              <w:adjustRightInd w:val="0"/>
              <w:snapToGrid w:val="0"/>
              <w:ind w:left="-108" w:right="-30"/>
              <w:jc w:val="center"/>
              <w:rPr>
                <w:rFonts w:hint="default" w:ascii="Times New Roman" w:hAnsi="Times New Roman" w:cs="Times New Roman"/>
                <w:b/>
                <w:bCs/>
                <w:color w:val="000000"/>
                <w:sz w:val="24"/>
                <w:highlight w:val="none"/>
              </w:rPr>
            </w:pPr>
          </w:p>
        </w:tc>
        <w:tc>
          <w:tcPr>
            <w:tcW w:w="1222"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排放量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381" w:hRule="atLeast"/>
        </w:trPr>
        <w:tc>
          <w:tcPr>
            <w:tcW w:w="1023" w:type="dxa"/>
            <w:vMerge w:val="restart"/>
            <w:noWrap w:val="0"/>
            <w:vAlign w:val="center"/>
          </w:tcPr>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水污</w:t>
            </w:r>
          </w:p>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染物</w:t>
            </w:r>
          </w:p>
        </w:tc>
        <w:tc>
          <w:tcPr>
            <w:tcW w:w="1275" w:type="dxa"/>
            <w:vMerge w:val="restart"/>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施工人员</w:t>
            </w:r>
            <w:r>
              <w:rPr>
                <w:rFonts w:hint="default" w:ascii="Times New Roman" w:hAnsi="Times New Roman" w:cs="Times New Roman"/>
                <w:color w:val="000000"/>
                <w:sz w:val="24"/>
                <w:szCs w:val="24"/>
                <w:highlight w:val="none"/>
              </w:rPr>
              <w:t>生活</w:t>
            </w:r>
          </w:p>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2.25</w:t>
            </w:r>
            <w:r>
              <w:rPr>
                <w:rFonts w:hint="default" w:ascii="Times New Roman" w:hAnsi="Times New Roman" w:cs="Times New Roman"/>
                <w:color w:val="000000"/>
                <w:sz w:val="24"/>
                <w:szCs w:val="24"/>
                <w:highlight w:val="none"/>
              </w:rPr>
              <w:t>t/</w:t>
            </w:r>
            <w:r>
              <w:rPr>
                <w:rFonts w:hint="eastAsia" w:ascii="Times New Roman" w:hAnsi="Times New Roman" w:cs="Times New Roman"/>
                <w:color w:val="000000"/>
                <w:sz w:val="24"/>
                <w:szCs w:val="24"/>
                <w:highlight w:val="none"/>
                <w:lang w:val="en-US" w:eastAsia="zh-CN"/>
              </w:rPr>
              <w:t>d</w:t>
            </w:r>
            <w:r>
              <w:rPr>
                <w:rFonts w:hint="default" w:ascii="Times New Roman" w:hAnsi="Times New Roman" w:cs="Times New Roman"/>
                <w:color w:val="000000"/>
                <w:sz w:val="24"/>
                <w:szCs w:val="24"/>
                <w:highlight w:val="none"/>
              </w:rPr>
              <w:t>)</w:t>
            </w:r>
          </w:p>
        </w:tc>
        <w:tc>
          <w:tcPr>
            <w:tcW w:w="1925" w:type="dxa"/>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COD</w:t>
            </w:r>
          </w:p>
        </w:tc>
        <w:tc>
          <w:tcPr>
            <w:tcW w:w="1245"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350</w:t>
            </w:r>
            <w:r>
              <w:rPr>
                <w:rFonts w:hint="default" w:ascii="Times New Roman" w:hAnsi="Times New Roman" w:eastAsia="宋体" w:cs="Times New Roman"/>
                <w:color w:val="000000"/>
                <w:sz w:val="24"/>
                <w:szCs w:val="24"/>
                <w:highlight w:val="none"/>
                <w:lang w:val="en-US" w:eastAsia="zh-CN"/>
              </w:rPr>
              <w:t>mg/L</w:t>
            </w:r>
          </w:p>
        </w:tc>
        <w:tc>
          <w:tcPr>
            <w:tcW w:w="1200"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0.</w:t>
            </w:r>
            <w:r>
              <w:rPr>
                <w:rFonts w:hint="eastAsia" w:ascii="Times New Roman" w:hAnsi="Times New Roman" w:cs="Times New Roman"/>
                <w:color w:val="000000"/>
                <w:sz w:val="24"/>
                <w:szCs w:val="24"/>
                <w:highlight w:val="none"/>
                <w:lang w:val="en-US" w:eastAsia="zh-CN"/>
              </w:rPr>
              <w:t>79</w:t>
            </w:r>
            <w:r>
              <w:rPr>
                <w:rFonts w:hint="eastAsia" w:ascii="Times New Roman" w:hAnsi="Times New Roman" w:eastAsia="宋体" w:cs="Times New Roman"/>
                <w:color w:val="000000"/>
                <w:sz w:val="24"/>
                <w:szCs w:val="24"/>
                <w:highlight w:val="none"/>
                <w:lang w:val="en-US" w:eastAsia="zh-CN"/>
              </w:rPr>
              <w:t>kg</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d</w:t>
            </w:r>
          </w:p>
        </w:tc>
        <w:tc>
          <w:tcPr>
            <w:tcW w:w="1170" w:type="dxa"/>
            <w:noWrap w:val="0"/>
            <w:vAlign w:val="center"/>
          </w:tcPr>
          <w:p>
            <w:pPr>
              <w:adjustRightInd w:val="0"/>
              <w:snapToGrid w:val="0"/>
              <w:ind w:left="-108" w:right="-3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0</w:t>
            </w:r>
          </w:p>
        </w:tc>
        <w:tc>
          <w:tcPr>
            <w:tcW w:w="1222" w:type="dxa"/>
            <w:noWrap w:val="0"/>
            <w:vAlign w:val="center"/>
          </w:tcPr>
          <w:p>
            <w:pPr>
              <w:adjustRightInd w:val="0"/>
              <w:snapToGrid w:val="0"/>
              <w:ind w:left="-108" w:right="-3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381" w:hRule="atLeast"/>
        </w:trPr>
        <w:tc>
          <w:tcPr>
            <w:tcW w:w="1023" w:type="dxa"/>
            <w:vMerge w:val="continue"/>
            <w:noWrap w:val="0"/>
            <w:vAlign w:val="center"/>
          </w:tcPr>
          <w:p>
            <w:pPr>
              <w:adjustRightInd w:val="0"/>
              <w:snapToGrid w:val="0"/>
              <w:jc w:val="center"/>
              <w:rPr>
                <w:rFonts w:hint="default" w:ascii="Times New Roman" w:hAnsi="Times New Roman" w:cs="Times New Roman"/>
                <w:highlight w:val="none"/>
              </w:rPr>
            </w:pPr>
          </w:p>
        </w:tc>
        <w:tc>
          <w:tcPr>
            <w:tcW w:w="1275" w:type="dxa"/>
            <w:vMerge w:val="continue"/>
            <w:noWrap w:val="0"/>
            <w:vAlign w:val="center"/>
          </w:tcPr>
          <w:p>
            <w:pPr>
              <w:adjustRightInd w:val="0"/>
              <w:snapToGrid w:val="0"/>
              <w:jc w:val="center"/>
              <w:rPr>
                <w:rFonts w:hint="default" w:ascii="Times New Roman" w:hAnsi="Times New Roman" w:cs="Times New Roman"/>
                <w:sz w:val="24"/>
                <w:szCs w:val="24"/>
                <w:highlight w:val="none"/>
              </w:rPr>
            </w:pPr>
          </w:p>
        </w:tc>
        <w:tc>
          <w:tcPr>
            <w:tcW w:w="1925" w:type="dxa"/>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NH</w:t>
            </w:r>
            <w:r>
              <w:rPr>
                <w:rFonts w:hint="default" w:ascii="Times New Roman" w:hAnsi="Times New Roman" w:cs="Times New Roman"/>
                <w:color w:val="000000"/>
                <w:sz w:val="24"/>
                <w:szCs w:val="24"/>
                <w:highlight w:val="none"/>
                <w:vertAlign w:val="subscript"/>
              </w:rPr>
              <w:t>3</w:t>
            </w:r>
            <w:r>
              <w:rPr>
                <w:rFonts w:hint="default" w:ascii="Times New Roman" w:hAnsi="Times New Roman" w:cs="Times New Roman"/>
                <w:color w:val="000000"/>
                <w:sz w:val="24"/>
                <w:szCs w:val="24"/>
                <w:highlight w:val="none"/>
              </w:rPr>
              <w:t>-N</w:t>
            </w:r>
          </w:p>
        </w:tc>
        <w:tc>
          <w:tcPr>
            <w:tcW w:w="1245"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cs="Times New Roman"/>
                <w:color w:val="000000"/>
                <w:sz w:val="24"/>
                <w:szCs w:val="24"/>
                <w:highlight w:val="none"/>
              </w:rPr>
              <w:t>3</w:t>
            </w:r>
            <w:r>
              <w:rPr>
                <w:rFonts w:hint="default" w:ascii="Times New Roman" w:hAnsi="Times New Roman" w:cs="Times New Roman"/>
                <w:color w:val="000000"/>
                <w:sz w:val="24"/>
                <w:szCs w:val="24"/>
                <w:highlight w:val="none"/>
                <w:lang w:val="en-US" w:eastAsia="zh-CN"/>
              </w:rPr>
              <w:t>0</w:t>
            </w:r>
            <w:r>
              <w:rPr>
                <w:rFonts w:hint="default" w:ascii="Times New Roman" w:hAnsi="Times New Roman" w:eastAsia="宋体" w:cs="Times New Roman"/>
                <w:color w:val="000000"/>
                <w:sz w:val="24"/>
                <w:szCs w:val="24"/>
                <w:highlight w:val="none"/>
                <w:lang w:val="en-US" w:eastAsia="zh-CN"/>
              </w:rPr>
              <w:t>mg/L</w:t>
            </w:r>
          </w:p>
        </w:tc>
        <w:tc>
          <w:tcPr>
            <w:tcW w:w="1200" w:type="dxa"/>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0.</w:t>
            </w:r>
            <w:r>
              <w:rPr>
                <w:rFonts w:hint="eastAsia" w:ascii="Times New Roman" w:hAnsi="Times New Roman" w:cs="Times New Roman"/>
                <w:color w:val="000000"/>
                <w:sz w:val="24"/>
                <w:szCs w:val="24"/>
                <w:highlight w:val="none"/>
                <w:lang w:val="en-US" w:eastAsia="zh-CN"/>
              </w:rPr>
              <w:t>068</w:t>
            </w:r>
            <w:r>
              <w:rPr>
                <w:rFonts w:hint="eastAsia" w:ascii="Times New Roman" w:hAnsi="Times New Roman" w:eastAsia="宋体" w:cs="Times New Roman"/>
                <w:color w:val="000000"/>
                <w:sz w:val="24"/>
                <w:szCs w:val="24"/>
                <w:highlight w:val="none"/>
                <w:lang w:val="en-US" w:eastAsia="zh-CN"/>
              </w:rPr>
              <w:t>kg</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d</w:t>
            </w:r>
          </w:p>
        </w:tc>
        <w:tc>
          <w:tcPr>
            <w:tcW w:w="1170"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0</w:t>
            </w:r>
          </w:p>
        </w:tc>
        <w:tc>
          <w:tcPr>
            <w:tcW w:w="1222"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465" w:hRule="atLeast"/>
        </w:trPr>
        <w:tc>
          <w:tcPr>
            <w:tcW w:w="1023" w:type="dxa"/>
            <w:vMerge w:val="restart"/>
            <w:noWrap w:val="0"/>
            <w:vAlign w:val="center"/>
          </w:tcPr>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固</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体</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废</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物</w:t>
            </w:r>
          </w:p>
        </w:tc>
        <w:tc>
          <w:tcPr>
            <w:tcW w:w="1275" w:type="dxa"/>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职工生活</w:t>
            </w:r>
          </w:p>
        </w:tc>
        <w:tc>
          <w:tcPr>
            <w:tcW w:w="1925" w:type="dxa"/>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生活垃圾</w:t>
            </w:r>
          </w:p>
        </w:tc>
        <w:tc>
          <w:tcPr>
            <w:tcW w:w="1245" w:type="dxa"/>
            <w:noWrap w:val="0"/>
            <w:vAlign w:val="center"/>
          </w:tcPr>
          <w:p>
            <w:pPr>
              <w:adjustRightInd w:val="0"/>
              <w:snapToGrid w:val="0"/>
              <w:ind w:left="-108" w:right="-3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t>
            </w:r>
          </w:p>
        </w:tc>
        <w:tc>
          <w:tcPr>
            <w:tcW w:w="1200" w:type="dxa"/>
            <w:noWrap w:val="0"/>
            <w:vAlign w:val="center"/>
          </w:tcPr>
          <w:p>
            <w:pPr>
              <w:widowControl/>
              <w:adjustRightInd w:val="0"/>
              <w:snapToGrid w:val="0"/>
              <w:jc w:val="center"/>
              <w:rPr>
                <w:rFonts w:hint="default" w:ascii="Times New Roman" w:hAnsi="Times New Roman" w:eastAsia="宋体" w:cs="Times New Roman"/>
                <w:kern w:val="0"/>
                <w:sz w:val="24"/>
                <w:szCs w:val="24"/>
                <w:highlight w:val="yellow"/>
                <w:lang w:val="en-US" w:eastAsia="zh-CN"/>
              </w:rPr>
            </w:pPr>
            <w:r>
              <w:rPr>
                <w:rFonts w:hint="eastAsia" w:ascii="Times New Roman" w:hAnsi="Times New Roman" w:eastAsia="宋体" w:cs="Times New Roman"/>
                <w:kern w:val="0"/>
                <w:sz w:val="24"/>
                <w:szCs w:val="24"/>
                <w:highlight w:val="none"/>
                <w:lang w:val="en-US" w:eastAsia="zh-CN"/>
              </w:rPr>
              <w:t>7.5</w:t>
            </w:r>
            <w:r>
              <w:rPr>
                <w:rFonts w:hint="eastAsia" w:ascii="Times New Roman" w:hAnsi="Times New Roman" w:eastAsia="宋体" w:cs="Times New Roman"/>
                <w:color w:val="000000"/>
                <w:sz w:val="24"/>
                <w:szCs w:val="24"/>
                <w:highlight w:val="none"/>
                <w:lang w:val="en-US" w:eastAsia="zh-CN"/>
              </w:rPr>
              <w:t>kg</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d</w:t>
            </w:r>
          </w:p>
        </w:tc>
        <w:tc>
          <w:tcPr>
            <w:tcW w:w="2392" w:type="dxa"/>
            <w:gridSpan w:val="2"/>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454" w:hRule="atLeast"/>
        </w:trPr>
        <w:tc>
          <w:tcPr>
            <w:tcW w:w="1023" w:type="dxa"/>
            <w:vMerge w:val="continue"/>
            <w:noWrap w:val="0"/>
            <w:vAlign w:val="center"/>
          </w:tcPr>
          <w:p>
            <w:pPr>
              <w:adjustRightInd w:val="0"/>
              <w:snapToGrid w:val="0"/>
              <w:ind w:left="-108"/>
              <w:jc w:val="center"/>
              <w:rPr>
                <w:rFonts w:hint="default" w:ascii="Times New Roman" w:hAnsi="Times New Roman" w:cs="Times New Roman"/>
                <w:b/>
                <w:bCs/>
                <w:color w:val="000000"/>
                <w:sz w:val="24"/>
                <w:highlight w:val="none"/>
              </w:rPr>
            </w:pPr>
          </w:p>
        </w:tc>
        <w:tc>
          <w:tcPr>
            <w:tcW w:w="1275" w:type="dxa"/>
            <w:noWrap w:val="0"/>
            <w:vAlign w:val="center"/>
          </w:tcPr>
          <w:p>
            <w:pPr>
              <w:widowControl/>
              <w:adjustRightInd w:val="0"/>
              <w:snapToGrid w:val="0"/>
              <w:jc w:val="center"/>
              <w:rPr>
                <w:rFonts w:hint="eastAsia" w:ascii="Times New Roman" w:hAnsi="Times New Roman" w:eastAsia="宋体" w:cs="Times New Roman"/>
                <w:kern w:val="0"/>
                <w:sz w:val="24"/>
                <w:szCs w:val="24"/>
                <w:highlight w:val="none"/>
                <w:lang w:eastAsia="zh-CN"/>
              </w:rPr>
            </w:pPr>
            <w:r>
              <w:rPr>
                <w:rFonts w:hint="eastAsia" w:ascii="Times New Roman" w:hAnsi="Times New Roman" w:cs="Times New Roman"/>
                <w:kern w:val="0"/>
                <w:sz w:val="24"/>
                <w:szCs w:val="24"/>
                <w:highlight w:val="none"/>
                <w:lang w:eastAsia="zh-CN"/>
              </w:rPr>
              <w:t>施工</w:t>
            </w:r>
          </w:p>
        </w:tc>
        <w:tc>
          <w:tcPr>
            <w:tcW w:w="1925" w:type="dxa"/>
            <w:noWrap w:val="0"/>
            <w:vAlign w:val="center"/>
          </w:tcPr>
          <w:p>
            <w:pPr>
              <w:widowControl/>
              <w:adjustRightInd w:val="0"/>
              <w:snapToGrid w:val="0"/>
              <w:jc w:val="center"/>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废弃防腐材料</w:t>
            </w:r>
          </w:p>
        </w:tc>
        <w:tc>
          <w:tcPr>
            <w:tcW w:w="1245" w:type="dxa"/>
            <w:noWrap w:val="0"/>
            <w:vAlign w:val="center"/>
          </w:tcPr>
          <w:p>
            <w:pPr>
              <w:adjustRightInd w:val="0"/>
              <w:snapToGrid w:val="0"/>
              <w:ind w:left="-108" w:right="-3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t>
            </w:r>
          </w:p>
        </w:tc>
        <w:tc>
          <w:tcPr>
            <w:tcW w:w="1200" w:type="dxa"/>
            <w:noWrap w:val="0"/>
            <w:vAlign w:val="center"/>
          </w:tcPr>
          <w:p>
            <w:pPr>
              <w:widowControl/>
              <w:adjustRightInd w:val="0"/>
              <w:snapToGrid w:val="0"/>
              <w:jc w:val="center"/>
              <w:rPr>
                <w:rFonts w:hint="default" w:ascii="Times New Roman" w:hAnsi="Times New Roman" w:eastAsia="宋体" w:cs="Times New Roman"/>
                <w:kern w:val="0"/>
                <w:sz w:val="24"/>
                <w:szCs w:val="24"/>
                <w:highlight w:val="yellow"/>
                <w:lang w:val="en-US" w:eastAsia="zh-CN"/>
              </w:rPr>
            </w:pPr>
            <w:r>
              <w:rPr>
                <w:rFonts w:hint="eastAsia" w:ascii="Times New Roman" w:hAnsi="Times New Roman" w:cs="Times New Roman"/>
                <w:color w:val="000000"/>
                <w:kern w:val="0"/>
                <w:sz w:val="24"/>
                <w:szCs w:val="24"/>
                <w:highlight w:val="none"/>
                <w:lang w:val="en-US" w:eastAsia="zh-CN"/>
              </w:rPr>
              <w:t>40t</w:t>
            </w:r>
          </w:p>
        </w:tc>
        <w:tc>
          <w:tcPr>
            <w:tcW w:w="2392" w:type="dxa"/>
            <w:gridSpan w:val="2"/>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90" w:hRule="atLeast"/>
        </w:trPr>
        <w:tc>
          <w:tcPr>
            <w:tcW w:w="1023" w:type="dxa"/>
            <w:noWrap w:val="0"/>
            <w:vAlign w:val="center"/>
          </w:tcPr>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噪</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声</w:t>
            </w:r>
          </w:p>
        </w:tc>
        <w:tc>
          <w:tcPr>
            <w:tcW w:w="8037" w:type="dxa"/>
            <w:gridSpan w:val="6"/>
            <w:noWrap w:val="0"/>
            <w:vAlign w:val="center"/>
          </w:tcPr>
          <w:p>
            <w:pPr>
              <w:adjustRightInd w:val="0"/>
              <w:snapToGrid w:val="0"/>
              <w:spacing w:line="460" w:lineRule="exact"/>
              <w:ind w:left="-108" w:right="-28"/>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color w:val="000000"/>
                <w:sz w:val="24"/>
                <w:highlight w:val="none"/>
              </w:rPr>
              <w:t>本项目</w:t>
            </w:r>
            <w:r>
              <w:rPr>
                <w:rFonts w:hint="eastAsia" w:ascii="Times New Roman" w:hAnsi="Times New Roman" w:cs="Times New Roman"/>
                <w:color w:val="000000"/>
                <w:sz w:val="24"/>
                <w:highlight w:val="none"/>
                <w:lang w:eastAsia="zh-CN"/>
              </w:rPr>
              <w:t>运营期不产生噪声</w:t>
            </w:r>
            <w:r>
              <w:rPr>
                <w:rFonts w:hint="default" w:ascii="Times New Roman" w:hAnsi="Times New Roman" w:cs="Times New Roman"/>
                <w:sz w:val="24"/>
                <w:highlight w:val="none"/>
              </w:rPr>
              <w:t>，</w:t>
            </w:r>
            <w:r>
              <w:rPr>
                <w:rFonts w:hint="eastAsia" w:ascii="Times New Roman" w:hAnsi="Times New Roman" w:cs="Times New Roman"/>
                <w:sz w:val="24"/>
                <w:highlight w:val="none"/>
                <w:lang w:eastAsia="zh-CN"/>
              </w:rPr>
              <w:t>施工其产生的噪声主要为施工机械及车辆产生的运行噪声，通过围挡隔离，距离衰减能满足</w:t>
            </w:r>
            <w:r>
              <w:rPr>
                <w:rFonts w:hint="default" w:ascii="Times New Roman" w:hAnsi="Times New Roman" w:cs="Times New Roman"/>
                <w:sz w:val="24"/>
                <w:highlight w:val="none"/>
              </w:rPr>
              <w:t>《</w:t>
            </w:r>
            <w:r>
              <w:rPr>
                <w:rFonts w:hint="eastAsia" w:ascii="Times New Roman" w:hAnsi="Times New Roman" w:cs="Times New Roman"/>
                <w:sz w:val="24"/>
                <w:highlight w:val="none"/>
                <w:lang w:eastAsia="zh-CN"/>
              </w:rPr>
              <w:t>建筑施工厂界</w:t>
            </w:r>
            <w:r>
              <w:rPr>
                <w:rFonts w:hint="default" w:ascii="Times New Roman" w:hAnsi="Times New Roman" w:cs="Times New Roman"/>
                <w:sz w:val="24"/>
                <w:highlight w:val="none"/>
              </w:rPr>
              <w:t>环境噪声排放标准》要求。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1039" w:hRule="atLeast"/>
        </w:trPr>
        <w:tc>
          <w:tcPr>
            <w:tcW w:w="1023" w:type="dxa"/>
            <w:noWrap w:val="0"/>
            <w:vAlign w:val="center"/>
          </w:tcPr>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其他</w:t>
            </w:r>
          </w:p>
        </w:tc>
        <w:tc>
          <w:tcPr>
            <w:tcW w:w="8037" w:type="dxa"/>
            <w:gridSpan w:val="6"/>
            <w:noWrap w:val="0"/>
            <w:vAlign w:val="center"/>
          </w:tcPr>
          <w:p>
            <w:pPr>
              <w:adjustRightInd w:val="0"/>
              <w:snapToGrid w:val="0"/>
              <w:ind w:right="-30"/>
              <w:jc w:val="center"/>
              <w:rPr>
                <w:rFonts w:hint="default" w:ascii="Times New Roman" w:hAnsi="Times New Roman" w:cs="Times New Roman"/>
                <w:spacing w:val="-14"/>
                <w:szCs w:val="21"/>
                <w:highlight w:val="none"/>
              </w:rPr>
            </w:pPr>
            <w:r>
              <w:rPr>
                <w:rFonts w:hint="default" w:ascii="Times New Roman" w:hAnsi="Times New Roman" w:cs="Times New Roman"/>
                <w:spacing w:val="-14"/>
                <w:szCs w:val="21"/>
                <w:highlight w:val="none"/>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841" w:hRule="atLeast"/>
        </w:trPr>
        <w:tc>
          <w:tcPr>
            <w:tcW w:w="9060" w:type="dxa"/>
            <w:gridSpan w:val="7"/>
            <w:noWrap w:val="0"/>
            <w:vAlign w:val="top"/>
          </w:tcPr>
          <w:p>
            <w:pPr>
              <w:adjustRightInd w:val="0"/>
              <w:snapToGrid w:val="0"/>
              <w:spacing w:line="520" w:lineRule="exact"/>
              <w:rPr>
                <w:rFonts w:hint="default" w:ascii="Times New Roman" w:hAnsi="Times New Roman" w:cs="Times New Roman"/>
                <w:sz w:val="24"/>
                <w:highlight w:val="none"/>
              </w:rPr>
            </w:pPr>
            <w:r>
              <w:rPr>
                <w:rFonts w:hint="default" w:ascii="Times New Roman" w:hAnsi="Times New Roman" w:cs="Times New Roman"/>
                <w:sz w:val="24"/>
                <w:highlight w:val="none"/>
              </w:rPr>
              <w:t>主要生态影响</w:t>
            </w:r>
          </w:p>
          <w:p>
            <w:pPr>
              <w:adjustRightInd w:val="0"/>
              <w:snapToGrid w:val="0"/>
              <w:spacing w:line="440" w:lineRule="exact"/>
              <w:ind w:left="-6" w:right="-28" w:firstLine="379" w:firstLineChars="158"/>
              <w:rPr>
                <w:rFonts w:hint="default" w:ascii="Times New Roman" w:hAnsi="Times New Roman" w:cs="Times New Roman"/>
                <w:sz w:val="24"/>
                <w:highlight w:val="none"/>
              </w:rPr>
            </w:pPr>
            <w:r>
              <w:rPr>
                <w:rFonts w:hint="default" w:ascii="Times New Roman" w:hAnsi="Times New Roman" w:cs="Times New Roman"/>
                <w:sz w:val="24"/>
                <w:highlight w:val="none"/>
              </w:rPr>
              <w:t>本项目为新建项目，</w:t>
            </w:r>
            <w:r>
              <w:rPr>
                <w:rFonts w:hint="eastAsia" w:ascii="Times New Roman" w:hAnsi="Times New Roman" w:cs="Times New Roman"/>
                <w:sz w:val="24"/>
                <w:highlight w:val="none"/>
                <w:lang w:eastAsia="zh-CN"/>
              </w:rPr>
              <w:t>且沿乡镇道路铺设，</w:t>
            </w:r>
            <w:r>
              <w:rPr>
                <w:rFonts w:hint="default" w:ascii="Times New Roman" w:hAnsi="Times New Roman" w:cs="Times New Roman"/>
                <w:sz w:val="24"/>
                <w:highlight w:val="none"/>
              </w:rPr>
              <w:t>项目周围为农田、空地、村庄。项目建成后不改变原有的地形地貌，对周围自然环境不造成破坏，项目建设对生态环境影响较小。</w:t>
            </w:r>
          </w:p>
          <w:p>
            <w:pPr>
              <w:adjustRightInd w:val="0"/>
              <w:snapToGrid w:val="0"/>
              <w:spacing w:line="440" w:lineRule="exact"/>
              <w:ind w:left="-6" w:right="-28" w:firstLine="379" w:firstLineChars="158"/>
              <w:rPr>
                <w:rFonts w:hint="default" w:ascii="Times New Roman" w:hAnsi="Times New Roman" w:cs="Times New Roman"/>
                <w:sz w:val="24"/>
                <w:highlight w:val="none"/>
              </w:rPr>
            </w:pPr>
          </w:p>
          <w:p>
            <w:pPr>
              <w:adjustRightInd w:val="0"/>
              <w:snapToGrid w:val="0"/>
              <w:spacing w:line="440" w:lineRule="exact"/>
              <w:ind w:left="-6" w:right="-28" w:firstLine="379" w:firstLineChars="158"/>
              <w:rPr>
                <w:rFonts w:hint="default" w:ascii="Times New Roman" w:hAnsi="Times New Roman" w:cs="Times New Roman"/>
                <w:sz w:val="24"/>
                <w:highlight w:val="none"/>
              </w:rPr>
            </w:pPr>
          </w:p>
          <w:p>
            <w:pPr>
              <w:adjustRightInd w:val="0"/>
              <w:snapToGrid w:val="0"/>
              <w:spacing w:line="440" w:lineRule="exact"/>
              <w:ind w:left="-6" w:right="-28" w:firstLine="379" w:firstLineChars="158"/>
              <w:rPr>
                <w:rFonts w:hint="default" w:ascii="Times New Roman" w:hAnsi="Times New Roman" w:cs="Times New Roman"/>
                <w:sz w:val="24"/>
                <w:highlight w:val="none"/>
              </w:rPr>
            </w:pPr>
          </w:p>
          <w:p>
            <w:pPr>
              <w:adjustRightInd w:val="0"/>
              <w:snapToGrid w:val="0"/>
              <w:spacing w:line="440" w:lineRule="exact"/>
              <w:ind w:left="-6" w:right="-28" w:firstLine="379" w:firstLineChars="158"/>
              <w:rPr>
                <w:rFonts w:hint="default" w:ascii="Times New Roman" w:hAnsi="Times New Roman" w:cs="Times New Roman"/>
                <w:sz w:val="24"/>
                <w:highlight w:val="none"/>
              </w:rPr>
            </w:pPr>
          </w:p>
          <w:p>
            <w:pPr>
              <w:bidi w:val="0"/>
              <w:rPr>
                <w:rFonts w:hint="default" w:ascii="Times New Roman" w:hAnsi="Times New Roman" w:cs="Times New Roman"/>
              </w:rPr>
            </w:pPr>
          </w:p>
          <w:p>
            <w:pPr>
              <w:bidi w:val="0"/>
              <w:rPr>
                <w:rFonts w:hint="default" w:ascii="Times New Roman" w:hAnsi="Times New Roman" w:cs="Times New Roman"/>
              </w:rPr>
            </w:pPr>
          </w:p>
          <w:p>
            <w:pPr>
              <w:pStyle w:val="21"/>
              <w:rPr>
                <w:rFonts w:hint="default" w:ascii="Times New Roman" w:hAnsi="Times New Roman" w:eastAsia="宋体" w:cs="Times New Roman"/>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bidi w:val="0"/>
              <w:rPr>
                <w:rFonts w:hint="default" w:ascii="Times New Roman" w:hAnsi="Times New Roman" w:cs="Times New Roman"/>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28" w:hRule="atLeast"/>
        </w:trPr>
        <w:tc>
          <w:tcPr>
            <w:tcW w:w="9321" w:type="dxa"/>
            <w:gridSpan w:val="8"/>
            <w:noWrap w:val="0"/>
            <w:vAlign w:val="top"/>
          </w:tcPr>
          <w:p>
            <w:pPr>
              <w:jc w:val="left"/>
              <w:rPr>
                <w:rFonts w:hint="default" w:ascii="Times New Roman" w:hAnsi="Times New Roman" w:eastAsia="黑体" w:cs="Times New Roman"/>
                <w:bCs/>
                <w:sz w:val="24"/>
                <w:highlight w:val="none"/>
              </w:rPr>
            </w:pPr>
            <w:r>
              <w:rPr>
                <w:rFonts w:hint="default" w:ascii="Times New Roman" w:hAnsi="Times New Roman" w:cs="Times New Roman"/>
                <w:sz w:val="32"/>
                <w:highlight w:val="none"/>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-391795</wp:posOffset>
                      </wp:positionV>
                      <wp:extent cx="1428115" cy="415290"/>
                      <wp:effectExtent l="0" t="0" r="0" b="0"/>
                      <wp:wrapNone/>
                      <wp:docPr id="21" name="矩形 21"/>
                      <wp:cNvGraphicFramePr/>
                      <a:graphic xmlns:a="http://schemas.openxmlformats.org/drawingml/2006/main">
                        <a:graphicData uri="http://schemas.microsoft.com/office/word/2010/wordprocessingShape">
                          <wps:wsp>
                            <wps:cNvSpPr/>
                            <wps:spPr>
                              <a:xfrm>
                                <a:off x="0" y="0"/>
                                <a:ext cx="1428115" cy="415290"/>
                              </a:xfrm>
                              <a:prstGeom prst="rect">
                                <a:avLst/>
                              </a:prstGeom>
                              <a:noFill/>
                              <a:ln>
                                <a:noFill/>
                              </a:ln>
                            </wps:spPr>
                            <wps:txbx>
                              <w:txbxContent>
                                <w:p>
                                  <w:pPr>
                                    <w:spacing w:line="480" w:lineRule="exact"/>
                                    <w:rPr>
                                      <w:rFonts w:eastAsia="黑体"/>
                                      <w:bCs/>
                                      <w:sz w:val="32"/>
                                      <w:szCs w:val="32"/>
                                    </w:rPr>
                                  </w:pPr>
                                  <w:r>
                                    <w:rPr>
                                      <w:rFonts w:eastAsia="黑体"/>
                                      <w:bCs/>
                                      <w:sz w:val="32"/>
                                      <w:szCs w:val="32"/>
                                    </w:rPr>
                                    <w:t>环境影响分析</w:t>
                                  </w:r>
                                </w:p>
                                <w:p/>
                              </w:txbxContent>
                            </wps:txbx>
                            <wps:bodyPr upright="1"/>
                          </wps:wsp>
                        </a:graphicData>
                      </a:graphic>
                    </wp:anchor>
                  </w:drawing>
                </mc:Choice>
                <mc:Fallback>
                  <w:pict>
                    <v:rect id="_x0000_s1026" o:spid="_x0000_s1026" o:spt="1" style="position:absolute;left:0pt;margin-left:0.45pt;margin-top:-30.85pt;height:32.7pt;width:112.45pt;z-index:251659264;mso-width-relative:page;mso-height-relative:page;" filled="f" stroked="f" coordsize="21600,21600" o:gfxdata="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uprm1wAAAAYBAAAPAAAAAAAAAAEAIAAAACIAAABkcnMvZG93bnJldi54bWxQSwEC&#10;FAAUAAAACACHTuJATEiDPYMBAAD1AgAADgAAAAAAAAABACAAAAAmAQAAZHJzL2Uyb0RvYy54bWxQ&#10;SwUGAAAAAAYABgBZAQAAGwUAAAAA&#10;">
                      <v:fill on="f" focussize="0,0"/>
                      <v:stroke on="f"/>
                      <v:imagedata o:title=""/>
                      <o:lock v:ext="edit" aspectratio="f"/>
                      <v:textbox>
                        <w:txbxContent>
                          <w:p>
                            <w:pPr>
                              <w:spacing w:line="480" w:lineRule="exact"/>
                              <w:rPr>
                                <w:rFonts w:eastAsia="黑体"/>
                                <w:bCs/>
                                <w:sz w:val="32"/>
                                <w:szCs w:val="32"/>
                              </w:rPr>
                            </w:pPr>
                            <w:r>
                              <w:rPr>
                                <w:rFonts w:eastAsia="黑体"/>
                                <w:bCs/>
                                <w:sz w:val="32"/>
                                <w:szCs w:val="32"/>
                              </w:rPr>
                              <w:t>环境影响分析</w:t>
                            </w:r>
                          </w:p>
                          <w:p/>
                        </w:txbxContent>
                      </v:textbox>
                    </v:rect>
                  </w:pict>
                </mc:Fallback>
              </mc:AlternateContent>
            </w:r>
            <w:r>
              <w:rPr>
                <w:rFonts w:hint="default" w:ascii="Times New Roman" w:hAnsi="Times New Roman" w:eastAsia="黑体" w:cs="Times New Roman"/>
                <w:bCs/>
                <w:sz w:val="24"/>
                <w:highlight w:val="none"/>
              </w:rPr>
              <w:t>施工期环境影响分析：</w:t>
            </w:r>
          </w:p>
          <w:p>
            <w:pPr>
              <w:adjustRightInd w:val="0"/>
              <w:snapToGrid w:val="0"/>
              <w:spacing w:line="520" w:lineRule="exact"/>
              <w:ind w:firstLine="361" w:firstLineChars="150"/>
              <w:jc w:val="left"/>
              <w:rPr>
                <w:rFonts w:hint="default" w:ascii="Times New Roman" w:hAnsi="Times New Roman" w:cs="Times New Roman"/>
                <w:bCs/>
                <w:color w:val="000000"/>
                <w:sz w:val="24"/>
                <w:highlight w:val="none"/>
              </w:rPr>
            </w:pPr>
            <w:r>
              <w:rPr>
                <w:rFonts w:hint="default" w:ascii="Times New Roman" w:hAnsi="Times New Roman" w:cs="Times New Roman"/>
                <w:b/>
                <w:color w:val="000000"/>
                <w:sz w:val="24"/>
                <w:highlight w:val="none"/>
              </w:rPr>
              <w:t>1、施工期废气对环境的影响分析</w:t>
            </w:r>
          </w:p>
          <w:p>
            <w:pPr>
              <w:pStyle w:val="8"/>
              <w:adjustRightInd w:val="0"/>
              <w:snapToGrid w:val="0"/>
              <w:spacing w:line="520" w:lineRule="exact"/>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1、大气环境影响分析</w:t>
            </w:r>
          </w:p>
          <w:p>
            <w:pPr>
              <w:pStyle w:val="5"/>
              <w:adjustRightInd w:val="0"/>
              <w:snapToGrid w:val="0"/>
              <w:spacing w:before="0" w:after="0" w:line="520" w:lineRule="exact"/>
              <w:ind w:firstLine="480" w:firstLineChars="200"/>
              <w:jc w:val="left"/>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（1）施工扬尘影响分析</w:t>
            </w:r>
          </w:p>
          <w:p>
            <w:pPr>
              <w:pStyle w:val="9"/>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工程产生扬尘污染主要来源于土石方填挖及材料装卸等环节。据有关资料介绍，能产生扬尘的颗粒物粒经分布为：＜5μm的占8%，5～20μm的占24%，＞20μm占68%。施工面及施工便道有大量的颗粒物粒径在可产生扬尘的粒径范围内，极易造成粉尘污染。据类似区域施工现场监测结果，离施工现场50m处，TSP日均浓度为1.13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，离现场200m处为0.47mg/m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pStyle w:val="9"/>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szCs w:val="24"/>
              </w:rPr>
              <w:t>当天气晴朗时，在施工期间实施洒水抑尘，每天洒水4～5次，可使扬尘减少70%左右，表</w:t>
            </w:r>
            <w:r>
              <w:rPr>
                <w:rFonts w:hint="eastAsia" w:ascii="Times New Roman" w:hAnsi="Times New Roman" w:cs="Times New Roman"/>
                <w:sz w:val="24"/>
                <w:szCs w:val="24"/>
                <w:lang w:val="en-US" w:eastAsia="zh-CN"/>
              </w:rPr>
              <w:t>13</w:t>
            </w:r>
            <w:r>
              <w:rPr>
                <w:rFonts w:hint="default" w:ascii="Times New Roman" w:hAnsi="Times New Roman" w:cs="Times New Roman"/>
                <w:sz w:val="24"/>
                <w:szCs w:val="24"/>
              </w:rPr>
              <w:t>为施工场地洒水抑尘的试验结果。</w:t>
            </w:r>
          </w:p>
          <w:p>
            <w:pPr>
              <w:adjustRightInd w:val="0"/>
              <w:snapToGrid w:val="0"/>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13</w:t>
            </w:r>
            <w:r>
              <w:rPr>
                <w:rFonts w:hint="default" w:ascii="Times New Roman" w:hAnsi="Times New Roman" w:eastAsia="黑体" w:cs="Times New Roman"/>
                <w:kern w:val="0"/>
                <w:sz w:val="24"/>
              </w:rPr>
              <w:t xml:space="preserve">    施工场地洒水抑尘试验结果（天晴时）</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6"/>
              <w:gridCol w:w="1118"/>
              <w:gridCol w:w="1336"/>
              <w:gridCol w:w="1360"/>
              <w:gridCol w:w="1311"/>
              <w:gridCol w:w="1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5" w:hRule="atLeast"/>
                <w:jc w:val="center"/>
              </w:trPr>
              <w:tc>
                <w:tcPr>
                  <w:tcW w:w="1842" w:type="pct"/>
                  <w:gridSpan w:val="2"/>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距离（m）</w:t>
                  </w:r>
                </w:p>
              </w:tc>
              <w:tc>
                <w:tcPr>
                  <w:tcW w:w="73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5</w:t>
                  </w:r>
                </w:p>
              </w:tc>
              <w:tc>
                <w:tcPr>
                  <w:tcW w:w="749"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20</w:t>
                  </w:r>
                </w:p>
              </w:tc>
              <w:tc>
                <w:tcPr>
                  <w:tcW w:w="723"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50</w:t>
                  </w:r>
                </w:p>
              </w:tc>
              <w:tc>
                <w:tcPr>
                  <w:tcW w:w="950"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jc w:val="center"/>
              </w:trPr>
              <w:tc>
                <w:tcPr>
                  <w:tcW w:w="1226" w:type="pct"/>
                  <w:vMerge w:val="restar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TSP小时平均浓度</w:t>
                  </w:r>
                </w:p>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(mg/m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61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不洒水</w:t>
                  </w:r>
                </w:p>
              </w:tc>
              <w:tc>
                <w:tcPr>
                  <w:tcW w:w="73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10.14</w:t>
                  </w:r>
                </w:p>
              </w:tc>
              <w:tc>
                <w:tcPr>
                  <w:tcW w:w="749"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2.89</w:t>
                  </w:r>
                </w:p>
              </w:tc>
              <w:tc>
                <w:tcPr>
                  <w:tcW w:w="723"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1.15</w:t>
                  </w:r>
                </w:p>
              </w:tc>
              <w:tc>
                <w:tcPr>
                  <w:tcW w:w="950"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 w:hRule="atLeast"/>
                <w:jc w:val="center"/>
              </w:trPr>
              <w:tc>
                <w:tcPr>
                  <w:tcW w:w="1226" w:type="pct"/>
                  <w:vMerge w:val="continue"/>
                  <w:noWrap w:val="0"/>
                  <w:vAlign w:val="center"/>
                </w:tcPr>
                <w:p>
                  <w:pPr>
                    <w:pStyle w:val="4"/>
                    <w:adjustRightInd w:val="0"/>
                    <w:snapToGrid w:val="0"/>
                    <w:ind w:firstLine="0"/>
                    <w:jc w:val="center"/>
                    <w:rPr>
                      <w:rFonts w:hint="default" w:ascii="Times New Roman" w:hAnsi="Times New Roman" w:cs="Times New Roman"/>
                      <w:sz w:val="21"/>
                    </w:rPr>
                  </w:pPr>
                </w:p>
              </w:tc>
              <w:tc>
                <w:tcPr>
                  <w:tcW w:w="61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洒水</w:t>
                  </w:r>
                </w:p>
              </w:tc>
              <w:tc>
                <w:tcPr>
                  <w:tcW w:w="73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2.01</w:t>
                  </w:r>
                </w:p>
              </w:tc>
              <w:tc>
                <w:tcPr>
                  <w:tcW w:w="749"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1.40</w:t>
                  </w:r>
                </w:p>
              </w:tc>
              <w:tc>
                <w:tcPr>
                  <w:tcW w:w="723"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0.67</w:t>
                  </w:r>
                </w:p>
              </w:tc>
              <w:tc>
                <w:tcPr>
                  <w:tcW w:w="950"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0.60</w:t>
                  </w:r>
                </w:p>
              </w:tc>
            </w:tr>
          </w:tbl>
          <w:p>
            <w:pPr>
              <w:pStyle w:val="9"/>
              <w:snapToGrid w:val="0"/>
              <w:spacing w:line="520" w:lineRule="exact"/>
              <w:ind w:firstLine="480" w:firstLineChars="200"/>
              <w:rPr>
                <w:rFonts w:hint="default" w:ascii="Times New Roman" w:hAnsi="Times New Roman" w:cs="Times New Roman"/>
                <w:b/>
                <w:sz w:val="24"/>
                <w:szCs w:val="24"/>
              </w:rPr>
            </w:pPr>
            <w:r>
              <w:rPr>
                <w:rFonts w:hint="default" w:ascii="Times New Roman" w:hAnsi="Times New Roman" w:cs="Times New Roman"/>
                <w:sz w:val="24"/>
                <w:szCs w:val="24"/>
              </w:rPr>
              <w:t>由表</w:t>
            </w:r>
            <w:r>
              <w:rPr>
                <w:rFonts w:hint="eastAsia" w:ascii="Times New Roman" w:hAnsi="Times New Roman" w:cs="Times New Roman"/>
                <w:sz w:val="24"/>
                <w:szCs w:val="24"/>
                <w:lang w:val="en-US" w:eastAsia="zh-CN"/>
              </w:rPr>
              <w:t>13</w:t>
            </w:r>
            <w:r>
              <w:rPr>
                <w:rFonts w:hint="default" w:ascii="Times New Roman" w:hAnsi="Times New Roman" w:cs="Times New Roman"/>
                <w:sz w:val="24"/>
                <w:szCs w:val="24"/>
              </w:rPr>
              <w:t>可见，在不洒水的情况下，施工现场对周围环境的影响较严重，离施工现场50m处，TSP日均浓度为1.13mg/m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，超标2.77倍；离现场200m处为0.47mg/m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，超标0.56倍；离现场300m处为0.22mg/m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能满足《环境空气质量标准》（GB3095-2012）二级标准。因此，在项目施工期间，施工围墙外300m范围内的敏感点会受到施工扬尘的影响。可见，每天洒水4～5次进行抑尘，可有效地控制施工扬尘，经过洒水抑尘后项目场地外TSP浓度可达标，且项目场址已建有围挡，因此施工扬尘对周边环境影响不大。</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（2）运输车辆扬尘影响分析</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运输产生的扬尘是一个非常重要的污染源。据有关调查显示，运输车辆行驶产生的扬尘，与道路路面及车辆行驶速度有关，约占扬尘总量的60%。在完全干燥情况下，可按经验公式计算：</w:t>
            </w:r>
          </w:p>
          <w:p>
            <w:pPr>
              <w:pStyle w:val="9"/>
              <w:snapToGrid w:val="0"/>
              <w:spacing w:line="520" w:lineRule="exact"/>
              <w:ind w:firstLine="420" w:firstLineChars="200"/>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354965</wp:posOffset>
                  </wp:positionH>
                  <wp:positionV relativeFrom="paragraph">
                    <wp:posOffset>276225</wp:posOffset>
                  </wp:positionV>
                  <wp:extent cx="1819275" cy="388620"/>
                  <wp:effectExtent l="0" t="0" r="9525" b="11430"/>
                  <wp:wrapNone/>
                  <wp:docPr id="2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1"/>
                          <pic:cNvPicPr>
                            <a:picLocks noChangeAspect="1"/>
                          </pic:cNvPicPr>
                        </pic:nvPicPr>
                        <pic:blipFill>
                          <a:blip r:embed="rId16"/>
                          <a:stretch>
                            <a:fillRect/>
                          </a:stretch>
                        </pic:blipFill>
                        <pic:spPr>
                          <a:xfrm>
                            <a:off x="0" y="0"/>
                            <a:ext cx="1819275" cy="388620"/>
                          </a:xfrm>
                          <a:prstGeom prst="rect">
                            <a:avLst/>
                          </a:prstGeom>
                          <a:noFill/>
                          <a:ln>
                            <a:noFill/>
                          </a:ln>
                        </pic:spPr>
                      </pic:pic>
                    </a:graphicData>
                  </a:graphic>
                </wp:anchor>
              </w:drawing>
            </w:r>
          </w:p>
          <w:p>
            <w:pPr>
              <w:pStyle w:val="9"/>
              <w:snapToGrid w:val="0"/>
              <w:spacing w:line="520" w:lineRule="exact"/>
              <w:ind w:firstLine="480" w:firstLineChars="200"/>
              <w:rPr>
                <w:rFonts w:hint="default" w:ascii="Times New Roman" w:hAnsi="Times New Roman" w:cs="Times New Roman"/>
                <w:sz w:val="24"/>
                <w:szCs w:val="24"/>
              </w:rPr>
            </w:pP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式中：Q ——汽车行驶的扬尘，kg/km·辆；</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 ——汽车速度，km/h；</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 ——汽车载重量，t；</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P ——道路表面粉尘量，kg/m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一辆载重5t的卡车，通过一段长度为500m的路面时，不同表面清洁程度，不同行驶速度情况下产生的扬尘量如表</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rPr>
              <w:t>所示。</w:t>
            </w:r>
          </w:p>
          <w:p>
            <w:pPr>
              <w:adjustRightInd w:val="0"/>
              <w:snapToGrid w:val="0"/>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14</w:t>
            </w:r>
            <w:r>
              <w:rPr>
                <w:rFonts w:hint="default" w:ascii="Times New Roman" w:hAnsi="Times New Roman" w:eastAsia="黑体" w:cs="Times New Roman"/>
                <w:kern w:val="0"/>
                <w:sz w:val="24"/>
              </w:rPr>
              <w:t xml:space="preserve">  不同车速和地面清洁程度时的汽车扬尘    单位：kg/km·辆</w:t>
            </w:r>
          </w:p>
          <w:tbl>
            <w:tblPr>
              <w:tblStyle w:val="15"/>
              <w:tblW w:w="4912" w:type="pct"/>
              <w:tblInd w:w="16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59"/>
              <w:gridCol w:w="1128"/>
              <w:gridCol w:w="1126"/>
              <w:gridCol w:w="1124"/>
              <w:gridCol w:w="1126"/>
              <w:gridCol w:w="1124"/>
              <w:gridCol w:w="11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 w:hRule="atLeast"/>
              </w:trPr>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P(kg/m</w:t>
                  </w:r>
                  <w:r>
                    <w:rPr>
                      <w:rFonts w:hint="default" w:ascii="Times New Roman" w:hAnsi="Times New Roman" w:cs="Times New Roman"/>
                      <w:vertAlign w:val="superscript"/>
                    </w:rPr>
                    <w:t>2</w:t>
                  </w:r>
                  <w:r>
                    <w:rPr>
                      <w:rFonts w:hint="default" w:ascii="Times New Roman" w:hAnsi="Times New Roman" w:cs="Times New Roman"/>
                    </w:rPr>
                    <w:t>)</w:t>
                  </w:r>
                </w:p>
                <w:p>
                  <w:pPr>
                    <w:pStyle w:val="9"/>
                    <w:snapToGrid w:val="0"/>
                    <w:jc w:val="center"/>
                    <w:rPr>
                      <w:rFonts w:hint="default" w:ascii="Times New Roman" w:hAnsi="Times New Roman" w:cs="Times New Roman"/>
                    </w:rPr>
                  </w:pPr>
                  <w:r>
                    <w:rPr>
                      <w:rFonts w:hint="default" w:ascii="Times New Roman" w:hAnsi="Times New Roman" w:cs="Times New Roman"/>
                    </w:rPr>
                    <w:t>车速(km/h)</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0.4</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0.5</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5</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0.0283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0.0476</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0.0646</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0.0801</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0.0947</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10</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0.0566</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0.0953</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0.1291</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0.1602</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0.1894</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15</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0.0850</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0.1429</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0.1937</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0.2403</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0.2841</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20</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0.1133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0.1905</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0.2583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0.3204</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0.3788</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0.6371</w:t>
                  </w:r>
                </w:p>
              </w:tc>
            </w:tr>
          </w:tbl>
          <w:p>
            <w:pPr>
              <w:pStyle w:val="9"/>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由上表</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rPr>
              <w:t>可见，在同样路面清洁情况下，车速越快，扬尘量越大；而在同样车速情况下，路面清洁度越差，则扬尘量越大。根据类比调查，一般情况下，施工交通道路在自然风作用下产生的扬尘所影响的范围在50m以内。因此，运输车辆必须有较好的密封性，同时防止运输过程中因泥土散落而影响沿途的环境卫生。</w:t>
            </w:r>
          </w:p>
          <w:p>
            <w:pPr>
              <w:pStyle w:val="8"/>
              <w:adjustRightInd w:val="0"/>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（3）汽车尾气影响分析</w:t>
            </w:r>
          </w:p>
          <w:p>
            <w:pPr>
              <w:pStyle w:val="8"/>
              <w:adjustRightInd w:val="0"/>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rPr>
              <w:t>汽车尾气中所含的有害物质主要有CO、NO</w:t>
            </w:r>
            <w:r>
              <w:rPr>
                <w:rFonts w:hint="default" w:ascii="Times New Roman" w:hAnsi="Times New Roman" w:cs="Times New Roman"/>
                <w:sz w:val="24"/>
                <w:vertAlign w:val="subscript"/>
              </w:rPr>
              <w:t>x</w:t>
            </w:r>
            <w:r>
              <w:rPr>
                <w:rFonts w:hint="default" w:ascii="Times New Roman" w:hAnsi="Times New Roman" w:cs="Times New Roman"/>
                <w:sz w:val="24"/>
              </w:rPr>
              <w:t>等，但这些污染源较分散且为流动性，污染物排放量不大，表现为间歇性特征，影响是短期和局部的，施工结束影响也随之消失，这类废气对大气环境的影响比较小，同时施工单位必须使用污染物排放符合国家标准的运输车辆，加强车辆的保养，使车辆处于良好的工作状态，严禁使用报废车辆，以减少施工车辆尾气对周围环境的影响。评价建议运输车辆缩短怠速、减速和加速的时间，另外建议施工人员作业时佩戴口罩，以减少CO、NO</w:t>
            </w:r>
            <w:r>
              <w:rPr>
                <w:rFonts w:hint="default" w:ascii="Times New Roman" w:hAnsi="Times New Roman" w:cs="Times New Roman"/>
                <w:sz w:val="24"/>
                <w:vertAlign w:val="subscript"/>
              </w:rPr>
              <w:t>x</w:t>
            </w:r>
            <w:r>
              <w:rPr>
                <w:rFonts w:hint="default" w:ascii="Times New Roman" w:hAnsi="Times New Roman" w:cs="Times New Roman"/>
                <w:sz w:val="24"/>
              </w:rPr>
              <w:t>等汽车尾气对施工人员及周围环境的影响。</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另依据《河南省20</w:t>
            </w:r>
            <w:r>
              <w:rPr>
                <w:rFonts w:hint="default" w:ascii="Times New Roman" w:hAnsi="Times New Roman" w:cs="Times New Roman"/>
                <w:sz w:val="24"/>
                <w:lang w:val="en-US" w:eastAsia="zh-CN"/>
              </w:rPr>
              <w:t>20</w:t>
            </w:r>
            <w:r>
              <w:rPr>
                <w:rFonts w:hint="default" w:ascii="Times New Roman" w:hAnsi="Times New Roman" w:cs="Times New Roman"/>
                <w:sz w:val="24"/>
              </w:rPr>
              <w:t>年大气污染防治攻坚战实施方案》和《河南省环境污染防治攻坚战领导小组办公室关于进一步加强扬尘污染专项治理的意见》(豫环攻坚办〔2017〕191号)等文件的要求，切实做到“6个100%”，即：施工现场100%围挡、各类物料堆放100%覆盖、土方开挖100%湿法作业、出场车辆100%清洗、施工现场主要站区及道路100%硬化、渣土车辆100%密闭运输，并自觉接受市政府发布的各级预警。</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根据《信阳市20</w:t>
            </w:r>
            <w:r>
              <w:rPr>
                <w:rFonts w:hint="default" w:ascii="Times New Roman" w:hAnsi="Times New Roman" w:cs="Times New Roman"/>
                <w:sz w:val="24"/>
                <w:lang w:val="en-US" w:eastAsia="zh-CN"/>
              </w:rPr>
              <w:t>20</w:t>
            </w:r>
            <w:r>
              <w:rPr>
                <w:rFonts w:hint="default" w:ascii="Times New Roman" w:hAnsi="Times New Roman" w:cs="Times New Roman"/>
                <w:sz w:val="24"/>
              </w:rPr>
              <w:t>年大气污染防治攻坚战实施方案》的要求，实现建筑工地现场标准化管理的目标，确保实现“六不开工”、“六个100%”和“两禁止”相关要求，实行“一票停工”制和“环保黑名单制”，全面提升施工场地管理监控水平。全面提升施工场地管理监控水平。具体措施如下：</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A、施工作业带内扬尘污染防尘措施</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①施工现场必须设置控制扬尘污染责任标志牌，标明扬尘污染防治措施、主管部门、责任人及环保监督电话等内容。</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②施工区设置围挡，要求底部设置防溢座，顶端设置压顶。</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③施工作业带应保持湿润、无明显浮尘，堆放粉状物料的区域必须建立洒水清扫制度，由专人负责洒水和场地的清扫，每天至少上下班两次。特别是沿途靠近环境敏感点的区域施工时，要加强洒水的频率和强度。</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④道路开挖的渣土应及时清运，临时堆存，应采取洒水或喷淋措施，并进行覆盖处理。</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⑤施工物料在作业带内堆放时要用苫布遮挡。粉状物料堆放点尽量远离居民区。</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⑥施工现场出入口要由专人负责清扫车身及出入口卫生，确保运输车辆不带泥土出场。</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⑦施工现场裸露的场地及时进行覆盖处理或种植植被，按照“宜绿则绿、易盖则盖、分类实施、多策并举”的原则，采取绿化、硬化、洒水、覆盖等措施，防止产生二次扬尘污染。</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B、交通运输扬尘污染防治措施</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①建设单位必须委托具有垃圾运输资格的运输单位进行渣土及垃圾运输。清运垃圾、渣土的车辆应预先办理相关手续或委托具有垃圾运输资格的运输单位进行，严格按要求进行封闭运输，不得乱卸乱倒垃圾，不允许凌空抛扬，宜袋装清运，以免造成扬尘污染。</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②从事渣土、垃圾运输的企业和车辆必须持有建筑垃圾处置核准手续。运输渣土、垃圾的车辆应随车携带驾驶证、行车证、营运证、建筑垃圾运输许可证和双向登记卡。</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③设专门的洒水车辆对运输道路进行洒水降尘，并设专人定期清扫施工作业带附近的运输道路。</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④渣土及易起尘建材运输时，必须进行遮盖处理。运输车辆必须采取密闭运输达到无垃圾外露、无遗撒、无扬尘、无高尖车的要求，并按规定的时间、地点、线路运输和倾倒。</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⑤在施工工地出口处设立监控设施，监督施工工地驶出车辆带泥出场和冒装撒漏，严禁冒装渣土车、带泥车和沿途撒漏车辆进入城市道路，确保密闭运输效果。</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C、施工项目部内防尘措施施工项目部内应设置车辆、机械冲洗设施，防治车辆带泥出场，保持周边环境清洁。</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w:t>
            </w:r>
            <w:r>
              <w:rPr>
                <w:rFonts w:hint="eastAsia" w:ascii="Times New Roman" w:hAnsi="Times New Roman" w:cs="Times New Roman"/>
                <w:sz w:val="24"/>
                <w:lang w:eastAsia="zh-CN"/>
              </w:rPr>
              <w:t>施工沿线两侧有居民村等敏感点</w:t>
            </w:r>
            <w:r>
              <w:rPr>
                <w:rFonts w:hint="default" w:ascii="Times New Roman" w:hAnsi="Times New Roman" w:cs="Times New Roman"/>
                <w:sz w:val="24"/>
              </w:rPr>
              <w:t>，在项目施工期间在做好防治施工废气的措施的情况下，施工废气对周围居民区大气环境的影响是可以接受的，随着施工的结束，该部分影响也将随之消失。</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总之，只要加强管理，切实落实好上述各项措施，施工期扬尘将有效得到抑制，使扬尘对环境的影响降至最低。</w:t>
            </w:r>
          </w:p>
          <w:p>
            <w:pPr>
              <w:pStyle w:val="8"/>
              <w:adjustRightInd w:val="0"/>
              <w:snapToGrid w:val="0"/>
              <w:spacing w:line="520" w:lineRule="exact"/>
              <w:ind w:firstLine="482" w:firstLineChars="200"/>
              <w:jc w:val="left"/>
              <w:rPr>
                <w:rFonts w:hint="default" w:ascii="Times New Roman" w:hAnsi="Times New Roman" w:cs="Times New Roman"/>
                <w:b/>
                <w:sz w:val="24"/>
              </w:rPr>
            </w:pPr>
            <w:r>
              <w:rPr>
                <w:rFonts w:hint="default" w:ascii="Times New Roman" w:hAnsi="Times New Roman" w:cs="Times New Roman"/>
                <w:b/>
                <w:sz w:val="24"/>
              </w:rPr>
              <w:t>2、水环境影响分析</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根据工程分析，项目施工期废水主要为施工人员的生活污水，施工人员约</w:t>
            </w:r>
            <w:r>
              <w:rPr>
                <w:rFonts w:hint="default" w:ascii="Times New Roman" w:hAnsi="Times New Roman" w:cs="Times New Roman"/>
                <w:sz w:val="24"/>
                <w:lang w:val="en-US" w:eastAsia="zh-CN"/>
              </w:rPr>
              <w:t>15</w:t>
            </w:r>
            <w:r>
              <w:rPr>
                <w:rFonts w:hint="default" w:ascii="Times New Roman" w:hAnsi="Times New Roman" w:cs="Times New Roman"/>
                <w:sz w:val="24"/>
              </w:rPr>
              <w:t>人，项目施工期日排放污水量</w:t>
            </w:r>
            <w:r>
              <w:rPr>
                <w:rFonts w:hint="default" w:ascii="Times New Roman" w:hAnsi="Times New Roman" w:cs="Times New Roman"/>
                <w:sz w:val="24"/>
                <w:lang w:val="en-US" w:eastAsia="zh-CN"/>
              </w:rPr>
              <w:t>2.25</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/d，生活污水经化粪池处理后用于厂区降尘，经妥善处理后，对周边地表水体影响不大。</w:t>
            </w:r>
          </w:p>
          <w:p>
            <w:pPr>
              <w:pStyle w:val="8"/>
              <w:adjustRightInd w:val="0"/>
              <w:snapToGrid w:val="0"/>
              <w:spacing w:line="520" w:lineRule="exact"/>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3、噪声影响分析</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现场施工产生的噪声值较大，在实际施工过程中，各类机械同时工作，各类噪声源辐射的相互叠加，噪声级将会更高，辐射面也会更大。噪声从声源传播到受声点，受传播距离，空气吸收，阻挡物的反射与屏障等因素的影响而产生衰减。用A声级进行预测时，其预测模式如下：</w:t>
            </w:r>
          </w:p>
          <w:p>
            <w:pPr>
              <w:adjustRightInd w:val="0"/>
              <w:snapToGrid w:val="0"/>
              <w:spacing w:line="520" w:lineRule="exact"/>
              <w:ind w:firstLine="420" w:firstLineChars="150"/>
              <w:rPr>
                <w:rFonts w:hint="default" w:ascii="Times New Roman" w:hAnsi="Times New Roman" w:cs="Times New Roman"/>
                <w:sz w:val="28"/>
                <w:lang w:val="pt-BR"/>
              </w:rPr>
            </w:pP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der</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bar</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atam</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exc</w:t>
            </w:r>
            <w:r>
              <w:rPr>
                <w:rFonts w:hint="default" w:ascii="Times New Roman" w:hAnsi="Times New Roman" w:cs="Times New Roman"/>
                <w:sz w:val="28"/>
                <w:lang w:val="pt-BR"/>
              </w:rPr>
              <w:t>)</w:t>
            </w:r>
          </w:p>
          <w:p>
            <w:pPr>
              <w:adjustRightInd w:val="0"/>
              <w:snapToGrid w:val="0"/>
              <w:spacing w:line="520" w:lineRule="exact"/>
              <w:rPr>
                <w:rFonts w:hint="default" w:ascii="Times New Roman" w:hAnsi="Times New Roman" w:cs="Times New Roman"/>
                <w:sz w:val="24"/>
                <w:lang w:val="pt-BR"/>
              </w:rPr>
            </w:pPr>
            <w:r>
              <w:rPr>
                <w:rFonts w:hint="default" w:ascii="Times New Roman" w:hAnsi="Times New Roman" w:cs="Times New Roman"/>
                <w:sz w:val="24"/>
              </w:rPr>
              <w:t>式中</w:t>
            </w:r>
            <w:r>
              <w:rPr>
                <w:rFonts w:hint="default" w:ascii="Times New Roman" w:hAnsi="Times New Roman" w:cs="Times New Roman"/>
                <w:sz w:val="24"/>
                <w:lang w:val="pt-BR"/>
              </w:rPr>
              <w:t>，</w:t>
            </w: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4"/>
                <w:lang w:val="pt-BR"/>
              </w:rPr>
              <w:t>－</w:t>
            </w:r>
            <w:r>
              <w:rPr>
                <w:rFonts w:hint="default" w:ascii="Times New Roman" w:hAnsi="Times New Roman" w:cs="Times New Roman"/>
                <w:sz w:val="24"/>
              </w:rPr>
              <w:t>距声源</w:t>
            </w:r>
            <w:r>
              <w:rPr>
                <w:rFonts w:hint="default" w:ascii="Times New Roman" w:hAnsi="Times New Roman" w:cs="Times New Roman"/>
                <w:sz w:val="24"/>
                <w:lang w:val="pt-BR"/>
              </w:rPr>
              <w:t>r</w:t>
            </w:r>
            <w:r>
              <w:rPr>
                <w:rFonts w:hint="default" w:ascii="Times New Roman" w:hAnsi="Times New Roman" w:cs="Times New Roman"/>
                <w:sz w:val="24"/>
              </w:rPr>
              <w:t>处的</w:t>
            </w:r>
            <w:r>
              <w:rPr>
                <w:rFonts w:hint="default" w:ascii="Times New Roman" w:hAnsi="Times New Roman" w:cs="Times New Roman"/>
                <w:sz w:val="24"/>
                <w:lang w:val="pt-BR"/>
              </w:rPr>
              <w:t>A</w:t>
            </w:r>
            <w:r>
              <w:rPr>
                <w:rFonts w:hint="default" w:ascii="Times New Roman" w:hAnsi="Times New Roman" w:cs="Times New Roman"/>
                <w:sz w:val="24"/>
              </w:rPr>
              <w:t>声级</w:t>
            </w:r>
            <w:r>
              <w:rPr>
                <w:rFonts w:hint="default" w:ascii="Times New Roman" w:hAnsi="Times New Roman" w:cs="Times New Roman"/>
                <w:sz w:val="24"/>
                <w:lang w:val="pt-BR"/>
              </w:rPr>
              <w:t>；</w:t>
            </w:r>
          </w:p>
          <w:p>
            <w:pPr>
              <w:adjustRightInd w:val="0"/>
              <w:snapToGrid w:val="0"/>
              <w:spacing w:line="520" w:lineRule="exact"/>
              <w:ind w:firstLine="425"/>
              <w:rPr>
                <w:rFonts w:hint="default" w:ascii="Times New Roman" w:hAnsi="Times New Roman" w:cs="Times New Roman"/>
                <w:sz w:val="24"/>
                <w:lang w:val="pt-BR"/>
              </w:rPr>
            </w:pP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w:t>
            </w:r>
            <w:r>
              <w:rPr>
                <w:rFonts w:hint="default" w:ascii="Times New Roman" w:hAnsi="Times New Roman" w:cs="Times New Roman"/>
                <w:sz w:val="24"/>
                <w:lang w:val="pt-BR"/>
              </w:rPr>
              <w:t>－</w:t>
            </w:r>
            <w:r>
              <w:rPr>
                <w:rFonts w:hint="default" w:ascii="Times New Roman" w:hAnsi="Times New Roman" w:cs="Times New Roman"/>
                <w:sz w:val="24"/>
              </w:rPr>
              <w:t>参考位置</w:t>
            </w:r>
            <w:r>
              <w:rPr>
                <w:rFonts w:hint="default" w:ascii="Times New Roman" w:hAnsi="Times New Roman" w:cs="Times New Roman"/>
                <w:sz w:val="24"/>
                <w:lang w:val="pt-BR"/>
              </w:rPr>
              <w:t>r</w:t>
            </w:r>
            <w:r>
              <w:rPr>
                <w:rFonts w:hint="default" w:ascii="Times New Roman" w:hAnsi="Times New Roman" w:cs="Times New Roman"/>
                <w:sz w:val="24"/>
                <w:vertAlign w:val="subscript"/>
                <w:lang w:val="pt-BR"/>
              </w:rPr>
              <w:t>0</w:t>
            </w:r>
            <w:r>
              <w:rPr>
                <w:rFonts w:hint="default" w:ascii="Times New Roman" w:hAnsi="Times New Roman" w:cs="Times New Roman"/>
                <w:sz w:val="24"/>
              </w:rPr>
              <w:t>处的</w:t>
            </w:r>
            <w:r>
              <w:rPr>
                <w:rFonts w:hint="default" w:ascii="Times New Roman" w:hAnsi="Times New Roman" w:cs="Times New Roman"/>
                <w:sz w:val="24"/>
                <w:lang w:val="pt-BR"/>
              </w:rPr>
              <w:t>A</w:t>
            </w:r>
            <w:r>
              <w:rPr>
                <w:rFonts w:hint="default" w:ascii="Times New Roman" w:hAnsi="Times New Roman" w:cs="Times New Roman"/>
                <w:sz w:val="24"/>
              </w:rPr>
              <w:t>声级</w:t>
            </w:r>
            <w:r>
              <w:rPr>
                <w:rFonts w:hint="default" w:ascii="Times New Roman" w:hAnsi="Times New Roman" w:cs="Times New Roman"/>
                <w:sz w:val="24"/>
                <w:lang w:val="pt-BR"/>
              </w:rPr>
              <w:t>；</w:t>
            </w:r>
          </w:p>
          <w:p>
            <w:pPr>
              <w:adjustRightInd w:val="0"/>
              <w:snapToGrid w:val="0"/>
              <w:spacing w:line="520" w:lineRule="exact"/>
              <w:ind w:firstLine="425"/>
              <w:jc w:val="left"/>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der</w:t>
            </w:r>
            <w:r>
              <w:rPr>
                <w:rFonts w:hint="default" w:ascii="Times New Roman" w:hAnsi="Times New Roman" w:cs="Times New Roman"/>
                <w:sz w:val="24"/>
              </w:rPr>
              <w:t>－声波几何发散所引起的A声级衰减量，即距离所引起的衰减；</w:t>
            </w:r>
          </w:p>
          <w:p>
            <w:pPr>
              <w:adjustRightInd w:val="0"/>
              <w:snapToGrid w:val="0"/>
              <w:spacing w:line="520" w:lineRule="exact"/>
              <w:ind w:hanging="655"/>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bar</w:t>
            </w:r>
            <w:r>
              <w:rPr>
                <w:rFonts w:hint="default" w:ascii="Times New Roman" w:hAnsi="Times New Roman" w:cs="Times New Roman"/>
                <w:sz w:val="24"/>
              </w:rPr>
              <w:t>－遮挡物所引起的A声级衰减量；</w:t>
            </w:r>
          </w:p>
          <w:p>
            <w:pPr>
              <w:adjustRightInd w:val="0"/>
              <w:snapToGrid w:val="0"/>
              <w:spacing w:line="520" w:lineRule="exact"/>
              <w:ind w:hanging="655"/>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atam</w:t>
            </w:r>
            <w:r>
              <w:rPr>
                <w:rFonts w:hint="default" w:ascii="Times New Roman" w:hAnsi="Times New Roman" w:cs="Times New Roman"/>
                <w:sz w:val="24"/>
              </w:rPr>
              <w:t>－空气吸收所引起的A声级衰减量，一般情况下可忽略不计；</w:t>
            </w:r>
          </w:p>
          <w:p>
            <w:pPr>
              <w:adjustRightInd w:val="0"/>
              <w:snapToGrid w:val="0"/>
              <w:spacing w:line="520" w:lineRule="exact"/>
              <w:ind w:firstLine="560" w:firstLineChars="200"/>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exc</w:t>
            </w:r>
            <w:r>
              <w:rPr>
                <w:rFonts w:hint="default" w:ascii="Times New Roman" w:hAnsi="Times New Roman" w:cs="Times New Roman"/>
                <w:sz w:val="24"/>
              </w:rPr>
              <w:t>－附加A声级衰减量。一般情况下的环境影响评价中，不需考虑风、云、雾及温度梯度所引起的附加影响。</w:t>
            </w:r>
          </w:p>
          <w:p>
            <w:pPr>
              <w:adjustRightInd w:val="0"/>
              <w:snapToGrid w:val="0"/>
              <w:spacing w:line="520" w:lineRule="exact"/>
              <w:ind w:firstLine="425"/>
              <w:rPr>
                <w:rFonts w:hint="default" w:ascii="Times New Roman" w:hAnsi="Times New Roman" w:cs="Times New Roman"/>
                <w:sz w:val="24"/>
              </w:rPr>
            </w:pPr>
            <w:r>
              <w:rPr>
                <w:rFonts w:hint="default" w:ascii="Times New Roman" w:hAnsi="Times New Roman" w:cs="Times New Roman"/>
                <w:sz w:val="24"/>
              </w:rPr>
              <w:t>本次评价采用下列公式计算距离施工机械不同距离处的噪声值。</w:t>
            </w:r>
          </w:p>
          <w:p>
            <w:pPr>
              <w:adjustRightInd w:val="0"/>
              <w:snapToGrid w:val="0"/>
              <w:spacing w:line="520" w:lineRule="exact"/>
              <w:ind w:firstLine="425"/>
              <w:rPr>
                <w:rFonts w:hint="default" w:ascii="Times New Roman" w:hAnsi="Times New Roman" w:cs="Times New Roman"/>
                <w:sz w:val="28"/>
                <w:lang w:val="pt-BR"/>
              </w:rPr>
            </w:pP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der</w:t>
            </w: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)－20 lg(r /r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w:t>
            </w:r>
          </w:p>
          <w:p>
            <w:pPr>
              <w:adjustRightInd w:val="0"/>
              <w:snapToGrid w:val="0"/>
              <w:spacing w:line="520" w:lineRule="exact"/>
              <w:ind w:firstLine="425"/>
              <w:rPr>
                <w:rFonts w:hint="default" w:ascii="Times New Roman" w:hAnsi="Times New Roman" w:cs="Times New Roman"/>
                <w:sz w:val="24"/>
              </w:rPr>
            </w:pPr>
            <w:r>
              <w:rPr>
                <w:rFonts w:hint="default" w:ascii="Times New Roman" w:hAnsi="Times New Roman" w:cs="Times New Roman"/>
                <w:sz w:val="24"/>
              </w:rPr>
              <w:t>多个机械同时作业的总等效连续A声级计算公式为：</w:t>
            </w:r>
          </w:p>
          <w:p>
            <w:pPr>
              <w:adjustRightInd w:val="0"/>
              <w:snapToGrid w:val="0"/>
              <w:spacing w:line="520" w:lineRule="exact"/>
              <w:ind w:firstLine="425"/>
              <w:rPr>
                <w:rFonts w:hint="default" w:ascii="Times New Roman" w:hAnsi="Times New Roman" w:cs="Times New Roman"/>
                <w:sz w:val="24"/>
              </w:rPr>
            </w:pPr>
            <w:r>
              <w:rPr>
                <w:rFonts w:hint="default" w:ascii="Times New Roman" w:hAnsi="Times New Roman" w:cs="Times New Roman"/>
                <w:position w:val="-28"/>
              </w:rPr>
              <w:object>
                <v:shape id="_x0000_i1030" o:spt="75" type="#_x0000_t75" style="height:46.5pt;width:159pt;" o:ole="t" filled="f" o:preferrelative="t" stroked="f" coordsize="21600,21600">
                  <v:path/>
                  <v:fill on="f" focussize="0,0"/>
                  <v:stroke on="f" joinstyle="miter"/>
                  <v:imagedata r:id="rId18" o:title=""/>
                  <o:lock v:ext="edit" aspectratio="t"/>
                  <w10:wrap type="none"/>
                  <w10:anchorlock/>
                </v:shape>
                <o:OLEObject Type="Embed" ProgID="Equations" ShapeID="_x0000_i1030" DrawAspect="Content" ObjectID="_1468075725" r:id="rId17">
                  <o:LockedField>false</o:LockedField>
                </o:OLEObject>
              </w:object>
            </w:r>
          </w:p>
          <w:p>
            <w:pPr>
              <w:adjustRightInd w:val="0"/>
              <w:snapToGrid w:val="0"/>
              <w:spacing w:line="520" w:lineRule="exact"/>
              <w:ind w:firstLine="540"/>
              <w:rPr>
                <w:rFonts w:hint="default" w:ascii="Times New Roman" w:hAnsi="Times New Roman" w:cs="Times New Roman"/>
                <w:sz w:val="24"/>
              </w:rPr>
            </w:pPr>
            <w:r>
              <w:rPr>
                <w:rFonts w:hint="default" w:ascii="Times New Roman" w:hAnsi="Times New Roman" w:cs="Times New Roman"/>
                <w:sz w:val="24"/>
              </w:rPr>
              <w:t>式中，Leq</w:t>
            </w:r>
            <w:r>
              <w:rPr>
                <w:rFonts w:hint="default" w:ascii="Times New Roman" w:hAnsi="Times New Roman" w:cs="Times New Roman"/>
                <w:sz w:val="24"/>
                <w:vertAlign w:val="subscript"/>
              </w:rPr>
              <w:t>i</w:t>
            </w:r>
            <w:r>
              <w:rPr>
                <w:rFonts w:hint="default" w:ascii="Times New Roman" w:hAnsi="Times New Roman" w:cs="Times New Roman"/>
                <w:sz w:val="24"/>
              </w:rPr>
              <w:t>－第i个声源对某预测点的等效声级。</w:t>
            </w:r>
          </w:p>
          <w:p>
            <w:pPr>
              <w:adjustRightInd w:val="0"/>
              <w:snapToGrid w:val="0"/>
              <w:spacing w:line="520" w:lineRule="exact"/>
              <w:ind w:firstLine="540"/>
              <w:rPr>
                <w:rFonts w:hint="default" w:ascii="Times New Roman" w:hAnsi="Times New Roman" w:cs="Times New Roman"/>
                <w:sz w:val="24"/>
              </w:rPr>
            </w:pPr>
            <w:r>
              <w:rPr>
                <w:rFonts w:hint="default" w:ascii="Times New Roman" w:hAnsi="Times New Roman" w:cs="Times New Roman"/>
                <w:sz w:val="24"/>
              </w:rPr>
              <w:t>在预测某处的噪声值时，首先利用上式计算声源在该处的总等效连续A声级，然后叠加该处的背景值，具体计算公式如下：</w:t>
            </w:r>
          </w:p>
          <w:p>
            <w:pPr>
              <w:adjustRightInd w:val="0"/>
              <w:snapToGrid w:val="0"/>
              <w:spacing w:line="520" w:lineRule="exact"/>
              <w:ind w:firstLine="600"/>
              <w:rPr>
                <w:rFonts w:hint="default" w:ascii="Times New Roman" w:hAnsi="Times New Roman" w:cs="Times New Roman"/>
                <w:sz w:val="28"/>
              </w:rPr>
            </w:pPr>
            <w:r>
              <w:rPr>
                <w:rFonts w:hint="default" w:ascii="Times New Roman" w:hAnsi="Times New Roman" w:cs="Times New Roman"/>
                <w:sz w:val="28"/>
              </w:rPr>
              <w:t>L</w:t>
            </w:r>
            <w:r>
              <w:rPr>
                <w:rFonts w:hint="default" w:ascii="Times New Roman" w:hAnsi="Times New Roman" w:cs="Times New Roman"/>
                <w:sz w:val="28"/>
                <w:vertAlign w:val="subscript"/>
              </w:rPr>
              <w:t>pt</w:t>
            </w:r>
            <w:r>
              <w:rPr>
                <w:rFonts w:hint="default" w:ascii="Times New Roman" w:hAnsi="Times New Roman" w:cs="Times New Roman"/>
                <w:sz w:val="28"/>
              </w:rPr>
              <w:t>=10 lg(10</w:t>
            </w:r>
            <w:r>
              <w:rPr>
                <w:rFonts w:hint="default" w:ascii="Times New Roman" w:hAnsi="Times New Roman" w:cs="Times New Roman"/>
                <w:sz w:val="28"/>
                <w:vertAlign w:val="superscript"/>
              </w:rPr>
              <w:t>0.1L</w:t>
            </w:r>
            <w:r>
              <w:rPr>
                <w:rFonts w:hint="default" w:ascii="Times New Roman" w:hAnsi="Times New Roman" w:cs="Times New Roman"/>
                <w:position w:val="-10"/>
                <w:sz w:val="28"/>
                <w:vertAlign w:val="superscript"/>
              </w:rPr>
              <w:object>
                <v:shape id="_x0000_i1031" o:spt="75" type="#_x0000_t75" style="height:17.25pt;width:6pt;" o:ole="t" fillcolor="#FFFFFF" filled="f" o:preferrelative="t" stroked="f" coordsize="21600,21600">
                  <v:path/>
                  <v:fill on="f" focussize="0,0"/>
                  <v:stroke on="f" joinstyle="miter"/>
                  <v:imagedata r:id="rId20" o:title=""/>
                  <o:lock v:ext="edit" aspectratio="t"/>
                  <w10:wrap type="none"/>
                  <w10:anchorlock/>
                </v:shape>
                <o:OLEObject Type="Embed" ProgID="Equations" ShapeID="_x0000_i1031" DrawAspect="Content" ObjectID="_1468075726" r:id="rId19">
                  <o:LockedField>false</o:LockedField>
                </o:OLEObject>
              </w:object>
            </w:r>
            <w:r>
              <w:rPr>
                <w:rFonts w:hint="default" w:ascii="Times New Roman" w:hAnsi="Times New Roman" w:cs="Times New Roman"/>
                <w:sz w:val="28"/>
              </w:rPr>
              <w:t>+10</w:t>
            </w:r>
            <w:r>
              <w:rPr>
                <w:rFonts w:hint="default" w:ascii="Times New Roman" w:hAnsi="Times New Roman" w:cs="Times New Roman"/>
                <w:sz w:val="28"/>
                <w:vertAlign w:val="superscript"/>
              </w:rPr>
              <w:t>0.1L</w:t>
            </w:r>
            <w:r>
              <w:rPr>
                <w:rFonts w:hint="default" w:ascii="Times New Roman" w:hAnsi="Times New Roman" w:cs="Times New Roman"/>
                <w:position w:val="-10"/>
                <w:sz w:val="28"/>
                <w:vertAlign w:val="superscript"/>
              </w:rPr>
              <w:object>
                <v:shape id="_x0000_i1032" o:spt="75" type="#_x0000_t75" style="height:17.25pt;width:8.25pt;" o:ole="t" fillcolor="#FFFFFF" filled="f" o:preferrelative="t" stroked="f" coordsize="21600,21600">
                  <v:path/>
                  <v:fill on="f" focussize="0,0"/>
                  <v:stroke on="f" joinstyle="miter"/>
                  <v:imagedata r:id="rId22" o:title=""/>
                  <o:lock v:ext="edit" aspectratio="t"/>
                  <w10:wrap type="none"/>
                  <w10:anchorlock/>
                </v:shape>
                <o:OLEObject Type="Embed" ProgID="Equations" ShapeID="_x0000_i1032" DrawAspect="Content" ObjectID="_1468075727" r:id="rId21">
                  <o:LockedField>false</o:LockedField>
                </o:OLEObject>
              </w:object>
            </w:r>
            <w:r>
              <w:rPr>
                <w:rFonts w:hint="default" w:ascii="Times New Roman" w:hAnsi="Times New Roman" w:cs="Times New Roman"/>
                <w:sz w:val="28"/>
              </w:rPr>
              <w:t>)</w:t>
            </w:r>
          </w:p>
          <w:p>
            <w:pPr>
              <w:adjustRightInd w:val="0"/>
              <w:snapToGrid w:val="0"/>
              <w:spacing w:line="520" w:lineRule="exact"/>
              <w:ind w:firstLine="600"/>
              <w:rPr>
                <w:rFonts w:hint="default" w:ascii="Times New Roman" w:hAnsi="Times New Roman" w:cs="Times New Roman"/>
                <w:sz w:val="24"/>
              </w:rPr>
            </w:pPr>
            <w:r>
              <w:rPr>
                <w:rFonts w:hint="default" w:ascii="Times New Roman" w:hAnsi="Times New Roman" w:cs="Times New Roman"/>
                <w:sz w:val="24"/>
              </w:rPr>
              <w:t>式中，L</w:t>
            </w:r>
            <w:r>
              <w:rPr>
                <w:rFonts w:hint="default" w:ascii="Times New Roman" w:hAnsi="Times New Roman" w:cs="Times New Roman"/>
                <w:sz w:val="24"/>
                <w:vertAlign w:val="subscript"/>
              </w:rPr>
              <w:t>pt</w:t>
            </w:r>
            <w:r>
              <w:rPr>
                <w:rFonts w:hint="default" w:ascii="Times New Roman" w:hAnsi="Times New Roman" w:cs="Times New Roman"/>
                <w:sz w:val="24"/>
              </w:rPr>
              <w:t>－声场中某一点两个声源不同作用产生的总的声级；</w:t>
            </w:r>
          </w:p>
          <w:p>
            <w:pPr>
              <w:adjustRightInd w:val="0"/>
              <w:snapToGrid w:val="0"/>
              <w:spacing w:line="520" w:lineRule="exact"/>
              <w:ind w:firstLine="600"/>
              <w:rPr>
                <w:rFonts w:hint="default" w:ascii="Times New Roman" w:hAnsi="Times New Roman" w:cs="Times New Roman"/>
                <w:sz w:val="24"/>
              </w:rPr>
            </w:pPr>
            <w:r>
              <w:rPr>
                <w:rFonts w:hint="default" w:ascii="Times New Roman" w:hAnsi="Times New Roman" w:cs="Times New Roman"/>
                <w:sz w:val="24"/>
              </w:rPr>
              <w:t xml:space="preserve">      L</w:t>
            </w:r>
            <w:r>
              <w:rPr>
                <w:rFonts w:hint="default" w:ascii="Times New Roman" w:hAnsi="Times New Roman" w:cs="Times New Roman"/>
                <w:sz w:val="24"/>
                <w:vertAlign w:val="subscript"/>
              </w:rPr>
              <w:t>1</w:t>
            </w:r>
            <w:r>
              <w:rPr>
                <w:rFonts w:hint="default" w:ascii="Times New Roman" w:hAnsi="Times New Roman" w:cs="Times New Roman"/>
                <w:sz w:val="24"/>
              </w:rPr>
              <w:t>－该点的背景噪声值；</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2</w:t>
            </w:r>
            <w:r>
              <w:rPr>
                <w:rFonts w:hint="default" w:ascii="Times New Roman" w:hAnsi="Times New Roman" w:cs="Times New Roman"/>
                <w:sz w:val="24"/>
              </w:rPr>
              <w:t>－各声源叠加到该点的总等效声级值。</w:t>
            </w:r>
          </w:p>
          <w:p>
            <w:pPr>
              <w:adjustRightInd w:val="0"/>
              <w:snapToGrid w:val="0"/>
              <w:spacing w:line="520" w:lineRule="exact"/>
              <w:ind w:firstLine="420"/>
              <w:rPr>
                <w:rFonts w:hint="default" w:ascii="Times New Roman" w:hAnsi="Times New Roman" w:cs="Times New Roman"/>
                <w:sz w:val="24"/>
              </w:rPr>
            </w:pPr>
            <w:r>
              <w:rPr>
                <w:rFonts w:hint="default" w:ascii="Times New Roman" w:hAnsi="Times New Roman" w:cs="Times New Roman"/>
                <w:sz w:val="24"/>
              </w:rPr>
              <w:t>本次预测是在施工设备未采取任何降噪措施条件下进行，预测不同距离的噪声值。预测结果详见表</w:t>
            </w:r>
            <w:r>
              <w:rPr>
                <w:rFonts w:hint="eastAsia" w:ascii="Times New Roman" w:hAnsi="Times New Roman" w:cs="Times New Roman"/>
                <w:sz w:val="24"/>
                <w:lang w:val="en-US" w:eastAsia="zh-CN"/>
              </w:rPr>
              <w:t>15</w:t>
            </w:r>
            <w:r>
              <w:rPr>
                <w:rFonts w:hint="default" w:ascii="Times New Roman" w:hAnsi="Times New Roman" w:cs="Times New Roman"/>
                <w:sz w:val="24"/>
              </w:rPr>
              <w:t>。</w:t>
            </w:r>
          </w:p>
          <w:p>
            <w:pPr>
              <w:adjustRightInd w:val="0"/>
              <w:snapToGrid w:val="0"/>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15</w:t>
            </w:r>
            <w:r>
              <w:rPr>
                <w:rFonts w:hint="default" w:ascii="Times New Roman" w:hAnsi="Times New Roman" w:eastAsia="黑体" w:cs="Times New Roman"/>
                <w:kern w:val="0"/>
                <w:sz w:val="24"/>
              </w:rPr>
              <w:t xml:space="preserve">     装修阶段施工机械在不同距离的噪声预测值     单位：dB(A)</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936"/>
              <w:gridCol w:w="699"/>
              <w:gridCol w:w="698"/>
              <w:gridCol w:w="698"/>
              <w:gridCol w:w="855"/>
              <w:gridCol w:w="824"/>
              <w:gridCol w:w="824"/>
              <w:gridCol w:w="824"/>
              <w:gridCol w:w="824"/>
              <w:gridCol w:w="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2"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机械</w:t>
                  </w:r>
                </w:p>
                <w:p>
                  <w:pPr>
                    <w:jc w:val="center"/>
                    <w:rPr>
                      <w:rFonts w:hint="default" w:ascii="Times New Roman" w:hAnsi="Times New Roman" w:cs="Times New Roman"/>
                      <w:szCs w:val="21"/>
                    </w:rPr>
                  </w:pPr>
                  <w:r>
                    <w:rPr>
                      <w:rFonts w:hint="default" w:ascii="Times New Roman" w:hAnsi="Times New Roman" w:cs="Times New Roman"/>
                      <w:szCs w:val="21"/>
                    </w:rPr>
                    <w:t>名称</w:t>
                  </w:r>
                </w:p>
              </w:tc>
              <w:tc>
                <w:tcPr>
                  <w:tcW w:w="515"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最大噪声级dB（A）</w:t>
                  </w:r>
                </w:p>
              </w:tc>
              <w:tc>
                <w:tcPr>
                  <w:tcW w:w="3902" w:type="pct"/>
                  <w:gridSpan w:val="9"/>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不同距离的噪声值dB（A）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582" w:type="pct"/>
                  <w:vMerge w:val="continue"/>
                  <w:noWrap w:val="0"/>
                  <w:vAlign w:val="center"/>
                </w:tcPr>
                <w:p>
                  <w:pPr>
                    <w:jc w:val="center"/>
                    <w:rPr>
                      <w:rFonts w:hint="default" w:ascii="Times New Roman" w:hAnsi="Times New Roman" w:cs="Times New Roman"/>
                      <w:szCs w:val="21"/>
                    </w:rPr>
                  </w:pPr>
                </w:p>
              </w:tc>
              <w:tc>
                <w:tcPr>
                  <w:tcW w:w="515" w:type="pct"/>
                  <w:vMerge w:val="continue"/>
                  <w:noWrap w:val="0"/>
                  <w:vAlign w:val="center"/>
                </w:tcPr>
                <w:p>
                  <w:pPr>
                    <w:jc w:val="center"/>
                    <w:rPr>
                      <w:rFonts w:hint="default" w:ascii="Times New Roman" w:hAnsi="Times New Roman" w:cs="Times New Roman"/>
                      <w:szCs w:val="21"/>
                    </w:rPr>
                  </w:pP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5m</w:t>
                  </w:r>
                </w:p>
              </w:tc>
              <w:tc>
                <w:tcPr>
                  <w:tcW w:w="384" w:type="pct"/>
                  <w:noWrap w:val="0"/>
                  <w:vAlign w:val="center"/>
                </w:tcPr>
                <w:p>
                  <w:pPr>
                    <w:ind w:left="420" w:hanging="420" w:hangingChars="200"/>
                    <w:jc w:val="center"/>
                    <w:rPr>
                      <w:rFonts w:hint="default" w:ascii="Times New Roman" w:hAnsi="Times New Roman" w:cs="Times New Roman"/>
                      <w:szCs w:val="21"/>
                    </w:rPr>
                  </w:pPr>
                  <w:r>
                    <w:rPr>
                      <w:rFonts w:hint="default" w:ascii="Times New Roman" w:hAnsi="Times New Roman" w:cs="Times New Roman"/>
                      <w:szCs w:val="21"/>
                    </w:rPr>
                    <w:t>10m</w:t>
                  </w:r>
                </w:p>
              </w:tc>
              <w:tc>
                <w:tcPr>
                  <w:tcW w:w="384" w:type="pct"/>
                  <w:noWrap w:val="0"/>
                  <w:vAlign w:val="center"/>
                </w:tcPr>
                <w:p>
                  <w:pPr>
                    <w:ind w:left="420" w:hanging="420" w:hangingChars="200"/>
                    <w:jc w:val="center"/>
                    <w:rPr>
                      <w:rFonts w:hint="default" w:ascii="Times New Roman" w:hAnsi="Times New Roman" w:cs="Times New Roman"/>
                      <w:szCs w:val="21"/>
                    </w:rPr>
                  </w:pPr>
                  <w:r>
                    <w:rPr>
                      <w:rFonts w:hint="default" w:ascii="Times New Roman" w:hAnsi="Times New Roman" w:cs="Times New Roman"/>
                      <w:szCs w:val="21"/>
                    </w:rPr>
                    <w:t>15m</w:t>
                  </w:r>
                </w:p>
              </w:tc>
              <w:tc>
                <w:tcPr>
                  <w:tcW w:w="471" w:type="pct"/>
                  <w:noWrap w:val="0"/>
                  <w:vAlign w:val="center"/>
                </w:tcPr>
                <w:p>
                  <w:pPr>
                    <w:ind w:left="210" w:hanging="210" w:hangingChars="100"/>
                    <w:jc w:val="center"/>
                    <w:rPr>
                      <w:rFonts w:hint="default" w:ascii="Times New Roman" w:hAnsi="Times New Roman" w:cs="Times New Roman"/>
                      <w:szCs w:val="21"/>
                    </w:rPr>
                  </w:pPr>
                  <w:r>
                    <w:rPr>
                      <w:rFonts w:hint="default" w:ascii="Times New Roman" w:hAnsi="Times New Roman" w:cs="Times New Roman"/>
                      <w:szCs w:val="21"/>
                    </w:rPr>
                    <w:t>20m</w:t>
                  </w:r>
                </w:p>
              </w:tc>
              <w:tc>
                <w:tcPr>
                  <w:tcW w:w="453" w:type="pct"/>
                  <w:noWrap w:val="0"/>
                  <w:vAlign w:val="center"/>
                </w:tcPr>
                <w:p>
                  <w:pPr>
                    <w:ind w:left="420" w:hanging="420" w:hangingChars="200"/>
                    <w:jc w:val="center"/>
                    <w:rPr>
                      <w:rFonts w:hint="default" w:ascii="Times New Roman" w:hAnsi="Times New Roman" w:cs="Times New Roman"/>
                      <w:szCs w:val="21"/>
                    </w:rPr>
                  </w:pPr>
                  <w:r>
                    <w:rPr>
                      <w:rFonts w:hint="default" w:ascii="Times New Roman" w:hAnsi="Times New Roman" w:cs="Times New Roman"/>
                      <w:szCs w:val="21"/>
                    </w:rPr>
                    <w:t>25m</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30m</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35m</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40m</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挖土机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85</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71.0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65.0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61.5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59.0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57.0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铲土机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83</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69.0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63.0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59.5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57.0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推土机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86</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72.0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62.5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58.0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吊 车</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81</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67.0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61.0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57.5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装载机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79</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65.0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59.0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47.0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平土机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86</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72.0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62.5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58.0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泵</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75</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61.0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47.0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45.5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44.1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43.0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卡 车</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80</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压缩机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80</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振捣机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74</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46.0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44.5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43.1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42.0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41.0</w:t>
                  </w:r>
                </w:p>
              </w:tc>
            </w:tr>
          </w:tbl>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根据预测可知，项目施工期间，在最不利情况下施工噪声仅经过距离衰减、地面和空气吸收后对周边环境影响不大，项目夜间不施工，因此，项目施工期产生的噪声对周边环境影响不大。</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（4）固体废物</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施工期产生的固体废物主要包括：施工人员的生活垃圾、管线施工过程产生的弃渣土和防腐废弃物、穿越工程产生的干化泥浆（定向钻法）。</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按照施工工艺，本工程管道及穿越工程分段进行，施工高峰时施工人数约为</w:t>
            </w:r>
            <w:r>
              <w:rPr>
                <w:rFonts w:hint="eastAsia" w:ascii="Times New Roman" w:hAnsi="Times New Roman" w:eastAsia="宋体" w:cs="Times New Roman"/>
                <w:sz w:val="24"/>
                <w:lang w:val="en-US" w:eastAsia="zh-CN"/>
              </w:rPr>
              <w:t>15</w:t>
            </w:r>
            <w:r>
              <w:rPr>
                <w:rFonts w:hint="default" w:ascii="Times New Roman" w:hAnsi="Times New Roman" w:cs="Times New Roman"/>
                <w:sz w:val="24"/>
              </w:rPr>
              <w:t>人。施工人员垃圾产生量按一般施工作业时的平均值 0.5kg/人·日计，生活垃圾总量为7.5kg/日。生活垃圾纳入南海区生活垃圾收运及处置系统，交环卫部门处置，对环境影响不大。</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施工过程产生的弃渣土主要来自管道施工。管道施工产生的弃渣土来自两部分，一是敷设管道本身置换的渣土方，二是开挖造成土壤松散，回填后剩余的渣土方。根据建设单位提供的资料，根据建设单位提供的资料，本项目挖方量为</w:t>
            </w:r>
            <w:r>
              <w:rPr>
                <w:rFonts w:hint="eastAsia" w:ascii="Times New Roman" w:hAnsi="Times New Roman" w:cs="Times New Roman"/>
                <w:sz w:val="24"/>
                <w:lang w:val="en-US" w:eastAsia="zh-CN"/>
              </w:rPr>
              <w:t>8</w:t>
            </w:r>
            <w:r>
              <w:rPr>
                <w:rFonts w:hint="default" w:ascii="Times New Roman" w:hAnsi="Times New Roman" w:cs="Times New Roman"/>
                <w:sz w:val="24"/>
              </w:rPr>
              <w:t>.53万m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eastAsia" w:ascii="Times New Roman" w:hAnsi="Times New Roman" w:eastAsia="宋体" w:cs="Times New Roman"/>
                <w:sz w:val="24"/>
                <w:lang w:val="en-US" w:eastAsia="zh-CN"/>
              </w:rPr>
              <w:t>全部回填</w:t>
            </w:r>
            <w:r>
              <w:rPr>
                <w:rFonts w:hint="default" w:ascii="Times New Roman" w:hAnsi="Times New Roman" w:cs="Times New Roman"/>
                <w:sz w:val="24"/>
              </w:rPr>
              <w:t>。弃渣土运至政府指定的填埋场填埋处理。穿越工程定向钻法施工产生的泥浆和钻屑干化后会形成弃土，穿越工程的弃土量较小，废弃泥浆运至政府指定填埋场填埋处理。</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管道施工过程中防腐会产生废弃防腐材料。根据类比调查，施工过程废焊条和废弃防腐材料的产生量约为 0.2t/km，则本工程施工过程产生的施工废料量约为</w:t>
            </w:r>
            <w:r>
              <w:rPr>
                <w:rFonts w:hint="eastAsia" w:ascii="Times New Roman" w:hAnsi="Times New Roman" w:cs="Times New Roman"/>
                <w:sz w:val="24"/>
                <w:lang w:val="en-US" w:eastAsia="zh-CN"/>
              </w:rPr>
              <w:t>40</w:t>
            </w:r>
            <w:r>
              <w:rPr>
                <w:rFonts w:hint="default" w:ascii="Times New Roman" w:hAnsi="Times New Roman" w:cs="Times New Roman"/>
                <w:sz w:val="24"/>
              </w:rPr>
              <w:t>t。施工废料部分可回收利用，剩余废料依托当地职能部门有偿清运。</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施工期产生的固体废弃物通过采用上述处置途径后，不会对周围环境造成明显影响。综上所述，项目施工期固体废物经采取以上措施后，对周边环境影响不大。</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（5）生态影响分析</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本项目选址在位于信阳市淮滨县，场地大部分已硬化，场内主要植被为人工种植景观绿化植被等，项目重建地基开挖等施工活动，会使局部地表裸露，如遇暴雨天气，厂区易形成小范围的水土流失。</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因此项目在施工过程应采取必需的工程性水土流失防治措施：</w:t>
            </w:r>
          </w:p>
          <w:p>
            <w:pPr>
              <w:adjustRightInd w:val="0"/>
              <w:snapToGrid w:val="0"/>
              <w:spacing w:line="520" w:lineRule="exact"/>
              <w:ind w:firstLine="480"/>
              <w:jc w:val="left"/>
              <w:rPr>
                <w:rFonts w:hint="default" w:ascii="Times New Roman" w:hAnsi="Times New Roman" w:cs="Times New Roman"/>
                <w:sz w:val="24"/>
              </w:rPr>
            </w:pPr>
            <w:r>
              <w:rPr>
                <w:rFonts w:hint="default" w:ascii="Times New Roman" w:hAnsi="Times New Roman" w:cs="Times New Roman"/>
                <w:sz w:val="24"/>
              </w:rPr>
              <w:t>①在地块周围设置必要的临时围挡和排水设施，防止暴雨季节水土流失携带大量泥沙进入管网，并减轻对周围居民区的安全隐患。</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②施工场地和临时弃土堆场等在工程结束后，必须及时清理场地，采取整治措施，使其恢复到可供利用状况。</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③施工组织中，在满足施工进度前提下，应尽量将地下层的开挖施工安排在非汛期，并及时将建筑工地回填，不能利用的应委托有资质的单位妥善处置，严禁随意堆放倾倒和严禁向周围敏感点转移。</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④施工期间，加强现场管理，合理布置施工场地，避免建筑材料乱堆乱放，造成物料散落，以保持场内相对整洁，砂砾料堆场的砂堆采用塑料彩条布覆盖或用砂包临时围护，减少雨期地表径流造成的水土流失。</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采取以上措施可以减小因水土流失造成的影响。</w:t>
            </w:r>
          </w:p>
          <w:p>
            <w:pPr>
              <w:spacing w:before="156" w:beforeLines="50" w:line="440" w:lineRule="exact"/>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mc:AlternateContent>
                <mc:Choice Requires="wpg">
                  <w:drawing>
                    <wp:anchor distT="0" distB="0" distL="114300" distR="114300" simplePos="0" relativeHeight="251658240" behindDoc="0" locked="0" layoutInCell="1" allowOverlap="1">
                      <wp:simplePos x="0" y="0"/>
                      <wp:positionH relativeFrom="column">
                        <wp:posOffset>292735</wp:posOffset>
                      </wp:positionH>
                      <wp:positionV relativeFrom="paragraph">
                        <wp:posOffset>10636885</wp:posOffset>
                      </wp:positionV>
                      <wp:extent cx="5669915" cy="825500"/>
                      <wp:effectExtent l="4445" t="4445" r="0" b="8255"/>
                      <wp:wrapNone/>
                      <wp:docPr id="38" name="组合 38"/>
                      <wp:cNvGraphicFramePr/>
                      <a:graphic xmlns:a="http://schemas.openxmlformats.org/drawingml/2006/main">
                        <a:graphicData uri="http://schemas.microsoft.com/office/word/2010/wordprocessingGroup">
                          <wpg:wgp>
                            <wpg:cNvGrpSpPr/>
                            <wpg:grpSpPr>
                              <a:xfrm>
                                <a:off x="0" y="0"/>
                                <a:ext cx="5669915" cy="825500"/>
                                <a:chOff x="0" y="0"/>
                                <a:chExt cx="8929" cy="1300"/>
                              </a:xfrm>
                            </wpg:grpSpPr>
                            <wps:wsp>
                              <wps:cNvPr id="25" name="矩形 25"/>
                              <wps:cNvSpPr/>
                              <wps:spPr>
                                <a:xfrm>
                                  <a:off x="0" y="14"/>
                                  <a:ext cx="1267"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生活污水</w:t>
                                    </w:r>
                                  </w:p>
                                </w:txbxContent>
                              </wps:txbx>
                              <wps:bodyPr upright="1"/>
                            </wps:wsp>
                            <wps:wsp>
                              <wps:cNvPr id="26" name="矩形 26"/>
                              <wps:cNvSpPr/>
                              <wps:spPr>
                                <a:xfrm>
                                  <a:off x="4" y="815"/>
                                  <a:ext cx="1267"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养殖粪尿水</w:t>
                                    </w:r>
                                  </w:p>
                                </w:txbxContent>
                              </wps:txbx>
                              <wps:bodyPr upright="1"/>
                            </wps:wsp>
                            <wps:wsp>
                              <wps:cNvPr id="27" name="矩形 27"/>
                              <wps:cNvSpPr/>
                              <wps:spPr>
                                <a:xfrm>
                                  <a:off x="1864" y="0"/>
                                  <a:ext cx="1082"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化粪池</w:t>
                                    </w:r>
                                  </w:p>
                                </w:txbxContent>
                              </wps:txbx>
                              <wps:bodyPr upright="1"/>
                            </wps:wsp>
                            <wps:wsp>
                              <wps:cNvPr id="28" name="矩形 28"/>
                              <wps:cNvSpPr/>
                              <wps:spPr>
                                <a:xfrm>
                                  <a:off x="4002" y="312"/>
                                  <a:ext cx="2516"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储存池 厌氧池 好氧池</w:t>
                                    </w:r>
                                  </w:p>
                                </w:txbxContent>
                              </wps:txbx>
                              <wps:bodyPr upright="1"/>
                            </wps:wsp>
                            <wps:wsp>
                              <wps:cNvPr id="29" name="直接连接符 29"/>
                              <wps:cNvSpPr/>
                              <wps:spPr>
                                <a:xfrm>
                                  <a:off x="6536" y="647"/>
                                  <a:ext cx="723" cy="0"/>
                                </a:xfrm>
                                <a:prstGeom prst="line">
                                  <a:avLst/>
                                </a:prstGeom>
                                <a:ln w="9525" cap="flat" cmpd="sng">
                                  <a:solidFill>
                                    <a:srgbClr val="000000"/>
                                  </a:solidFill>
                                  <a:prstDash val="solid"/>
                                  <a:headEnd type="none" w="med" len="med"/>
                                  <a:tailEnd type="triangle" w="med" len="med"/>
                                </a:ln>
                              </wps:spPr>
                              <wps:bodyPr upright="1"/>
                            </wps:wsp>
                            <wps:wsp>
                              <wps:cNvPr id="30" name="矩形 30"/>
                              <wps:cNvSpPr/>
                              <wps:spPr>
                                <a:xfrm>
                                  <a:off x="7128" y="440"/>
                                  <a:ext cx="1801" cy="485"/>
                                </a:xfrm>
                                <a:prstGeom prst="rect">
                                  <a:avLst/>
                                </a:prstGeom>
                                <a:noFill/>
                                <a:ln>
                                  <a:noFill/>
                                </a:ln>
                              </wps:spPr>
                              <wps:txbx>
                                <w:txbxContent>
                                  <w:p>
                                    <w:pPr>
                                      <w:rPr>
                                        <w:rFonts w:hint="eastAsia"/>
                                      </w:rPr>
                                    </w:pPr>
                                    <w:r>
                                      <w:rPr>
                                        <w:rFonts w:hint="eastAsia"/>
                                      </w:rPr>
                                      <w:t>施肥或其他用途</w:t>
                                    </w:r>
                                  </w:p>
                                </w:txbxContent>
                              </wps:txbx>
                              <wps:bodyPr upright="1"/>
                            </wps:wsp>
                            <wps:wsp>
                              <wps:cNvPr id="31" name="直接连接符 31"/>
                              <wps:cNvSpPr/>
                              <wps:spPr>
                                <a:xfrm>
                                  <a:off x="3473" y="170"/>
                                  <a:ext cx="0" cy="936"/>
                                </a:xfrm>
                                <a:prstGeom prst="line">
                                  <a:avLst/>
                                </a:prstGeom>
                                <a:ln w="9525" cap="flat" cmpd="sng">
                                  <a:solidFill>
                                    <a:srgbClr val="000000"/>
                                  </a:solidFill>
                                  <a:prstDash val="solid"/>
                                  <a:headEnd type="none" w="med" len="med"/>
                                  <a:tailEnd type="none" w="med" len="med"/>
                                </a:ln>
                              </wps:spPr>
                              <wps:bodyPr upright="1"/>
                            </wps:wsp>
                            <wps:wsp>
                              <wps:cNvPr id="32" name="直接连接符 32"/>
                              <wps:cNvSpPr/>
                              <wps:spPr>
                                <a:xfrm>
                                  <a:off x="1294" y="192"/>
                                  <a:ext cx="540" cy="0"/>
                                </a:xfrm>
                                <a:prstGeom prst="line">
                                  <a:avLst/>
                                </a:prstGeom>
                                <a:ln w="9525" cap="flat" cmpd="sng">
                                  <a:solidFill>
                                    <a:srgbClr val="000000"/>
                                  </a:solidFill>
                                  <a:prstDash val="solid"/>
                                  <a:headEnd type="none" w="med" len="med"/>
                                  <a:tailEnd type="triangle" w="med" len="med"/>
                                </a:ln>
                              </wps:spPr>
                              <wps:bodyPr upright="1"/>
                            </wps:wsp>
                            <wps:wsp>
                              <wps:cNvPr id="33" name="直接连接符 33"/>
                              <wps:cNvSpPr/>
                              <wps:spPr>
                                <a:xfrm>
                                  <a:off x="1294" y="1077"/>
                                  <a:ext cx="2156" cy="7"/>
                                </a:xfrm>
                                <a:prstGeom prst="line">
                                  <a:avLst/>
                                </a:prstGeom>
                                <a:ln w="9525" cap="flat" cmpd="sng">
                                  <a:solidFill>
                                    <a:srgbClr val="000000"/>
                                  </a:solidFill>
                                  <a:prstDash val="solid"/>
                                  <a:headEnd type="none" w="med" len="med"/>
                                  <a:tailEnd type="triangle" w="med" len="med"/>
                                </a:ln>
                              </wps:spPr>
                              <wps:bodyPr upright="1"/>
                            </wps:wsp>
                            <wps:wsp>
                              <wps:cNvPr id="34" name="直接连接符 34"/>
                              <wps:cNvSpPr/>
                              <wps:spPr>
                                <a:xfrm>
                                  <a:off x="2933" y="200"/>
                                  <a:ext cx="540" cy="0"/>
                                </a:xfrm>
                                <a:prstGeom prst="line">
                                  <a:avLst/>
                                </a:prstGeom>
                                <a:ln w="9525" cap="flat" cmpd="sng">
                                  <a:solidFill>
                                    <a:srgbClr val="000000"/>
                                  </a:solidFill>
                                  <a:prstDash val="solid"/>
                                  <a:headEnd type="none" w="med" len="med"/>
                                  <a:tailEnd type="triangle" w="med" len="med"/>
                                </a:ln>
                              </wps:spPr>
                              <wps:bodyPr upright="1"/>
                            </wps:wsp>
                            <wps:wsp>
                              <wps:cNvPr id="35" name="直接连接符 35"/>
                              <wps:cNvSpPr/>
                              <wps:spPr>
                                <a:xfrm>
                                  <a:off x="3484" y="624"/>
                                  <a:ext cx="540" cy="0"/>
                                </a:xfrm>
                                <a:prstGeom prst="line">
                                  <a:avLst/>
                                </a:prstGeom>
                                <a:ln w="9525" cap="flat" cmpd="sng">
                                  <a:solidFill>
                                    <a:srgbClr val="000000"/>
                                  </a:solidFill>
                                  <a:prstDash val="solid"/>
                                  <a:headEnd type="none" w="med" len="med"/>
                                  <a:tailEnd type="triangle" w="med" len="med"/>
                                </a:ln>
                              </wps:spPr>
                              <wps:bodyPr upright="1"/>
                            </wps:wsp>
                            <wps:wsp>
                              <wps:cNvPr id="36" name="直接连接符 36"/>
                              <wps:cNvSpPr/>
                              <wps:spPr>
                                <a:xfrm>
                                  <a:off x="4853" y="326"/>
                                  <a:ext cx="0" cy="624"/>
                                </a:xfrm>
                                <a:prstGeom prst="line">
                                  <a:avLst/>
                                </a:prstGeom>
                                <a:ln w="9525" cap="flat" cmpd="sng">
                                  <a:solidFill>
                                    <a:srgbClr val="000000"/>
                                  </a:solidFill>
                                  <a:prstDash val="solid"/>
                                  <a:headEnd type="none" w="med" len="med"/>
                                  <a:tailEnd type="none" w="med" len="med"/>
                                </a:ln>
                              </wps:spPr>
                              <wps:bodyPr upright="1"/>
                            </wps:wsp>
                            <wps:wsp>
                              <wps:cNvPr id="37" name="直接连接符 37"/>
                              <wps:cNvSpPr/>
                              <wps:spPr>
                                <a:xfrm>
                                  <a:off x="5629" y="312"/>
                                  <a:ext cx="0" cy="624"/>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3.05pt;margin-top:837.55pt;height:65pt;width:446.45pt;z-index:251658240;mso-width-relative:page;mso-height-relative:page;" coordsize="8929,1300" o:gfxdata="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esUfPtsAAAAM&#10;AQAADwAAAAAAAAABACAAAAAiAAAAZHJzL2Rvd25yZXYueG1sUEsBAhQAFAAAAAgAh07iQA/yuZMa&#10;BAAApR0AAA4AAAAAAAAAAQAgAAAAKgEAAGRycy9lMm9Eb2MueG1sUEsFBgAAAAAGAAYAWQEAALYH&#10;AAAAAA==&#10;">
                      <o:lock v:ext="edit" grouping="f" rotation="f" text="f" aspectratio="f"/>
                      <v:rect id="_x0000_s1026" o:spid="_x0000_s1026" o:spt="1" style="position:absolute;left:0;top:14;height:485;width:1267;"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生活污水</w:t>
                              </w:r>
                            </w:p>
                          </w:txbxContent>
                        </v:textbox>
                      </v:rect>
                      <v:rect id="_x0000_s1026" o:spid="_x0000_s1026" o:spt="1" style="position:absolute;left:4;top:815;height:485;width:1267;" fillcolor="#FFFFFF" filled="t" stroked="t" coordsize="21600,21600"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rPr>
                              </w:pPr>
                              <w:r>
                                <w:rPr>
                                  <w:rFonts w:hint="eastAsia"/>
                                </w:rPr>
                                <w:t>养殖粪尿水</w:t>
                              </w:r>
                            </w:p>
                          </w:txbxContent>
                        </v:textbox>
                      </v:rect>
                      <v:rect id="_x0000_s1026" o:spid="_x0000_s1026" o:spt="1" style="position:absolute;left:1864;top:0;height:485;width:1082;" fillcolor="#FFFFFF" filled="t" stroked="t" coordsize="21600,21600"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化粪池</w:t>
                              </w:r>
                            </w:p>
                          </w:txbxContent>
                        </v:textbox>
                      </v:rect>
                      <v:rect id="_x0000_s1026" o:spid="_x0000_s1026" o:spt="1" style="position:absolute;left:4002;top:312;height:626;width:2516;"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储存池 厌氧池 好氧池</w:t>
                              </w:r>
                            </w:p>
                          </w:txbxContent>
                        </v:textbox>
                      </v:rect>
                      <v:line id="_x0000_s1026" o:spid="_x0000_s1026" o:spt="20" style="position:absolute;left:6536;top:647;height:0;width:723;"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7128;top:440;height:485;width:1801;" filled="f" stroked="f" coordsize="21600,21600" o:gfxdata="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4r4c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施肥或其他用途</w:t>
                              </w:r>
                            </w:p>
                          </w:txbxContent>
                        </v:textbox>
                      </v:rect>
                      <v:line id="_x0000_s1026" o:spid="_x0000_s1026" o:spt="20" style="position:absolute;left:3473;top:170;height:936;width:0;"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94;top:192;height:0;width:54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294;top:1077;height:7;width:2156;"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933;top:200;height:0;width:540;"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484;top:624;height:0;width:540;"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853;top:326;height:624;width:0;"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629;top:312;height:624;width: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rFonts w:hint="default" w:ascii="Times New Roman" w:hAnsi="Times New Roman" w:eastAsia="黑体" w:cs="Times New Roman"/>
                <w:bCs/>
                <w:sz w:val="28"/>
                <w:szCs w:val="28"/>
                <w:highlight w:val="none"/>
              </w:rPr>
              <w:t>营运期环境影响分析：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本工程输送和储存介质为天然气，工艺流程为简单的物理过程，运行期在正常情况下，污染物产生量较小，当设备、管道检修时有少量天然气排放。根据工程供气流程， 输气管道运行期间采用密闭输送，正常情况不会泄漏天然气，而且天然气为干气，不产生凝结水和固废。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本工程运营期的主要环境影响因素包括：（1）检修或管道超压和管道泄漏时少量天然气气体排放；（2）对管道经过路线的土地利用和社会影响。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1、水污染源分析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本工程为天然气输配工程，管道正常运行时没有生产废水产生。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2、大气污染源分析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本工程为天然气管道工程，正常情况下，输气管道密闭运行，无废气排放，因此不会造成空气污染。只有在管道检修等非正常工况下，会有少量天然气在管道中释放出来， 由于管道检修一次泄漏量很少，约 10m</w:t>
            </w:r>
            <w:r>
              <w:rPr>
                <w:rFonts w:hint="default" w:ascii="Times New Roman" w:hAnsi="Times New Roman" w:cs="Times New Roman"/>
                <w:sz w:val="24"/>
                <w:vertAlign w:val="superscript"/>
              </w:rPr>
              <w:t>3</w:t>
            </w:r>
            <w:r>
              <w:rPr>
                <w:rFonts w:hint="default" w:ascii="Times New Roman" w:hAnsi="Times New Roman" w:cs="Times New Roman"/>
                <w:sz w:val="24"/>
              </w:rPr>
              <w:t>/次，每次释放时间约 10min，每年只有 1~2 次， 对其采取收集就地燃烧的措施处理，因此，基本不会对环境空气质量产生影响。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3、噪声源分析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管道正常运行过程中无噪声产生。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4、固体废物</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本项目营运期无固体废物产生。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5、生态和社会影响分析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的管道工程建成投入运行后，管沟开挖部分通过植被恢复可大大降低项目建设对陆生生态的影响，对城区道路的影响也即消除。供应的天然气属清洁能源，替代部分重油、煤等污染较大的能源后，可减少大气污染物的排放，间接降低大气污染物排放对生态环境的影响。但天然气管道属安全和消防重点保护对象，管线附近用地会受到限制，对城镇发展构成一定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采用定向钻法建设河流穿越工程，建成后不会对河流水生生物、水动力、河堤安全和水土流失构成不利影响。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（1）营运期陆生生态环境影响分析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①对植被的破坏</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规模较小，无站场，管道埋地，对植被的破坏并不严重。项目区各群落生态环境质量综合指数均处于较低的级别，生态系统多样性并不高，生态系统功能也较低。且这些物种多为人工种植或较易繁殖和传播的物种，没有国家保护的珍稀濒危植物和古树名树。总体看来，项目建设不会给区域的植物资源造成很大破坏，造成的损失较轻微。只要加强项目和周边地区的绿化和生态建设，最大限度地保留原有植被， 多采用土著种绿化，就能够补偿原有生态环境的破坏，维护区域的生物多样性。</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②对景观的影响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景观是构成视觉图案的地貌和土地覆盖物，是人们对诸如自然景物和城市建筑物等环境因素审美的综合反映。依据土地利用状况的差异，建设项目原有景观可分为林地、农田、鱼塘和公路绿化地等其他用地。</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项目建设将使原有的景观发生变化，原有的林地、农田、鱼塘和公路绿化植被等将消失，并增加部分人工绿化景观。若项目建设区域绿化建设能够合理安排，则可以给人以视觉美感与身心愉悦。</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③对陆生生物及栖息地的影响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项目建设完成后，燃气管道临时占地将使部分陆生动物的觅食地与栖息地消失， 导致这些动物如鼠类、蛙类等迁出，增加区域外这类动物的密度。同时也使蛇类等迁居到高地。但种群数量与种类不会有太大变化。但是项目区域内无珍稀野生动物、无国家保护的濒危动物，因此，项目建设对陆生动物影响不大。</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（2）营运期水生生态环境影响分析</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本工程采用定向钻法建设河流穿越工程，建成后不会对河流水生生物、水动力、河堤安全和水土流失构成不利影响。对原有河道形态和水文条件并无改变和影响。因此项目营运期对水生生态环境质量影响轻微。</w:t>
            </w:r>
          </w:p>
          <w:p>
            <w:pPr>
              <w:adjustRightInd w:val="0"/>
              <w:snapToGrid w:val="0"/>
              <w:spacing w:line="520" w:lineRule="exact"/>
              <w:ind w:firstLine="482" w:firstLineChars="200"/>
              <w:rPr>
                <w:b/>
                <w:sz w:val="24"/>
              </w:rPr>
            </w:pPr>
            <w:r>
              <w:rPr>
                <w:rFonts w:hint="eastAsia"/>
                <w:b/>
                <w:sz w:val="24"/>
              </w:rPr>
              <w:t>5、环境风险分析</w:t>
            </w:r>
          </w:p>
          <w:p>
            <w:pPr>
              <w:pStyle w:val="8"/>
              <w:adjustRightInd w:val="0"/>
              <w:snapToGrid w:val="0"/>
              <w:spacing w:line="520" w:lineRule="exact"/>
              <w:ind w:firstLine="482" w:firstLineChars="200"/>
              <w:jc w:val="left"/>
              <w:rPr>
                <w:rFonts w:ascii="Times New Roman"/>
                <w:b/>
                <w:sz w:val="24"/>
              </w:rPr>
            </w:pPr>
            <w:r>
              <w:rPr>
                <w:rFonts w:hint="eastAsia" w:ascii="Times New Roman"/>
                <w:b/>
                <w:sz w:val="24"/>
              </w:rPr>
              <w:t>5.1风险识别</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环境风险评价的目的是分析和预测建设项目存在的潜在危险，建设项目建设和运行期间发生的突发性事件，有毒有害和易燃易爆等物质的泄漏，所造成的人身安全与环境影响，提出合理可行的防范、应急措施，以使事故率、损失达到可接受水平。</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该工程的主要工艺是在密闭的系统内输送天然气，因此工程存在的主要环境风险主要为：</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1)管道破裂时泄漏的天然气对附近环境空气质量造成不良影响；</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2)发生火灾事故时，火灾产生的大量浓烟对周围大气环境造成的影响；</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3)穿越河道的管道发生破裂时，泄漏的天然气对河道水环境质量造成不良影响；</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4)发生火灾事故时，灭火过程中产生的消防废水对水环境质量造成不良影响。</w:t>
            </w:r>
          </w:p>
          <w:p>
            <w:pPr>
              <w:autoSpaceDE w:val="0"/>
              <w:autoSpaceDN w:val="0"/>
              <w:adjustRightInd w:val="0"/>
              <w:snapToGrid w:val="0"/>
              <w:spacing w:line="520" w:lineRule="exact"/>
              <w:ind w:firstLine="472" w:firstLineChars="196"/>
              <w:jc w:val="left"/>
              <w:rPr>
                <w:b/>
                <w:sz w:val="24"/>
              </w:rPr>
            </w:pPr>
            <w:r>
              <w:rPr>
                <w:rFonts w:hint="eastAsia"/>
                <w:b/>
                <w:sz w:val="24"/>
              </w:rPr>
              <w:t>5.2风险防范措施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1）对穿越公路、河流、城市主要道路的管道，应减少接口，且穿越前应对连接好的管段进行强度和严密性试验。</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2）地下燃气管道不宜与其他管道或光缆同沟敷设，当需要同沟敷设时，必须采取防护措施。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3）严格控制天然气质量，定期清管，排除管内的给水和污物，以减轻管道腐蚀。</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4）PE 管下沟前必须进行外观检查，回填后必须管线进行全线试压检查。</w:t>
            </w:r>
          </w:p>
          <w:p>
            <w:pPr>
              <w:adjustRightInd w:val="0"/>
              <w:snapToGrid w:val="0"/>
              <w:spacing w:line="520" w:lineRule="exact"/>
              <w:ind w:firstLine="480" w:firstLineChars="200"/>
              <w:rPr>
                <w:rFonts w:hint="eastAsia"/>
                <w:sz w:val="24"/>
              </w:rPr>
            </w:pPr>
            <w:r>
              <w:rPr>
                <w:rFonts w:hint="eastAsia"/>
                <w:sz w:val="24"/>
              </w:rPr>
              <w:t>5）任何单位和个人发现破坏天然气管道设施或者在天然气管道上打孔、锯口盗窃管道输送的天然气，或故意制造污染的行为，应当及时向所在地公安机关报案。</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6）天然气管道设施运营企业应当在下列地点设置永久性安全警示牌；</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①管道线路穿越的人口密集地段和人员活动频繁的地区；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②车辆、机械频繁穿越管道线路的地段；</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③易遭车辆碰撞和人畜破坏的管道沿线地段；</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④河流的穿跨越地段；</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⑤重点地段、路口及管道经过的村镇应当设立保护管道的宣传牌或警示标志。</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7）天然气管道设施运营企业应依法委托有资质的安全评价机构定期对天然气管道设施进行安全评价，并将评价报告报所在地安全生产监督管理部门备案。</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8）天然气管道设施运营企业应当加强对天然气管道设施的曰常巡护，及时维修保养。</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9）天然气管道设施运营企业可以将天然气管道设施委托所在地的有关单位或者人员负责保护，签订委托保护书，明确委托方和被委托方的权利和义务，并由委托方将委托保护书抄送镇人民政府主管天然气管道设施保护的主管部门备案。天然气管道设施保护人员如有变化应当办理交接手续，重新签订责任书。</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10）受委托保护天然气管道设施的单位和个人应当按照所签协议的要求经常察看天然气管道设施状况；发现天然气管道设施损毁时应及时报告，并保护现场。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11）任何单位和个人未经批准不得随意拆除、拆迁符合规划的天然气管道设施， 不得在天然气管道设施保护范围内修建各类建(构)筑物、挖砂取土、打井、 排放腐蚀性物质和种植深根作物。</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12）不得移动、拆除、损坏管道设施以及为保护管道设施安全而设置的标志、标识。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13）不得在管道中心线两侧各5米范围内，取土、挖塘、修渠、修建养殖水场，排放腐蚀性物质，堆放大宗物资，釆石、盖房、建温室、家畜棚圈、修筑其他建筑物、构筑物或者种植深根植物。</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14）不得在管道中心线两侧或者管道设施场区外各50米范围内，爆破、开山和修筑大型建筑物、构筑物工程。</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15）不得在埋地管道设施上方巡查便道上行驶机动车辆或者在地面管道设施、架空管道设施上行走。</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16）不得危害管道设施安全的其他行为。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17）穿越河流的管道设施，由管道企业与河道、航道管理单位根据国家有关规定确定安全保护范围，并设置标志。</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18）管道设施发生事故时，管道企业应当及时组织抢修，任何单位和个人不得以任何方式阻挠、妨碍抢修工作。</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19）任何单位在管道设施全保护范围内进行下列施工时，应当事先先通知管道企业，并釆取相应的保护措施：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①新建、改(扩)建铁路、公路、桥梁、河渠、架空电力线路；</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②埋设地下电(光)缆；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③设置安全或者避雷接地体。</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20）制订应急操作规程，在规程中应说明发生管道事故时应采取的操作步骤，规定抢修进度，限制事故的影响，制定特殊危险事件及突发事件的应急处理计划，并进行必要的实践训练，保证突发情况下的安全；另外还应说明与管道操作人员有关的安全问题。</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21）操作人员每周应进行安全活动，提高职工的安全意识，识别事故发生前的异常状态，并采取相应的措施；建立健全各类安全检查管理规章制度，不断进行安全检查， 及时发现和排除隐患，防止事故发生；并建立安全卫生质量保证体系和信息反馈体系。加强全员教育培训和员工的工作责任心，增强安全意识，提高安全操作技能和事故应急处理能力，安全操作杜绝一切违章非安全行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22）对管道附近的居民加强教育，普及天然气管道安全知识，进一步宣传贯彻、落实《石油天然气管道保护条例》，减少、避免发生第三方破坏的事故。</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23）对重要的仪器设备有完善的检查项目、维护方法；按计划进行定期维护；有专门档案(包括维护记录档案)，文件齐全。</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24）机械或其他外部影响：政府有关部门应高度重视，广泛宣传教育，加强市民使用燃气的安全意识，制订保护燃气设施强制性政策及措施。认真贯彻落实建设部有关文件精神，加强日常巡线检查，制订巡线制度，加强巡线人员的业务水平及责任心，设置地下燃气管标志，消除燃气管网的安全隐患，作好安全预防工作。</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25）材料、设备的质量：材料、设备的选择应认真考察，材料选择应符合当地燃气</w:t>
            </w:r>
          </w:p>
          <w:p>
            <w:pPr>
              <w:adjustRightInd w:val="0"/>
              <w:snapToGrid w:val="0"/>
              <w:spacing w:line="520" w:lineRule="exact"/>
              <w:rPr>
                <w:rFonts w:hint="default" w:ascii="Times New Roman" w:hAnsi="Times New Roman" w:cs="Times New Roman"/>
                <w:sz w:val="24"/>
              </w:rPr>
            </w:pPr>
            <w:r>
              <w:rPr>
                <w:rFonts w:hint="default" w:ascii="Times New Roman" w:hAnsi="Times New Roman" w:cs="Times New Roman"/>
                <w:sz w:val="24"/>
              </w:rPr>
              <w:t>的实际情况，在运行过程中对设备逐步进行改进。制订燃气设备(调压器、 阀门）的维护、保养规程。根据实际情况缩短维护、保养周期。</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26）燃气质量：燃气质量应符合相关的国家标准，根据气候条件适当提高质量标准，落实生产责任制，在生产时应严格把关，随时跟踪检测分析。</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27）技术、施工标准：在天然气工程的设计、施工、验收、运行及维修工作中， 严格执行有关国家标准、规范及规程，技术人员实地勘查，根据实际情况适当提高有关标准。对技术人员、安装人员进行培训，以掌握新工艺、新规范，根据有关国家标准编制本公司的技术、施工标准。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28）管网运行应配置远程监测系统进行自动控制，一旦发生泄漏可及时发现关闭阀门，杜绝风险事故发生。</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29）输气管道同地面建（构）筑物的最小间距符合《城镇燃气设计规范》 GB50028-2006的要求。</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30）选用优质可靠的管材和关键工艺设备，保障管道的运行安全；关键的阀门选用进口阀门，以减少漏气的可能性。</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31）管道穿越不同地段，采用不同的敷设方式，保证管道安全；如管道穿越城市快速路，应加套管保护，穿越河流等应加大管道埋深。</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32）管线防腐采用外防腐材料和牺牲阳极阴极保护结合的方式保护管道，不同地段防腐级别不同，穿越城市快速路、河流等处应增加防腐级别。</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33）管道配置检漏和抢修设备，能快速、准确地发现漏点，并能及时地进行处理。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34）管道有专职人员利用专用设备如检漏车，便携式检漏仪等进行巡线，及时发现泄漏情况，并及时处理。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35）人口密集的村庄及城镇居民区一旦发生燃气泄漏爆炸事故，将会对近距离的居民的生命财产安全造成重大威胁，应采取以下防范措施：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①全线铺设警示带；</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②人口密集区域管线可以适当增加直缝电阻焊钢管的比例，增加管线材质的抗压强度，减小管道破裂事故的发生概率；</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③沿线每隔100米设置一个加密桩，并适当增加警示牌的数量；</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④部分靠近村庄和城镇居民的密集段，为了防止第三方破坏，可以适当的增加盖板进行保护；</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⑤在村庄和城镇居民集聚段，经常开展形式多样的宣传活动，利用新闻媒体大沥宣传违章占压天然气管道的危害，加大监督力度，对违章占压燃气设施的情况进行摸底， 通过积极的方法与占压单位或者个人协商，进行改造消除，保证燃气管线的安全运行。</w:t>
            </w:r>
          </w:p>
          <w:p>
            <w:pPr>
              <w:adjustRightInd w:val="0"/>
              <w:snapToGrid w:val="0"/>
              <w:spacing w:line="520" w:lineRule="exact"/>
              <w:ind w:firstLine="480" w:firstLineChars="200"/>
              <w:rPr>
                <w:rFonts w:hint="eastAsia"/>
                <w:sz w:val="24"/>
              </w:rPr>
            </w:pPr>
            <w:r>
              <w:rPr>
                <w:rFonts w:hint="eastAsia"/>
                <w:sz w:val="24"/>
              </w:rPr>
              <w:t>（3）事故应急预案</w:t>
            </w:r>
          </w:p>
          <w:p>
            <w:pPr>
              <w:adjustRightInd w:val="0"/>
              <w:snapToGrid w:val="0"/>
              <w:spacing w:line="520" w:lineRule="exact"/>
              <w:ind w:firstLine="480" w:firstLineChars="200"/>
              <w:rPr>
                <w:rFonts w:hint="eastAsia"/>
                <w:sz w:val="24"/>
              </w:rPr>
            </w:pPr>
            <w:r>
              <w:rPr>
                <w:rFonts w:hint="eastAsia"/>
                <w:sz w:val="24"/>
              </w:rPr>
              <w:t>1）火灾等事故发生后，应立即向有关环境管理部门报告，请求环境管理部门应急预测工作组进行应急监测，综合分析突发环境事故污染变化趋势，预测突发污染事故的发展情况和污染物的变化情况，作为突发环境事件应急决策的依据。</w:t>
            </w:r>
          </w:p>
          <w:p>
            <w:pPr>
              <w:adjustRightInd w:val="0"/>
              <w:snapToGrid w:val="0"/>
              <w:spacing w:line="520" w:lineRule="exact"/>
              <w:ind w:firstLine="480" w:firstLineChars="200"/>
              <w:rPr>
                <w:rFonts w:hint="eastAsia"/>
                <w:sz w:val="24"/>
              </w:rPr>
            </w:pPr>
            <w:r>
              <w:rPr>
                <w:rFonts w:hint="eastAsia"/>
                <w:sz w:val="24"/>
              </w:rPr>
              <w:t>2）一旦发生火灾后，消防过程中同样会产生二次环境风险，当天然气管线发生泄漏起火事故后，使用干粉和氮气灭火，但还需要通过大量雾状水，将燃烧区周围的物品进行冷却，驱散，因此在燃气管线的灭火过程中会产生大量的消防废水，消防废水如果直接经市政雨水或污水管网进入纳污水体或市政污水处理厂，将对地面水体或污水厂处理效果造成一定影响。建议建设单位拟采取以下风险防范措施对事故消防废水进行处理：</w:t>
            </w:r>
          </w:p>
          <w:p>
            <w:pPr>
              <w:adjustRightInd w:val="0"/>
              <w:snapToGrid w:val="0"/>
              <w:spacing w:line="520" w:lineRule="exact"/>
              <w:ind w:firstLine="480" w:firstLineChars="200"/>
              <w:rPr>
                <w:rFonts w:hint="eastAsia"/>
                <w:sz w:val="24"/>
              </w:rPr>
            </w:pPr>
            <w:r>
              <w:rPr>
                <w:rFonts w:hint="eastAsia"/>
                <w:sz w:val="24"/>
              </w:rPr>
              <w:t>在发生火灾管道的周围用堆土设置围堰对消防废水进行收集，考虑到消防用水一般为净洁用水，整个过程基本上除了水流冲刷泥土外，基本上没有其他污染物进入水中， 因此集水池的污水通过自然沉淀后，上层清水用水排入附近市政污水管网，引至城镇污水处理厂处理，下层泥沙以地表土层为主，可以直接进行填埋。</w:t>
            </w:r>
          </w:p>
          <w:p>
            <w:pPr>
              <w:adjustRightInd w:val="0"/>
              <w:snapToGrid w:val="0"/>
              <w:spacing w:line="520" w:lineRule="exact"/>
              <w:ind w:firstLine="480" w:firstLineChars="200"/>
              <w:rPr>
                <w:rFonts w:hint="eastAsia"/>
                <w:sz w:val="24"/>
              </w:rPr>
            </w:pPr>
            <w:r>
              <w:rPr>
                <w:rFonts w:hint="eastAsia"/>
                <w:sz w:val="24"/>
              </w:rPr>
              <w:t>3）本项目穿越河流路段均采用定向钻工艺，由于天然气密度比空气小，且溶解率很低，一旦输气管道发生破裂，天然气的泄漏一般不会进入水体，而是迅速扩散于空气中，对水质的直接影响很小，通过严格管理，规范施工，可以将影响降低到最小。而且本项目管道穿越的河流均不属于饮用水源保护区，不会对供水安全构成威胁。</w:t>
            </w:r>
          </w:p>
          <w:p>
            <w:pPr>
              <w:adjustRightInd w:val="0"/>
              <w:snapToGrid w:val="0"/>
              <w:spacing w:line="520" w:lineRule="exact"/>
              <w:ind w:firstLine="480" w:firstLineChars="200"/>
              <w:rPr>
                <w:rFonts w:hint="eastAsia"/>
                <w:sz w:val="24"/>
              </w:rPr>
            </w:pPr>
            <w:r>
              <w:rPr>
                <w:rFonts w:hint="eastAsia"/>
                <w:sz w:val="24"/>
              </w:rPr>
              <w:t>（4）环境风险评价结论</w:t>
            </w:r>
          </w:p>
          <w:p>
            <w:pPr>
              <w:adjustRightInd w:val="0"/>
              <w:snapToGrid w:val="0"/>
              <w:spacing w:line="520" w:lineRule="exact"/>
              <w:ind w:firstLine="480" w:firstLineChars="200"/>
              <w:rPr>
                <w:rFonts w:hint="eastAsia"/>
                <w:sz w:val="24"/>
              </w:rPr>
            </w:pPr>
            <w:r>
              <w:rPr>
                <w:rFonts w:hint="eastAsia"/>
                <w:sz w:val="24"/>
              </w:rPr>
              <w:t>综上所述，本项目的环境风险主要是输气管道发生泄漏、火灾、爆炸事故所引发的环境污染，建设单位首先应树立环境风险意识，并在日常运行管理过程当中增强环境风险意识，指定切实可行的环境风险应急预案，当出现事故时，要及时采取应急措施，立即与环境管理部门联络，以控制事故和减少对环境造成的危害。</w:t>
            </w:r>
          </w:p>
          <w:p>
            <w:pPr>
              <w:spacing w:before="156" w:line="520" w:lineRule="exact"/>
              <w:rPr>
                <w:rFonts w:hint="default" w:ascii="Times New Roman" w:hAnsi="Times New Roman" w:cs="Times New Roman"/>
                <w:b/>
                <w:bCs/>
                <w:sz w:val="24"/>
                <w:highlight w:val="none"/>
              </w:rPr>
            </w:pPr>
            <w:r>
              <w:rPr>
                <w:rFonts w:hint="default" w:ascii="Times New Roman" w:hAnsi="Times New Roman" w:cs="Times New Roman"/>
                <w:b/>
                <w:bCs/>
                <w:sz w:val="24"/>
                <w:highlight w:val="none"/>
              </w:rPr>
              <w:t>6、环保设施投资估算</w:t>
            </w:r>
          </w:p>
          <w:p>
            <w:pPr>
              <w:spacing w:before="156" w:line="520" w:lineRule="exact"/>
              <w:ind w:firstLine="480" w:firstLineChars="200"/>
              <w:rPr>
                <w:rFonts w:hint="default" w:ascii="Times New Roman" w:hAnsi="Times New Roman" w:cs="Times New Roman"/>
                <w:kern w:val="44"/>
                <w:sz w:val="24"/>
                <w:highlight w:val="none"/>
              </w:rPr>
            </w:pPr>
            <w:r>
              <w:rPr>
                <w:rFonts w:hint="default" w:ascii="Times New Roman" w:hAnsi="Times New Roman" w:cs="Times New Roman"/>
                <w:sz w:val="24"/>
                <w:highlight w:val="none"/>
              </w:rPr>
              <w:t>本项目总投资</w:t>
            </w:r>
            <w:r>
              <w:rPr>
                <w:rFonts w:hint="eastAsia" w:ascii="Times New Roman" w:hAnsi="Times New Roman" w:cs="Times New Roman"/>
                <w:sz w:val="24"/>
                <w:highlight w:val="none"/>
                <w:lang w:val="en-US" w:eastAsia="zh-CN"/>
              </w:rPr>
              <w:t>120</w:t>
            </w:r>
            <w:r>
              <w:rPr>
                <w:rFonts w:hint="default" w:ascii="Times New Roman" w:hAnsi="Times New Roman" w:cs="Times New Roman"/>
                <w:sz w:val="24"/>
                <w:highlight w:val="none"/>
              </w:rPr>
              <w:t>00万元，其中环保投资</w:t>
            </w:r>
            <w:r>
              <w:rPr>
                <w:rFonts w:hint="eastAsia" w:ascii="Times New Roman" w:hAnsi="Times New Roman" w:cs="Times New Roman"/>
                <w:sz w:val="24"/>
                <w:highlight w:val="none"/>
                <w:lang w:val="en-US" w:eastAsia="zh-CN"/>
              </w:rPr>
              <w:t>361</w:t>
            </w:r>
            <w:r>
              <w:rPr>
                <w:rFonts w:hint="default" w:ascii="Times New Roman" w:hAnsi="Times New Roman" w:cs="Times New Roman"/>
                <w:sz w:val="24"/>
                <w:highlight w:val="none"/>
              </w:rPr>
              <w:t>万元，占总投资</w:t>
            </w:r>
            <w:r>
              <w:rPr>
                <w:rFonts w:hint="eastAsia" w:ascii="Times New Roman" w:hAnsi="Times New Roman" w:cs="Times New Roman"/>
                <w:sz w:val="24"/>
                <w:highlight w:val="none"/>
                <w:lang w:val="en-US" w:eastAsia="zh-CN"/>
              </w:rPr>
              <w:t>3.0</w:t>
            </w:r>
            <w:r>
              <w:rPr>
                <w:rFonts w:hint="default" w:ascii="Times New Roman" w:hAnsi="Times New Roman" w:cs="Times New Roman"/>
                <w:sz w:val="24"/>
                <w:highlight w:val="none"/>
              </w:rPr>
              <w:t>%，环保投资估算见表2</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rPr>
              <w:t>、环保“三同时”验收一览表见表</w:t>
            </w:r>
            <w:r>
              <w:rPr>
                <w:rFonts w:hint="eastAsia" w:ascii="Times New Roman" w:hAnsi="Times New Roman" w:cs="Times New Roman"/>
                <w:sz w:val="24"/>
                <w:highlight w:val="none"/>
                <w:lang w:val="en-US" w:eastAsia="zh-CN"/>
              </w:rPr>
              <w:t>16</w:t>
            </w:r>
            <w:r>
              <w:rPr>
                <w:rFonts w:hint="default" w:ascii="Times New Roman" w:hAnsi="Times New Roman" w:cs="Times New Roman"/>
                <w:kern w:val="44"/>
                <w:sz w:val="24"/>
                <w:highlight w:val="none"/>
              </w:rPr>
              <w:t>。</w:t>
            </w:r>
          </w:p>
          <w:p>
            <w:pPr>
              <w:spacing w:before="78" w:beforeLines="25" w:line="480" w:lineRule="exact"/>
              <w:ind w:firstLine="2870" w:firstLineChars="1191"/>
              <w:rPr>
                <w:rFonts w:hint="default" w:ascii="Times New Roman" w:hAnsi="Times New Roman" w:cs="Times New Roman"/>
                <w:b/>
                <w:bCs/>
                <w:sz w:val="24"/>
                <w:highlight w:val="none"/>
              </w:rPr>
            </w:pPr>
            <w:r>
              <w:rPr>
                <w:rFonts w:hint="default" w:ascii="Times New Roman" w:hAnsi="Times New Roman" w:cs="Times New Roman"/>
                <w:b/>
                <w:bCs/>
                <w:sz w:val="24"/>
                <w:highlight w:val="none"/>
              </w:rPr>
              <w:t xml:space="preserve">  表</w:t>
            </w:r>
            <w:r>
              <w:rPr>
                <w:rFonts w:hint="eastAsia" w:ascii="Times New Roman" w:hAnsi="Times New Roman" w:cs="Times New Roman"/>
                <w:b/>
                <w:bCs/>
                <w:sz w:val="24"/>
                <w:highlight w:val="none"/>
                <w:lang w:val="en-US" w:eastAsia="zh-CN"/>
              </w:rPr>
              <w:t>16</w:t>
            </w:r>
            <w:r>
              <w:rPr>
                <w:rFonts w:hint="default" w:ascii="Times New Roman" w:hAnsi="Times New Roman" w:cs="Times New Roman"/>
                <w:b/>
                <w:bCs/>
                <w:sz w:val="24"/>
                <w:highlight w:val="none"/>
              </w:rPr>
              <w:t xml:space="preserve">    环保投资估算表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705"/>
              <w:gridCol w:w="798"/>
              <w:gridCol w:w="1669"/>
              <w:gridCol w:w="4549"/>
              <w:gridCol w:w="1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68" w:hRule="atLeast"/>
                <w:jc w:val="center"/>
              </w:trPr>
              <w:tc>
                <w:tcPr>
                  <w:tcW w:w="705" w:type="dxa"/>
                  <w:noWrap w:val="0"/>
                  <w:vAlign w:val="center"/>
                </w:tcPr>
                <w:p>
                  <w:pPr>
                    <w:spacing w:line="36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阶段</w:t>
                  </w:r>
                </w:p>
              </w:tc>
              <w:tc>
                <w:tcPr>
                  <w:tcW w:w="2467" w:type="dxa"/>
                  <w:gridSpan w:val="2"/>
                  <w:noWrap w:val="0"/>
                  <w:vAlign w:val="center"/>
                </w:tcPr>
                <w:p>
                  <w:pPr>
                    <w:spacing w:line="36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项目</w:t>
                  </w:r>
                </w:p>
              </w:tc>
              <w:tc>
                <w:tcPr>
                  <w:tcW w:w="4549" w:type="dxa"/>
                  <w:noWrap w:val="0"/>
                  <w:vAlign w:val="center"/>
                </w:tcPr>
                <w:p>
                  <w:pPr>
                    <w:spacing w:line="36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处理措施</w:t>
                  </w:r>
                </w:p>
              </w:tc>
              <w:tc>
                <w:tcPr>
                  <w:tcW w:w="1384" w:type="dxa"/>
                  <w:noWrap w:val="0"/>
                  <w:vAlign w:val="center"/>
                </w:tcPr>
                <w:p>
                  <w:pPr>
                    <w:spacing w:line="36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restart"/>
                  <w:noWrap w:val="0"/>
                  <w:vAlign w:val="center"/>
                </w:tcPr>
                <w:p>
                  <w:pPr>
                    <w:spacing w:line="360" w:lineRule="exact"/>
                    <w:jc w:val="center"/>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eastAsia="zh-CN"/>
                    </w:rPr>
                    <w:t>施</w:t>
                  </w:r>
                </w:p>
                <w:p>
                  <w:pPr>
                    <w:spacing w:line="360" w:lineRule="exact"/>
                    <w:jc w:val="center"/>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eastAsia="zh-CN"/>
                    </w:rPr>
                    <w:t>工</w:t>
                  </w:r>
                </w:p>
                <w:p>
                  <w:pPr>
                    <w:spacing w:line="36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期</w:t>
                  </w:r>
                </w:p>
              </w:tc>
              <w:tc>
                <w:tcPr>
                  <w:tcW w:w="798"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废气</w:t>
                  </w:r>
                </w:p>
              </w:tc>
              <w:tc>
                <w:tcPr>
                  <w:tcW w:w="1669" w:type="dxa"/>
                  <w:noWrap w:val="0"/>
                  <w:vAlign w:val="center"/>
                </w:tcPr>
                <w:p>
                  <w:pPr>
                    <w:spacing w:line="28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bCs/>
                      <w:szCs w:val="21"/>
                      <w:highlight w:val="none"/>
                      <w:lang w:eastAsia="zh-CN"/>
                    </w:rPr>
                    <w:t>施工扬尘</w:t>
                  </w:r>
                </w:p>
              </w:tc>
              <w:tc>
                <w:tcPr>
                  <w:tcW w:w="4549" w:type="dxa"/>
                  <w:noWrap w:val="0"/>
                  <w:vAlign w:val="center"/>
                </w:tcPr>
                <w:p>
                  <w:pPr>
                    <w:spacing w:line="28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pacing w:val="-3"/>
                      <w:szCs w:val="21"/>
                      <w:highlight w:val="none"/>
                      <w:lang w:eastAsia="zh-CN"/>
                    </w:rPr>
                    <w:t>施工场地围挡</w:t>
                  </w:r>
                  <w:r>
                    <w:rPr>
                      <w:rFonts w:hint="eastAsia" w:ascii="Times New Roman" w:hAnsi="Times New Roman" w:cs="Times New Roman"/>
                      <w:spacing w:val="-3"/>
                      <w:szCs w:val="21"/>
                      <w:highlight w:val="none"/>
                      <w:lang w:val="en-US" w:eastAsia="zh-CN"/>
                    </w:rPr>
                    <w:t>+场地喷淋设备</w:t>
                  </w:r>
                </w:p>
              </w:tc>
              <w:tc>
                <w:tcPr>
                  <w:tcW w:w="1384" w:type="dxa"/>
                  <w:noWrap w:val="0"/>
                  <w:vAlign w:val="center"/>
                </w:tcPr>
                <w:p>
                  <w:pPr>
                    <w:snapToGrid w:val="0"/>
                    <w:spacing w:line="34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none"/>
                    </w:rPr>
                  </w:pPr>
                </w:p>
              </w:tc>
              <w:tc>
                <w:tcPr>
                  <w:tcW w:w="798"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废水</w:t>
                  </w:r>
                </w:p>
              </w:tc>
              <w:tc>
                <w:tcPr>
                  <w:tcW w:w="1669"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员工生活</w:t>
                  </w:r>
                </w:p>
              </w:tc>
              <w:tc>
                <w:tcPr>
                  <w:tcW w:w="4549" w:type="dxa"/>
                  <w:noWrap w:val="0"/>
                  <w:vAlign w:val="center"/>
                </w:tcPr>
                <w:p>
                  <w:pPr>
                    <w:spacing w:line="280" w:lineRule="exact"/>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pacing w:val="-3"/>
                      <w:szCs w:val="21"/>
                      <w:highlight w:val="none"/>
                    </w:rPr>
                    <w:t>化粪池处理后，</w:t>
                  </w:r>
                  <w:r>
                    <w:rPr>
                      <w:rFonts w:hint="eastAsia" w:ascii="Times New Roman" w:hAnsi="Times New Roman" w:cs="Times New Roman"/>
                      <w:spacing w:val="-3"/>
                      <w:szCs w:val="21"/>
                      <w:highlight w:val="none"/>
                      <w:lang w:val="en-US" w:eastAsia="zh-CN"/>
                    </w:rPr>
                    <w:t>用于周边农田肥田</w:t>
                  </w:r>
                </w:p>
              </w:tc>
              <w:tc>
                <w:tcPr>
                  <w:tcW w:w="1384" w:type="dxa"/>
                  <w:noWrap w:val="0"/>
                  <w:vAlign w:val="center"/>
                </w:tcPr>
                <w:p>
                  <w:pPr>
                    <w:snapToGrid w:val="0"/>
                    <w:spacing w:line="34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none"/>
                    </w:rPr>
                  </w:pPr>
                </w:p>
              </w:tc>
              <w:tc>
                <w:tcPr>
                  <w:tcW w:w="798"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噪声</w:t>
                  </w:r>
                </w:p>
              </w:tc>
              <w:tc>
                <w:tcPr>
                  <w:tcW w:w="1669"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机械设备</w:t>
                  </w:r>
                </w:p>
              </w:tc>
              <w:tc>
                <w:tcPr>
                  <w:tcW w:w="4549"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减振、隔声措施</w:t>
                  </w:r>
                </w:p>
              </w:tc>
              <w:tc>
                <w:tcPr>
                  <w:tcW w:w="1384" w:type="dxa"/>
                  <w:noWrap w:val="0"/>
                  <w:vAlign w:val="center"/>
                </w:tcPr>
                <w:p>
                  <w:pPr>
                    <w:snapToGrid w:val="0"/>
                    <w:spacing w:line="34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bCs/>
                      <w:szCs w:val="21"/>
                      <w:highlight w:val="no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none"/>
                    </w:rPr>
                  </w:pPr>
                </w:p>
              </w:tc>
              <w:tc>
                <w:tcPr>
                  <w:tcW w:w="798" w:type="dxa"/>
                  <w:vMerge w:val="restart"/>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固体废物</w:t>
                  </w:r>
                </w:p>
              </w:tc>
              <w:tc>
                <w:tcPr>
                  <w:tcW w:w="1669"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生活垃圾</w:t>
                  </w:r>
                </w:p>
              </w:tc>
              <w:tc>
                <w:tcPr>
                  <w:tcW w:w="4549"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spacing w:val="-3"/>
                      <w:szCs w:val="21"/>
                      <w:highlight w:val="none"/>
                    </w:rPr>
                    <w:t>垃圾箱</w:t>
                  </w:r>
                </w:p>
              </w:tc>
              <w:tc>
                <w:tcPr>
                  <w:tcW w:w="1384" w:type="dxa"/>
                  <w:noWrap w:val="0"/>
                  <w:vAlign w:val="center"/>
                </w:tcPr>
                <w:p>
                  <w:pPr>
                    <w:snapToGrid w:val="0"/>
                    <w:spacing w:line="34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none"/>
                    </w:rPr>
                  </w:pPr>
                </w:p>
              </w:tc>
              <w:tc>
                <w:tcPr>
                  <w:tcW w:w="798" w:type="dxa"/>
                  <w:vMerge w:val="continue"/>
                  <w:noWrap w:val="0"/>
                  <w:vAlign w:val="center"/>
                </w:tcPr>
                <w:p>
                  <w:pPr>
                    <w:spacing w:line="280" w:lineRule="exact"/>
                    <w:jc w:val="center"/>
                    <w:rPr>
                      <w:rFonts w:hint="default" w:ascii="Times New Roman" w:hAnsi="Times New Roman" w:cs="Times New Roman"/>
                      <w:szCs w:val="21"/>
                      <w:highlight w:val="none"/>
                    </w:rPr>
                  </w:pPr>
                </w:p>
              </w:tc>
              <w:tc>
                <w:tcPr>
                  <w:tcW w:w="1669" w:type="dxa"/>
                  <w:noWrap w:val="0"/>
                  <w:vAlign w:val="center"/>
                </w:tcPr>
                <w:p>
                  <w:pPr>
                    <w:spacing w:line="280" w:lineRule="exact"/>
                    <w:jc w:val="center"/>
                    <w:rPr>
                      <w:rFonts w:hint="default" w:ascii="Times New Roman" w:hAnsi="Times New Roman" w:eastAsia="宋体" w:cs="Times New Roman"/>
                      <w:szCs w:val="21"/>
                      <w:highlight w:val="none"/>
                      <w:lang w:eastAsia="zh-CN"/>
                    </w:rPr>
                  </w:pPr>
                  <w:r>
                    <w:rPr>
                      <w:rFonts w:hint="default" w:ascii="Times New Roman" w:hAnsi="Times New Roman" w:cs="Times New Roman"/>
                      <w:bCs/>
                      <w:szCs w:val="21"/>
                      <w:highlight w:val="none"/>
                      <w:lang w:val="en-US" w:eastAsia="zh-CN"/>
                    </w:rPr>
                    <w:t>一般固废</w:t>
                  </w:r>
                </w:p>
              </w:tc>
              <w:tc>
                <w:tcPr>
                  <w:tcW w:w="4549" w:type="dxa"/>
                  <w:noWrap w:val="0"/>
                  <w:vAlign w:val="center"/>
                </w:tcPr>
                <w:p>
                  <w:pPr>
                    <w:spacing w:line="28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收集后外售</w:t>
                  </w:r>
                </w:p>
              </w:tc>
              <w:tc>
                <w:tcPr>
                  <w:tcW w:w="1384" w:type="dxa"/>
                  <w:noWrap w:val="0"/>
                  <w:vAlign w:val="center"/>
                </w:tcPr>
                <w:p>
                  <w:pPr>
                    <w:snapToGrid w:val="0"/>
                    <w:spacing w:line="340" w:lineRule="exact"/>
                    <w:jc w:val="center"/>
                    <w:rPr>
                      <w:rFonts w:hint="default" w:ascii="Times New Roman" w:hAnsi="Times New Roman" w:cs="Times New Roman"/>
                      <w:szCs w:val="21"/>
                      <w:highlight w:val="none"/>
                    </w:rPr>
                  </w:pPr>
                  <w:r>
                    <w:rPr>
                      <w:rFonts w:hint="default" w:ascii="Times New Roman" w:hAnsi="Times New Roman" w:cs="Times New Roman"/>
                      <w:bCs/>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721" w:type="dxa"/>
                  <w:gridSpan w:val="4"/>
                  <w:noWrap w:val="0"/>
                  <w:vAlign w:val="center"/>
                </w:tcPr>
                <w:p>
                  <w:pPr>
                    <w:spacing w:line="36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合计</w:t>
                  </w:r>
                </w:p>
              </w:tc>
              <w:tc>
                <w:tcPr>
                  <w:tcW w:w="1384" w:type="dxa"/>
                  <w:noWrap w:val="0"/>
                  <w:vAlign w:val="center"/>
                </w:tcPr>
                <w:p>
                  <w:pPr>
                    <w:spacing w:line="36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361</w:t>
                  </w:r>
                </w:p>
              </w:tc>
            </w:tr>
          </w:tbl>
          <w:p>
            <w:pPr>
              <w:spacing w:before="78" w:beforeLines="25" w:line="480" w:lineRule="exact"/>
              <w:rPr>
                <w:rFonts w:hint="default" w:ascii="Times New Roman" w:hAnsi="Times New Roman" w:cs="Times New Roman"/>
                <w:b/>
                <w:bCs/>
                <w:sz w:val="24"/>
                <w:highlight w:val="none"/>
              </w:rPr>
            </w:pPr>
            <w:r>
              <w:rPr>
                <w:rFonts w:hint="default" w:ascii="Times New Roman" w:hAnsi="Times New Roman" w:cs="Times New Roman"/>
                <w:b/>
                <w:bCs/>
                <w:sz w:val="24"/>
                <w:highlight w:val="none"/>
              </w:rPr>
              <w:t>7、项目“三同时”验收一览表</w:t>
            </w:r>
          </w:p>
          <w:p>
            <w:pPr>
              <w:spacing w:before="78" w:beforeLines="25" w:line="480" w:lineRule="exact"/>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表</w:t>
            </w:r>
            <w:r>
              <w:rPr>
                <w:rFonts w:hint="eastAsia" w:ascii="Times New Roman" w:hAnsi="Times New Roman" w:cs="Times New Roman"/>
                <w:b/>
                <w:bCs/>
                <w:sz w:val="24"/>
                <w:highlight w:val="none"/>
                <w:lang w:val="en-US" w:eastAsia="zh-CN"/>
              </w:rPr>
              <w:t>17</w:t>
            </w:r>
            <w:r>
              <w:rPr>
                <w:rFonts w:hint="default" w:ascii="Times New Roman" w:hAnsi="Times New Roman" w:cs="Times New Roman"/>
                <w:b/>
                <w:bCs/>
                <w:sz w:val="24"/>
                <w:highlight w:val="none"/>
              </w:rPr>
              <w:t xml:space="preserve">     环保“三同时”验收一览表</w:t>
            </w:r>
          </w:p>
          <w:tbl>
            <w:tblPr>
              <w:tblStyle w:val="1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98"/>
              <w:gridCol w:w="2157"/>
              <w:gridCol w:w="4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tblHeader/>
              </w:trPr>
              <w:tc>
                <w:tcPr>
                  <w:tcW w:w="828"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项目</w:t>
                  </w:r>
                </w:p>
              </w:tc>
              <w:tc>
                <w:tcPr>
                  <w:tcW w:w="1498"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治理内容</w:t>
                  </w:r>
                </w:p>
              </w:tc>
              <w:tc>
                <w:tcPr>
                  <w:tcW w:w="2157"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color w:val="000000"/>
                      <w:szCs w:val="21"/>
                      <w:highlight w:val="none"/>
                    </w:rPr>
                    <w:t>环保措施</w:t>
                  </w:r>
                </w:p>
              </w:tc>
              <w:tc>
                <w:tcPr>
                  <w:tcW w:w="4622"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废气</w:t>
                  </w:r>
                </w:p>
              </w:tc>
              <w:tc>
                <w:tcPr>
                  <w:tcW w:w="1498" w:type="dxa"/>
                  <w:noWrap w:val="0"/>
                  <w:vAlign w:val="center"/>
                </w:tcPr>
                <w:p>
                  <w:pPr>
                    <w:spacing w:line="2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highlight w:val="none"/>
                    </w:rPr>
                    <w:t>施工扬尘</w:t>
                  </w:r>
                </w:p>
              </w:tc>
              <w:tc>
                <w:tcPr>
                  <w:tcW w:w="2157" w:type="dxa"/>
                  <w:noWrap w:val="0"/>
                  <w:vAlign w:val="center"/>
                </w:tcPr>
                <w:p>
                  <w:pPr>
                    <w:snapToGrid w:val="0"/>
                    <w:spacing w:line="340" w:lineRule="exact"/>
                    <w:jc w:val="center"/>
                    <w:rPr>
                      <w:rFonts w:hint="default" w:ascii="Times New Roman" w:hAnsi="Times New Roman" w:cs="Times New Roman"/>
                      <w:color w:val="000000"/>
                      <w:kern w:val="0"/>
                      <w:highlight w:val="none"/>
                    </w:rPr>
                  </w:pPr>
                  <w:r>
                    <w:rPr>
                      <w:rFonts w:hint="default" w:ascii="Times New Roman" w:hAnsi="Times New Roman" w:cs="Times New Roman"/>
                      <w:spacing w:val="-3"/>
                      <w:szCs w:val="21"/>
                      <w:highlight w:val="none"/>
                    </w:rPr>
                    <w:t>施工场地围挡+场地喷淋设备</w:t>
                  </w:r>
                </w:p>
              </w:tc>
              <w:tc>
                <w:tcPr>
                  <w:tcW w:w="4622"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color w:val="000000"/>
                      <w:szCs w:val="21"/>
                      <w:highlight w:val="none"/>
                    </w:rPr>
                    <w:t>《大气污染物综合排放标准》（GB16297-1996）表2二级标准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82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废水</w:t>
                  </w:r>
                </w:p>
              </w:tc>
              <w:tc>
                <w:tcPr>
                  <w:tcW w:w="1498"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生活污水</w:t>
                  </w:r>
                </w:p>
              </w:tc>
              <w:tc>
                <w:tcPr>
                  <w:tcW w:w="2157"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spacing w:val="-3"/>
                      <w:szCs w:val="21"/>
                      <w:highlight w:val="none"/>
                    </w:rPr>
                    <w:t>化粪池处理后，用于周边农田肥田</w:t>
                  </w:r>
                </w:p>
              </w:tc>
              <w:tc>
                <w:tcPr>
                  <w:tcW w:w="4622" w:type="dxa"/>
                  <w:noWrap w:val="0"/>
                  <w:vAlign w:val="center"/>
                </w:tcPr>
                <w:p>
                  <w:pPr>
                    <w:spacing w:line="320" w:lineRule="exact"/>
                    <w:jc w:val="center"/>
                    <w:rPr>
                      <w:rFonts w:hint="eastAsia" w:ascii="Times New Roman" w:hAnsi="Times New Roman" w:eastAsia="宋体" w:cs="Times New Roman"/>
                      <w:bCs/>
                      <w:color w:val="000000"/>
                      <w:szCs w:val="21"/>
                      <w:highlight w:val="none"/>
                      <w:lang w:eastAsia="zh-CN"/>
                    </w:rPr>
                  </w:pPr>
                  <w:r>
                    <w:rPr>
                      <w:rFonts w:hint="eastAsia" w:ascii="Times New Roman" w:hAnsi="Times New Roman" w:cs="Times New Roman"/>
                      <w:bCs/>
                      <w:color w:val="000000"/>
                      <w:szCs w:val="21"/>
                      <w:highlight w:val="none"/>
                      <w:lang w:eastAsia="zh-CN"/>
                    </w:rPr>
                    <w:t>合理处置不外排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82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噪声</w:t>
                  </w:r>
                </w:p>
              </w:tc>
              <w:tc>
                <w:tcPr>
                  <w:tcW w:w="149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高噪声设备</w:t>
                  </w:r>
                </w:p>
              </w:tc>
              <w:tc>
                <w:tcPr>
                  <w:tcW w:w="2157"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减震基础、</w:t>
                  </w:r>
                  <w:r>
                    <w:rPr>
                      <w:rFonts w:hint="eastAsia" w:ascii="Times New Roman" w:hAnsi="Times New Roman" w:cs="Times New Roman"/>
                      <w:bCs/>
                      <w:color w:val="000000"/>
                      <w:szCs w:val="21"/>
                      <w:highlight w:val="none"/>
                      <w:lang w:eastAsia="zh-CN"/>
                    </w:rPr>
                    <w:t>围挡</w:t>
                  </w:r>
                  <w:r>
                    <w:rPr>
                      <w:rFonts w:hint="default" w:ascii="Times New Roman" w:hAnsi="Times New Roman" w:cs="Times New Roman"/>
                      <w:bCs/>
                      <w:color w:val="000000"/>
                      <w:szCs w:val="21"/>
                      <w:highlight w:val="none"/>
                    </w:rPr>
                    <w:t>隔声</w:t>
                  </w:r>
                </w:p>
              </w:tc>
              <w:tc>
                <w:tcPr>
                  <w:tcW w:w="4622"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eastAsia="zh-CN"/>
                    </w:rPr>
                    <w:t>建筑施工场界</w:t>
                  </w:r>
                  <w:r>
                    <w:rPr>
                      <w:rFonts w:hint="default" w:ascii="Times New Roman" w:hAnsi="Times New Roman" w:cs="Times New Roman"/>
                      <w:color w:val="000000"/>
                      <w:szCs w:val="21"/>
                      <w:highlight w:val="none"/>
                    </w:rPr>
                    <w:t>环境噪声排放标准》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828" w:type="dxa"/>
                  <w:vMerge w:val="restart"/>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固废</w:t>
                  </w:r>
                </w:p>
              </w:tc>
              <w:tc>
                <w:tcPr>
                  <w:tcW w:w="1498" w:type="dxa"/>
                  <w:noWrap w:val="0"/>
                  <w:vAlign w:val="center"/>
                </w:tcPr>
                <w:p>
                  <w:pPr>
                    <w:adjustRightInd w:val="0"/>
                    <w:snapToGrid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一般固废</w:t>
                  </w:r>
                </w:p>
              </w:tc>
              <w:tc>
                <w:tcPr>
                  <w:tcW w:w="2157" w:type="dxa"/>
                  <w:noWrap w:val="0"/>
                  <w:vAlign w:val="center"/>
                </w:tcPr>
                <w:p>
                  <w:pPr>
                    <w:adjustRightInd w:val="0"/>
                    <w:snapToGrid w:val="0"/>
                    <w:jc w:val="center"/>
                    <w:rPr>
                      <w:rFonts w:hint="eastAsia" w:ascii="Times New Roman" w:hAnsi="Times New Roman" w:eastAsia="宋体" w:cs="Times New Roman"/>
                      <w:color w:val="000000"/>
                      <w:szCs w:val="21"/>
                      <w:highlight w:val="none"/>
                      <w:lang w:eastAsia="zh-CN"/>
                    </w:rPr>
                  </w:pPr>
                  <w:r>
                    <w:rPr>
                      <w:rFonts w:hint="eastAsia" w:ascii="Times New Roman" w:hAnsi="Times New Roman" w:cs="Times New Roman"/>
                      <w:color w:val="000000"/>
                      <w:szCs w:val="21"/>
                      <w:highlight w:val="none"/>
                      <w:lang w:val="en-US" w:eastAsia="zh-CN"/>
                    </w:rPr>
                    <w:t>/</w:t>
                  </w:r>
                </w:p>
              </w:tc>
              <w:tc>
                <w:tcPr>
                  <w:tcW w:w="4622" w:type="dxa"/>
                  <w:vMerge w:val="restart"/>
                  <w:noWrap w:val="0"/>
                  <w:vAlign w:val="center"/>
                </w:tcPr>
                <w:p>
                  <w:pPr>
                    <w:spacing w:line="320" w:lineRule="exact"/>
                    <w:jc w:val="center"/>
                    <w:rPr>
                      <w:rFonts w:hint="default" w:ascii="Times New Roman" w:hAnsi="Times New Roman" w:cs="Times New Roman"/>
                      <w:color w:val="000000"/>
                      <w:szCs w:val="21"/>
                      <w:highlight w:val="none"/>
                    </w:rPr>
                  </w:pPr>
                  <w:r>
                    <w:rPr>
                      <w:rFonts w:hint="default" w:ascii="Times New Roman" w:hAnsi="Times New Roman" w:cs="Times New Roman"/>
                      <w:bCs/>
                      <w:color w:val="000000"/>
                      <w:szCs w:val="21"/>
                      <w:highlight w:val="none"/>
                    </w:rPr>
                    <w:t>《一般工业固体废物贮存、处置场污染控制标准》（GB18599-2001）（2013年修改）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8" w:type="dxa"/>
                  <w:vMerge w:val="continue"/>
                  <w:noWrap w:val="0"/>
                  <w:vAlign w:val="center"/>
                </w:tcPr>
                <w:p>
                  <w:pPr>
                    <w:spacing w:line="320" w:lineRule="exact"/>
                    <w:jc w:val="center"/>
                    <w:rPr>
                      <w:rFonts w:hint="default" w:ascii="Times New Roman" w:hAnsi="Times New Roman" w:cs="Times New Roman"/>
                      <w:bCs/>
                      <w:color w:val="000000"/>
                      <w:szCs w:val="21"/>
                      <w:highlight w:val="none"/>
                    </w:rPr>
                  </w:pPr>
                </w:p>
              </w:tc>
              <w:tc>
                <w:tcPr>
                  <w:tcW w:w="1498"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生活垃圾</w:t>
                  </w:r>
                </w:p>
              </w:tc>
              <w:tc>
                <w:tcPr>
                  <w:tcW w:w="2157"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垃圾桶若干</w:t>
                  </w:r>
                </w:p>
              </w:tc>
              <w:tc>
                <w:tcPr>
                  <w:tcW w:w="4622" w:type="dxa"/>
                  <w:vMerge w:val="continue"/>
                  <w:noWrap w:val="0"/>
                  <w:vAlign w:val="center"/>
                </w:tcPr>
                <w:p>
                  <w:pPr>
                    <w:spacing w:line="320" w:lineRule="exact"/>
                    <w:jc w:val="center"/>
                    <w:rPr>
                      <w:rFonts w:hint="default" w:ascii="Times New Roman" w:hAnsi="Times New Roman" w:cs="Times New Roman"/>
                      <w:bCs/>
                      <w:color w:val="000000"/>
                      <w:szCs w:val="21"/>
                      <w:highlight w:val="none"/>
                    </w:rPr>
                  </w:pPr>
                </w:p>
              </w:tc>
            </w:tr>
          </w:tbl>
          <w:p>
            <w:pPr>
              <w:adjustRightInd w:val="0"/>
              <w:snapToGrid w:val="0"/>
              <w:spacing w:before="156" w:beforeLines="50" w:line="440" w:lineRule="exact"/>
              <w:rPr>
                <w:rFonts w:hint="default" w:ascii="Times New Roman" w:hAnsi="Times New Roman" w:cs="Times New Roman"/>
                <w:sz w:val="24"/>
                <w:highlight w:val="none"/>
              </w:rPr>
            </w:pPr>
          </w:p>
        </w:tc>
      </w:tr>
    </w:tbl>
    <w:p>
      <w:pPr>
        <w:spacing w:line="360" w:lineRule="auto"/>
        <w:rPr>
          <w:rFonts w:eastAsia="黑体"/>
          <w:sz w:val="32"/>
          <w:szCs w:val="32"/>
          <w:highlight w:val="none"/>
        </w:rPr>
      </w:pPr>
      <w:r>
        <w:rPr>
          <w:rFonts w:eastAsia="黑体"/>
          <w:sz w:val="32"/>
          <w:szCs w:val="32"/>
          <w:highlight w:val="none"/>
        </w:rPr>
        <w:t>建设项目拟采取的防治措施及预期治理效果</w:t>
      </w:r>
    </w:p>
    <w:tbl>
      <w:tblPr>
        <w:tblStyle w:val="15"/>
        <w:tblW w:w="93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68"/>
        <w:gridCol w:w="1420"/>
        <w:gridCol w:w="2640"/>
        <w:gridCol w:w="2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19" w:type="dxa"/>
            <w:noWrap w:val="0"/>
            <w:vAlign w:val="center"/>
          </w:tcPr>
          <w:p>
            <w:pPr>
              <w:jc w:val="center"/>
              <w:rPr>
                <w:sz w:val="24"/>
              </w:rPr>
            </w:pPr>
            <w:r>
              <w:rPr>
                <w:sz w:val="24"/>
              </w:rPr>
              <w:t>内容</w:t>
            </w:r>
          </w:p>
          <w:p>
            <w:pPr>
              <w:jc w:val="center"/>
              <w:rPr>
                <w:sz w:val="24"/>
              </w:rPr>
            </w:pPr>
            <w:r>
              <w:rPr>
                <w:sz w:val="24"/>
              </w:rPr>
              <w:t>类型</w:t>
            </w:r>
          </w:p>
        </w:tc>
        <w:tc>
          <w:tcPr>
            <w:tcW w:w="1268" w:type="dxa"/>
            <w:noWrap w:val="0"/>
            <w:vAlign w:val="center"/>
          </w:tcPr>
          <w:p>
            <w:pPr>
              <w:jc w:val="center"/>
              <w:rPr>
                <w:sz w:val="24"/>
              </w:rPr>
            </w:pPr>
            <w:r>
              <w:rPr>
                <w:sz w:val="24"/>
              </w:rPr>
              <w:t>排放源</w:t>
            </w:r>
          </w:p>
          <w:p>
            <w:pPr>
              <w:jc w:val="center"/>
              <w:rPr>
                <w:sz w:val="24"/>
              </w:rPr>
            </w:pPr>
            <w:r>
              <w:rPr>
                <w:sz w:val="24"/>
              </w:rPr>
              <w:t>(编号)</w:t>
            </w:r>
          </w:p>
        </w:tc>
        <w:tc>
          <w:tcPr>
            <w:tcW w:w="1420" w:type="dxa"/>
            <w:noWrap w:val="0"/>
            <w:vAlign w:val="center"/>
          </w:tcPr>
          <w:p>
            <w:pPr>
              <w:jc w:val="center"/>
              <w:rPr>
                <w:sz w:val="24"/>
              </w:rPr>
            </w:pPr>
            <w:r>
              <w:rPr>
                <w:sz w:val="24"/>
              </w:rPr>
              <w:t>污染物</w:t>
            </w:r>
          </w:p>
          <w:p>
            <w:pPr>
              <w:jc w:val="center"/>
              <w:rPr>
                <w:sz w:val="24"/>
              </w:rPr>
            </w:pPr>
            <w:r>
              <w:rPr>
                <w:sz w:val="24"/>
              </w:rPr>
              <w:t>名称</w:t>
            </w:r>
          </w:p>
        </w:tc>
        <w:tc>
          <w:tcPr>
            <w:tcW w:w="2640" w:type="dxa"/>
            <w:noWrap w:val="0"/>
            <w:vAlign w:val="center"/>
          </w:tcPr>
          <w:p>
            <w:pPr>
              <w:jc w:val="center"/>
              <w:rPr>
                <w:sz w:val="24"/>
              </w:rPr>
            </w:pPr>
            <w:r>
              <w:rPr>
                <w:sz w:val="24"/>
              </w:rPr>
              <w:t>防治措施</w:t>
            </w:r>
          </w:p>
        </w:tc>
        <w:tc>
          <w:tcPr>
            <w:tcW w:w="2861" w:type="dxa"/>
            <w:noWrap w:val="0"/>
            <w:vAlign w:val="center"/>
          </w:tcPr>
          <w:p>
            <w:pPr>
              <w:jc w:val="center"/>
              <w:rPr>
                <w:sz w:val="24"/>
              </w:rPr>
            </w:pPr>
            <w:r>
              <w:rPr>
                <w:sz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19" w:type="dxa"/>
            <w:noWrap w:val="0"/>
            <w:vAlign w:val="center"/>
          </w:tcPr>
          <w:p>
            <w:pPr>
              <w:jc w:val="center"/>
              <w:rPr>
                <w:rFonts w:hint="eastAsia"/>
                <w:sz w:val="24"/>
              </w:rPr>
            </w:pPr>
            <w:r>
              <w:rPr>
                <w:rFonts w:hint="eastAsia"/>
                <w:sz w:val="24"/>
              </w:rPr>
              <w:t>废气污染物</w:t>
            </w:r>
          </w:p>
        </w:tc>
        <w:tc>
          <w:tcPr>
            <w:tcW w:w="1268" w:type="dxa"/>
            <w:noWrap w:val="0"/>
            <w:vAlign w:val="center"/>
          </w:tcPr>
          <w:p>
            <w:pPr>
              <w:snapToGrid w:val="0"/>
              <w:spacing w:line="340" w:lineRule="exact"/>
              <w:jc w:val="center"/>
              <w:rPr>
                <w:rFonts w:hint="eastAsia" w:eastAsia="宋体"/>
                <w:szCs w:val="21"/>
                <w:lang w:eastAsia="zh-CN"/>
              </w:rPr>
            </w:pPr>
            <w:r>
              <w:rPr>
                <w:rFonts w:hint="eastAsia"/>
                <w:bCs/>
                <w:szCs w:val="21"/>
                <w:lang w:eastAsia="zh-CN"/>
              </w:rPr>
              <w:t>施工扬尘</w:t>
            </w:r>
          </w:p>
        </w:tc>
        <w:tc>
          <w:tcPr>
            <w:tcW w:w="1420" w:type="dxa"/>
            <w:noWrap w:val="0"/>
            <w:vAlign w:val="center"/>
          </w:tcPr>
          <w:p>
            <w:pPr>
              <w:snapToGrid w:val="0"/>
              <w:spacing w:line="340" w:lineRule="exact"/>
              <w:jc w:val="center"/>
              <w:rPr>
                <w:rFonts w:hint="eastAsia"/>
                <w:szCs w:val="21"/>
              </w:rPr>
            </w:pPr>
            <w:r>
              <w:rPr>
                <w:rFonts w:hint="eastAsia"/>
                <w:bCs/>
                <w:szCs w:val="21"/>
              </w:rPr>
              <w:t>颗粒物</w:t>
            </w:r>
          </w:p>
        </w:tc>
        <w:tc>
          <w:tcPr>
            <w:tcW w:w="2640" w:type="dxa"/>
            <w:noWrap w:val="0"/>
            <w:vAlign w:val="center"/>
          </w:tcPr>
          <w:p>
            <w:pPr>
              <w:snapToGrid w:val="0"/>
              <w:spacing w:line="340" w:lineRule="exact"/>
              <w:jc w:val="center"/>
              <w:rPr>
                <w:rFonts w:hint="eastAsia"/>
                <w:szCs w:val="21"/>
              </w:rPr>
            </w:pPr>
            <w:r>
              <w:rPr>
                <w:rFonts w:hint="eastAsia" w:hAnsi="仿宋_GB2312"/>
                <w:spacing w:val="-3"/>
                <w:szCs w:val="21"/>
              </w:rPr>
              <w:t>施工场地围挡+场地喷淋设备</w:t>
            </w:r>
          </w:p>
        </w:tc>
        <w:tc>
          <w:tcPr>
            <w:tcW w:w="2861" w:type="dxa"/>
            <w:noWrap w:val="0"/>
            <w:vAlign w:val="center"/>
          </w:tcPr>
          <w:p>
            <w:pPr>
              <w:ind w:firstLine="18" w:firstLineChars="9"/>
              <w:jc w:val="center"/>
              <w:rPr>
                <w:rFonts w:hint="eastAsia"/>
                <w:szCs w:val="21"/>
              </w:rPr>
            </w:pPr>
            <w:r>
              <w:rPr>
                <w:rFonts w:hint="eastAsia"/>
                <w:szCs w:val="21"/>
              </w:rPr>
              <w:t>满足</w:t>
            </w:r>
            <w:r>
              <w:rPr>
                <w:szCs w:val="21"/>
              </w:rPr>
              <w:t>《大气污染物综合排放标准》（GB16297-1996）</w:t>
            </w:r>
            <w:r>
              <w:rPr>
                <w:rFonts w:hint="eastAsia"/>
                <w:szCs w:val="21"/>
              </w:rPr>
              <w:t>有组织排放浓度限值及无组织排放</w:t>
            </w:r>
            <w:r>
              <w:rPr>
                <w:szCs w:val="21"/>
              </w:rPr>
              <w:t>监控浓度要求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119" w:type="dxa"/>
            <w:noWrap w:val="0"/>
            <w:vAlign w:val="center"/>
          </w:tcPr>
          <w:p>
            <w:pPr>
              <w:jc w:val="center"/>
              <w:rPr>
                <w:rFonts w:hint="eastAsia"/>
                <w:sz w:val="24"/>
              </w:rPr>
            </w:pPr>
            <w:r>
              <w:rPr>
                <w:rFonts w:hint="eastAsia"/>
                <w:sz w:val="24"/>
              </w:rPr>
              <w:t>水</w:t>
            </w:r>
            <w:r>
              <w:rPr>
                <w:sz w:val="24"/>
              </w:rPr>
              <w:t>污染物</w:t>
            </w:r>
          </w:p>
        </w:tc>
        <w:tc>
          <w:tcPr>
            <w:tcW w:w="1268" w:type="dxa"/>
            <w:noWrap w:val="0"/>
            <w:vAlign w:val="center"/>
          </w:tcPr>
          <w:p>
            <w:pPr>
              <w:snapToGrid w:val="0"/>
              <w:spacing w:line="340" w:lineRule="exact"/>
              <w:jc w:val="center"/>
              <w:rPr>
                <w:rFonts w:hint="eastAsia"/>
                <w:szCs w:val="21"/>
              </w:rPr>
            </w:pPr>
            <w:r>
              <w:rPr>
                <w:rFonts w:hint="eastAsia"/>
                <w:bCs/>
                <w:szCs w:val="21"/>
              </w:rPr>
              <w:t>员工生活</w:t>
            </w:r>
          </w:p>
        </w:tc>
        <w:tc>
          <w:tcPr>
            <w:tcW w:w="1420" w:type="dxa"/>
            <w:noWrap w:val="0"/>
            <w:vAlign w:val="center"/>
          </w:tcPr>
          <w:p>
            <w:pPr>
              <w:snapToGrid w:val="0"/>
              <w:spacing w:line="340" w:lineRule="exact"/>
              <w:jc w:val="center"/>
              <w:rPr>
                <w:szCs w:val="21"/>
              </w:rPr>
            </w:pPr>
            <w:r>
              <w:rPr>
                <w:rFonts w:hint="eastAsia" w:hAnsi="仿宋_GB2312"/>
                <w:spacing w:val="-3"/>
                <w:szCs w:val="21"/>
              </w:rPr>
              <w:t>COD、氨氮</w:t>
            </w:r>
          </w:p>
        </w:tc>
        <w:tc>
          <w:tcPr>
            <w:tcW w:w="2640" w:type="dxa"/>
            <w:noWrap w:val="0"/>
            <w:vAlign w:val="center"/>
          </w:tcPr>
          <w:p>
            <w:pPr>
              <w:adjustRightInd w:val="0"/>
              <w:snapToGrid w:val="0"/>
              <w:jc w:val="center"/>
              <w:rPr>
                <w:sz w:val="21"/>
                <w:szCs w:val="21"/>
                <w:vertAlign w:val="superscript"/>
              </w:rPr>
            </w:pPr>
            <w:r>
              <w:rPr>
                <w:rFonts w:hint="eastAsia"/>
                <w:sz w:val="21"/>
                <w:szCs w:val="21"/>
                <w:lang w:val="en-US" w:eastAsia="zh-CN"/>
              </w:rPr>
              <w:t>化粪池处理后用于周边农田肥田</w:t>
            </w:r>
          </w:p>
        </w:tc>
        <w:tc>
          <w:tcPr>
            <w:tcW w:w="2861" w:type="dxa"/>
            <w:noWrap w:val="0"/>
            <w:vAlign w:val="center"/>
          </w:tcPr>
          <w:p>
            <w:pPr>
              <w:adjustRightInd w:val="0"/>
              <w:snapToGrid w:val="0"/>
              <w:jc w:val="center"/>
              <w:rPr>
                <w:rFonts w:hint="eastAsia" w:eastAsia="宋体"/>
                <w:sz w:val="21"/>
                <w:szCs w:val="21"/>
                <w:lang w:eastAsia="zh-CN"/>
              </w:rPr>
            </w:pPr>
            <w:r>
              <w:rPr>
                <w:rFonts w:hint="eastAsia"/>
                <w:sz w:val="21"/>
                <w:szCs w:val="21"/>
                <w:lang w:eastAsia="zh-CN"/>
              </w:rPr>
              <w:t>合理处置不外排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119" w:type="dxa"/>
            <w:vMerge w:val="restart"/>
            <w:noWrap w:val="0"/>
            <w:vAlign w:val="center"/>
          </w:tcPr>
          <w:p>
            <w:pPr>
              <w:jc w:val="center"/>
              <w:rPr>
                <w:sz w:val="24"/>
              </w:rPr>
            </w:pPr>
            <w:r>
              <w:rPr>
                <w:sz w:val="24"/>
              </w:rPr>
              <w:t>固</w:t>
            </w:r>
          </w:p>
          <w:p>
            <w:pPr>
              <w:jc w:val="center"/>
              <w:rPr>
                <w:sz w:val="24"/>
              </w:rPr>
            </w:pPr>
            <w:r>
              <w:rPr>
                <w:sz w:val="24"/>
              </w:rPr>
              <w:t>体</w:t>
            </w:r>
          </w:p>
          <w:p>
            <w:pPr>
              <w:jc w:val="center"/>
              <w:rPr>
                <w:sz w:val="24"/>
              </w:rPr>
            </w:pPr>
            <w:r>
              <w:rPr>
                <w:sz w:val="24"/>
              </w:rPr>
              <w:t>废</w:t>
            </w:r>
          </w:p>
          <w:p>
            <w:pPr>
              <w:jc w:val="center"/>
              <w:rPr>
                <w:sz w:val="24"/>
              </w:rPr>
            </w:pPr>
            <w:r>
              <w:rPr>
                <w:sz w:val="24"/>
              </w:rPr>
              <w:t>物</w:t>
            </w:r>
          </w:p>
        </w:tc>
        <w:tc>
          <w:tcPr>
            <w:tcW w:w="1268" w:type="dxa"/>
            <w:noWrap w:val="0"/>
            <w:vAlign w:val="center"/>
          </w:tcPr>
          <w:p>
            <w:pPr>
              <w:jc w:val="center"/>
              <w:rPr>
                <w:rFonts w:hint="eastAsia"/>
                <w:szCs w:val="21"/>
              </w:rPr>
            </w:pPr>
            <w:r>
              <w:rPr>
                <w:rFonts w:hint="eastAsia"/>
                <w:szCs w:val="21"/>
              </w:rPr>
              <w:t>生活</w:t>
            </w:r>
          </w:p>
        </w:tc>
        <w:tc>
          <w:tcPr>
            <w:tcW w:w="1420" w:type="dxa"/>
            <w:noWrap w:val="0"/>
            <w:vAlign w:val="center"/>
          </w:tcPr>
          <w:p>
            <w:pPr>
              <w:jc w:val="center"/>
              <w:rPr>
                <w:rFonts w:hint="eastAsia"/>
                <w:szCs w:val="21"/>
              </w:rPr>
            </w:pPr>
            <w:r>
              <w:rPr>
                <w:rFonts w:hint="eastAsia"/>
                <w:szCs w:val="21"/>
              </w:rPr>
              <w:t>生活垃圾</w:t>
            </w:r>
          </w:p>
        </w:tc>
        <w:tc>
          <w:tcPr>
            <w:tcW w:w="2640" w:type="dxa"/>
            <w:noWrap w:val="0"/>
            <w:vAlign w:val="center"/>
          </w:tcPr>
          <w:p>
            <w:pPr>
              <w:jc w:val="center"/>
              <w:rPr>
                <w:rFonts w:hint="eastAsia"/>
                <w:szCs w:val="21"/>
              </w:rPr>
            </w:pPr>
            <w:r>
              <w:rPr>
                <w:rFonts w:hint="eastAsia"/>
                <w:szCs w:val="21"/>
              </w:rPr>
              <w:t>生活垃圾经收集后交由环卫部门统一清运处理</w:t>
            </w:r>
          </w:p>
        </w:tc>
        <w:tc>
          <w:tcPr>
            <w:tcW w:w="2861" w:type="dxa"/>
            <w:vMerge w:val="restart"/>
            <w:noWrap w:val="0"/>
            <w:vAlign w:val="center"/>
          </w:tcPr>
          <w:p>
            <w:pPr>
              <w:jc w:val="center"/>
              <w:rPr>
                <w:szCs w:val="21"/>
              </w:rPr>
            </w:pPr>
            <w:r>
              <w:rPr>
                <w:rFonts w:hint="eastAsia"/>
                <w:szCs w:val="21"/>
              </w:rPr>
              <w:t>《一般工业固体废物贮存、处置场污染控制标准》（GB18599—2001）（2013修改版）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119" w:type="dxa"/>
            <w:vMerge w:val="continue"/>
            <w:noWrap w:val="0"/>
            <w:vAlign w:val="center"/>
          </w:tcPr>
          <w:p>
            <w:pPr>
              <w:jc w:val="center"/>
              <w:rPr>
                <w:sz w:val="24"/>
              </w:rPr>
            </w:pPr>
          </w:p>
        </w:tc>
        <w:tc>
          <w:tcPr>
            <w:tcW w:w="1268" w:type="dxa"/>
            <w:noWrap w:val="0"/>
            <w:vAlign w:val="center"/>
          </w:tcPr>
          <w:p>
            <w:pPr>
              <w:ind w:left="-119" w:right="-102"/>
              <w:jc w:val="center"/>
              <w:rPr>
                <w:szCs w:val="21"/>
              </w:rPr>
            </w:pPr>
            <w:r>
              <w:rPr>
                <w:rFonts w:hint="eastAsia"/>
                <w:szCs w:val="21"/>
              </w:rPr>
              <w:t>生产</w:t>
            </w:r>
          </w:p>
          <w:p>
            <w:pPr>
              <w:rPr>
                <w:szCs w:val="21"/>
              </w:rPr>
            </w:pPr>
          </w:p>
        </w:tc>
        <w:tc>
          <w:tcPr>
            <w:tcW w:w="1420" w:type="dxa"/>
            <w:noWrap w:val="0"/>
            <w:vAlign w:val="center"/>
          </w:tcPr>
          <w:p>
            <w:pPr>
              <w:adjustRightInd w:val="0"/>
              <w:snapToGrid w:val="0"/>
              <w:jc w:val="center"/>
              <w:rPr>
                <w:rFonts w:hint="eastAsia" w:eastAsia="宋体"/>
                <w:szCs w:val="21"/>
                <w:lang w:eastAsia="zh-CN"/>
              </w:rPr>
            </w:pPr>
            <w:r>
              <w:rPr>
                <w:rFonts w:hint="eastAsia"/>
                <w:color w:val="000000"/>
                <w:szCs w:val="21"/>
                <w:lang w:val="en-US" w:eastAsia="zh-CN"/>
              </w:rPr>
              <w:t>一般固废</w:t>
            </w:r>
          </w:p>
        </w:tc>
        <w:tc>
          <w:tcPr>
            <w:tcW w:w="2640" w:type="dxa"/>
            <w:noWrap w:val="0"/>
            <w:vAlign w:val="center"/>
          </w:tcPr>
          <w:p>
            <w:pPr>
              <w:adjustRightInd w:val="0"/>
              <w:snapToGrid w:val="0"/>
              <w:jc w:val="center"/>
              <w:rPr>
                <w:rFonts w:hint="default" w:eastAsia="宋体"/>
                <w:szCs w:val="21"/>
                <w:lang w:val="en-US" w:eastAsia="zh-CN"/>
              </w:rPr>
            </w:pPr>
            <w:r>
              <w:rPr>
                <w:rFonts w:hint="eastAsia"/>
                <w:color w:val="000000"/>
                <w:sz w:val="21"/>
                <w:szCs w:val="21"/>
                <w:vertAlign w:val="baseline"/>
                <w:lang w:val="en-US" w:eastAsia="zh-CN"/>
              </w:rPr>
              <w:t>收集后外售</w:t>
            </w:r>
          </w:p>
        </w:tc>
        <w:tc>
          <w:tcPr>
            <w:tcW w:w="2861" w:type="dxa"/>
            <w:vMerge w:val="continue"/>
            <w:noWrap w:val="0"/>
            <w:vAlign w:val="center"/>
          </w:tcPr>
          <w:p>
            <w:pPr>
              <w:jc w:val="center"/>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9" w:hRule="atLeast"/>
          <w:jc w:val="center"/>
        </w:trPr>
        <w:tc>
          <w:tcPr>
            <w:tcW w:w="1119" w:type="dxa"/>
            <w:noWrap w:val="0"/>
            <w:vAlign w:val="center"/>
          </w:tcPr>
          <w:p>
            <w:pPr>
              <w:jc w:val="center"/>
              <w:rPr>
                <w:sz w:val="24"/>
              </w:rPr>
            </w:pPr>
            <w:r>
              <w:rPr>
                <w:sz w:val="24"/>
              </w:rPr>
              <w:t>噪</w:t>
            </w:r>
          </w:p>
          <w:p>
            <w:pPr>
              <w:jc w:val="center"/>
              <w:rPr>
                <w:sz w:val="24"/>
              </w:rPr>
            </w:pPr>
            <w:r>
              <w:rPr>
                <w:sz w:val="24"/>
              </w:rPr>
              <w:t>声</w:t>
            </w:r>
          </w:p>
        </w:tc>
        <w:tc>
          <w:tcPr>
            <w:tcW w:w="8189" w:type="dxa"/>
            <w:gridSpan w:val="4"/>
            <w:noWrap w:val="0"/>
            <w:vAlign w:val="center"/>
          </w:tcPr>
          <w:p>
            <w:pPr>
              <w:spacing w:line="400" w:lineRule="exact"/>
              <w:ind w:left="-5" w:firstLine="378" w:firstLineChars="180"/>
              <w:jc w:val="left"/>
              <w:rPr>
                <w:rFonts w:hint="eastAsia"/>
                <w:szCs w:val="21"/>
              </w:rPr>
            </w:pPr>
            <w:r>
              <w:rPr>
                <w:color w:val="000000"/>
                <w:szCs w:val="21"/>
              </w:rPr>
              <w:t>本项目的噪声源主要为</w:t>
            </w:r>
            <w:r>
              <w:rPr>
                <w:rFonts w:hint="eastAsia"/>
                <w:color w:val="000000"/>
                <w:szCs w:val="21"/>
                <w:lang w:eastAsia="zh-CN"/>
              </w:rPr>
              <w:t>施工期</w:t>
            </w:r>
            <w:r>
              <w:rPr>
                <w:rFonts w:hint="eastAsia"/>
                <w:szCs w:val="21"/>
              </w:rPr>
              <w:t>设备工作产生的机械噪声，设备运行噪声声压级范围为70-95dB（A）</w:t>
            </w:r>
            <w:r>
              <w:rPr>
                <w:color w:val="000000"/>
                <w:szCs w:val="21"/>
              </w:rPr>
              <w:t>。经采取安装减基础和隔声后，本项目</w:t>
            </w:r>
            <w:r>
              <w:rPr>
                <w:rFonts w:hint="eastAsia"/>
                <w:color w:val="000000"/>
                <w:szCs w:val="21"/>
                <w:lang w:eastAsia="zh-CN"/>
              </w:rPr>
              <w:t>施工期</w:t>
            </w:r>
            <w:r>
              <w:rPr>
                <w:color w:val="000000"/>
                <w:szCs w:val="21"/>
              </w:rPr>
              <w:t>时昼间各厂界噪声均能够达到《</w:t>
            </w:r>
            <w:r>
              <w:rPr>
                <w:rFonts w:hint="eastAsia"/>
                <w:color w:val="000000"/>
                <w:szCs w:val="21"/>
                <w:lang w:eastAsia="zh-CN"/>
              </w:rPr>
              <w:t>建筑施工场界</w:t>
            </w:r>
            <w:r>
              <w:rPr>
                <w:color w:val="000000"/>
                <w:szCs w:val="21"/>
              </w:rPr>
              <w:t>环境噪声排放标准》要求。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1119" w:type="dxa"/>
            <w:noWrap w:val="0"/>
            <w:vAlign w:val="center"/>
          </w:tcPr>
          <w:p>
            <w:pPr>
              <w:jc w:val="center"/>
              <w:rPr>
                <w:sz w:val="24"/>
              </w:rPr>
            </w:pPr>
            <w:r>
              <w:rPr>
                <w:sz w:val="24"/>
              </w:rPr>
              <w:t>生态</w:t>
            </w:r>
          </w:p>
          <w:p>
            <w:pPr>
              <w:jc w:val="center"/>
              <w:rPr>
                <w:sz w:val="24"/>
              </w:rPr>
            </w:pPr>
            <w:r>
              <w:rPr>
                <w:sz w:val="24"/>
              </w:rPr>
              <w:t>保护</w:t>
            </w:r>
          </w:p>
          <w:p>
            <w:pPr>
              <w:jc w:val="center"/>
              <w:rPr>
                <w:sz w:val="24"/>
              </w:rPr>
            </w:pPr>
            <w:r>
              <w:rPr>
                <w:sz w:val="24"/>
              </w:rPr>
              <w:t>措施</w:t>
            </w:r>
          </w:p>
        </w:tc>
        <w:tc>
          <w:tcPr>
            <w:tcW w:w="8189" w:type="dxa"/>
            <w:gridSpan w:val="4"/>
            <w:noWrap w:val="0"/>
            <w:vAlign w:val="center"/>
          </w:tcPr>
          <w:p>
            <w:pPr>
              <w:rPr>
                <w:rFonts w:hint="eastAsia"/>
                <w:szCs w:val="21"/>
              </w:rPr>
            </w:pPr>
          </w:p>
          <w:p>
            <w:pPr>
              <w:adjustRightInd w:val="0"/>
              <w:snapToGrid w:val="0"/>
              <w:spacing w:line="520" w:lineRule="exact"/>
              <w:rPr>
                <w:rFonts w:hint="eastAsia"/>
                <w:color w:val="000000"/>
                <w:szCs w:val="21"/>
              </w:rPr>
            </w:pPr>
            <w:r>
              <w:rPr>
                <w:rFonts w:hint="eastAsia"/>
                <w:color w:val="000000"/>
                <w:szCs w:val="21"/>
              </w:rPr>
              <w:t xml:space="preserve">    </w:t>
            </w:r>
          </w:p>
          <w:p>
            <w:pPr>
              <w:adjustRightInd w:val="0"/>
              <w:snapToGrid w:val="0"/>
              <w:spacing w:line="520" w:lineRule="exact"/>
              <w:rPr>
                <w:rFonts w:hint="eastAsia"/>
                <w:color w:val="000000"/>
                <w:szCs w:val="21"/>
              </w:rPr>
            </w:pPr>
          </w:p>
          <w:p>
            <w:pPr>
              <w:adjustRightInd w:val="0"/>
              <w:snapToGrid w:val="0"/>
              <w:spacing w:line="520" w:lineRule="exact"/>
              <w:rPr>
                <w:rFonts w:hint="eastAsia"/>
                <w:color w:val="000000"/>
                <w:szCs w:val="21"/>
              </w:rPr>
            </w:pPr>
          </w:p>
          <w:p>
            <w:pPr>
              <w:adjustRightInd w:val="0"/>
              <w:snapToGrid w:val="0"/>
              <w:spacing w:line="520" w:lineRule="exact"/>
              <w:rPr>
                <w:color w:val="000000"/>
                <w:szCs w:val="21"/>
              </w:rPr>
            </w:pPr>
            <w:r>
              <w:rPr>
                <w:color w:val="000000"/>
                <w:szCs w:val="21"/>
              </w:rPr>
              <w:t>本项目为新建项目，</w:t>
            </w:r>
            <w:r>
              <w:rPr>
                <w:rFonts w:hint="eastAsia"/>
                <w:color w:val="000000"/>
                <w:szCs w:val="21"/>
              </w:rPr>
              <w:t>本次建设</w:t>
            </w:r>
            <w:r>
              <w:rPr>
                <w:color w:val="000000"/>
                <w:szCs w:val="21"/>
              </w:rPr>
              <w:t>不改变原有的地形地貌，对周围自然环境不造成破坏，项目建设对生态环境影响较小。</w:t>
            </w:r>
          </w:p>
          <w:p>
            <w:pPr>
              <w:pStyle w:val="2"/>
              <w:outlineLvl w:val="0"/>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szCs w:val="21"/>
              </w:rPr>
            </w:pPr>
          </w:p>
        </w:tc>
      </w:tr>
    </w:tbl>
    <w:p>
      <w:pPr>
        <w:spacing w:before="156" w:beforeLines="50" w:line="480" w:lineRule="exact"/>
        <w:rPr>
          <w:rFonts w:eastAsia="黑体"/>
          <w:bCs/>
          <w:sz w:val="32"/>
          <w:szCs w:val="32"/>
        </w:rPr>
      </w:pPr>
      <w:r>
        <w:rPr>
          <w:rFonts w:eastAsia="黑体"/>
          <w:bCs/>
          <w:sz w:val="32"/>
          <w:szCs w:val="32"/>
        </w:rPr>
        <w:t>结论与建议</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1"/>
        <w:gridCol w:w="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575" w:type="dxa"/>
            <w:gridSpan w:val="2"/>
            <w:noWrap w:val="0"/>
            <w:vAlign w:val="top"/>
          </w:tcPr>
          <w:p>
            <w:pPr>
              <w:spacing w:line="520" w:lineRule="exact"/>
              <w:rPr>
                <w:rFonts w:eastAsia="黑体"/>
                <w:bCs/>
                <w:sz w:val="24"/>
              </w:rPr>
            </w:pPr>
            <w:r>
              <w:rPr>
                <w:rFonts w:eastAsia="黑体"/>
                <w:bCs/>
                <w:sz w:val="24"/>
              </w:rPr>
              <w:t>结论：</w:t>
            </w:r>
          </w:p>
          <w:p>
            <w:pPr>
              <w:numPr>
                <w:ilvl w:val="0"/>
                <w:numId w:val="2"/>
              </w:numPr>
              <w:spacing w:line="520" w:lineRule="exact"/>
              <w:rPr>
                <w:b/>
                <w:bCs/>
                <w:sz w:val="24"/>
              </w:rPr>
            </w:pPr>
            <w:r>
              <w:rPr>
                <w:rFonts w:hint="eastAsia"/>
                <w:b/>
                <w:bCs/>
                <w:sz w:val="24"/>
              </w:rPr>
              <w:t>项目慨况</w:t>
            </w:r>
          </w:p>
          <w:p>
            <w:pPr>
              <w:spacing w:line="520" w:lineRule="exact"/>
              <w:ind w:firstLine="480" w:firstLineChars="200"/>
              <w:rPr>
                <w:rFonts w:hint="eastAsia"/>
                <w:bCs/>
                <w:spacing w:val="-3"/>
                <w:sz w:val="24"/>
                <w:highlight w:val="none"/>
              </w:rPr>
            </w:pPr>
            <w:r>
              <w:rPr>
                <w:rFonts w:hint="eastAsia"/>
                <w:sz w:val="24"/>
                <w:highlight w:val="none"/>
                <w:lang w:eastAsia="zh-CN"/>
              </w:rPr>
              <w:t>淮滨县虹益天然气有限公司</w:t>
            </w:r>
            <w:r>
              <w:rPr>
                <w:rFonts w:hint="eastAsia"/>
                <w:sz w:val="24"/>
                <w:highlight w:val="none"/>
              </w:rPr>
              <w:t>拟投资</w:t>
            </w:r>
            <w:r>
              <w:rPr>
                <w:rFonts w:hint="eastAsia"/>
                <w:sz w:val="24"/>
                <w:highlight w:val="none"/>
                <w:lang w:val="en-US" w:eastAsia="zh-CN"/>
              </w:rPr>
              <w:t>120</w:t>
            </w:r>
            <w:r>
              <w:rPr>
                <w:rFonts w:hint="eastAsia"/>
                <w:sz w:val="24"/>
                <w:highlight w:val="none"/>
              </w:rPr>
              <w:t>00万元，在</w:t>
            </w:r>
            <w:r>
              <w:rPr>
                <w:rFonts w:hint="eastAsia"/>
                <w:bCs/>
                <w:sz w:val="24"/>
                <w:highlight w:val="none"/>
              </w:rPr>
              <w:t>信阳市淮滨县建设</w:t>
            </w:r>
            <w:r>
              <w:rPr>
                <w:rFonts w:hint="eastAsia"/>
                <w:sz w:val="24"/>
                <w:highlight w:val="none"/>
                <w:lang w:eastAsia="zh-CN"/>
              </w:rPr>
              <w:t>淮滨县西部十乡镇天然气管道工程建设项目</w:t>
            </w:r>
            <w:r>
              <w:rPr>
                <w:rFonts w:hint="eastAsia"/>
                <w:sz w:val="24"/>
                <w:highlight w:val="none"/>
              </w:rPr>
              <w:t>。</w:t>
            </w:r>
          </w:p>
          <w:p>
            <w:pPr>
              <w:spacing w:line="520" w:lineRule="exact"/>
              <w:rPr>
                <w:b/>
                <w:sz w:val="24"/>
              </w:rPr>
            </w:pPr>
            <w:r>
              <w:rPr>
                <w:rFonts w:hint="eastAsia"/>
                <w:b/>
                <w:sz w:val="24"/>
              </w:rPr>
              <w:t>2、</w:t>
            </w:r>
            <w:r>
              <w:rPr>
                <w:b/>
                <w:sz w:val="24"/>
              </w:rPr>
              <w:t>项目选址可行</w:t>
            </w:r>
            <w:r>
              <w:rPr>
                <w:rFonts w:hint="eastAsia"/>
                <w:b/>
                <w:sz w:val="24"/>
              </w:rPr>
              <w:t>性分析</w:t>
            </w:r>
          </w:p>
          <w:p>
            <w:pPr>
              <w:adjustRightInd w:val="0"/>
              <w:snapToGrid w:val="0"/>
              <w:spacing w:line="360" w:lineRule="auto"/>
              <w:ind w:firstLine="480" w:firstLineChars="200"/>
              <w:rPr>
                <w:rFonts w:hint="eastAsia"/>
                <w:sz w:val="24"/>
              </w:rPr>
            </w:pPr>
            <w:r>
              <w:rPr>
                <w:sz w:val="24"/>
              </w:rPr>
              <w:t>本项目位于</w:t>
            </w:r>
            <w:r>
              <w:rPr>
                <w:rFonts w:hint="eastAsia" w:eastAsia="宋体"/>
                <w:sz w:val="24"/>
                <w:lang w:val="en-US" w:eastAsia="zh-CN"/>
              </w:rPr>
              <w:t>信阳市</w:t>
            </w:r>
            <w:r>
              <w:rPr>
                <w:rFonts w:hint="eastAsia"/>
                <w:sz w:val="24"/>
              </w:rPr>
              <w:t>淮滨县</w:t>
            </w:r>
            <w:r>
              <w:rPr>
                <w:rFonts w:hint="eastAsia" w:eastAsia="宋体"/>
                <w:sz w:val="24"/>
                <w:lang w:eastAsia="zh-CN"/>
              </w:rPr>
              <w:t>，</w:t>
            </w:r>
            <w:r>
              <w:rPr>
                <w:rFonts w:hint="eastAsia"/>
                <w:bCs/>
                <w:sz w:val="24"/>
                <w:lang w:val="en-US" w:eastAsia="zh-CN"/>
              </w:rPr>
              <w:t>项目建设</w:t>
            </w:r>
            <w:r>
              <w:rPr>
                <w:rFonts w:hint="eastAsia"/>
                <w:bCs/>
                <w:sz w:val="24"/>
              </w:rPr>
              <w:t>符合新一轮土地利用总体规划</w:t>
            </w:r>
            <w:r>
              <w:rPr>
                <w:rFonts w:hint="eastAsia"/>
                <w:sz w:val="24"/>
              </w:rPr>
              <w:t>。</w:t>
            </w:r>
          </w:p>
          <w:p>
            <w:pPr>
              <w:adjustRightInd w:val="0"/>
              <w:snapToGrid w:val="0"/>
              <w:spacing w:line="360" w:lineRule="auto"/>
              <w:ind w:firstLine="480" w:firstLineChars="200"/>
              <w:rPr>
                <w:rFonts w:hint="eastAsia"/>
                <w:bCs/>
                <w:sz w:val="24"/>
              </w:rPr>
            </w:pPr>
            <w:r>
              <w:rPr>
                <w:bCs/>
                <w:sz w:val="24"/>
              </w:rPr>
              <w:t>项目</w:t>
            </w:r>
            <w:r>
              <w:rPr>
                <w:rFonts w:hint="eastAsia"/>
                <w:bCs/>
                <w:sz w:val="24"/>
              </w:rPr>
              <w:t>运营</w:t>
            </w:r>
            <w:r>
              <w:rPr>
                <w:bCs/>
                <w:sz w:val="24"/>
              </w:rPr>
              <w:t>期间产生的废气、废水、噪声和固体废物等方面环境影响，在采用相应的污染防治措施后，均可达标排放，对周围环境影响不大。</w:t>
            </w:r>
          </w:p>
          <w:p>
            <w:pPr>
              <w:adjustRightInd w:val="0"/>
              <w:snapToGrid w:val="0"/>
              <w:spacing w:line="360" w:lineRule="auto"/>
              <w:ind w:firstLine="480" w:firstLineChars="200"/>
              <w:rPr>
                <w:sz w:val="24"/>
              </w:rPr>
            </w:pPr>
            <w:r>
              <w:rPr>
                <w:rFonts w:hint="eastAsia"/>
                <w:sz w:val="24"/>
              </w:rPr>
              <w:t>项目</w:t>
            </w:r>
            <w:r>
              <w:rPr>
                <w:sz w:val="24"/>
              </w:rPr>
              <w:t>厂址周围500m范围内无自然保护区、风景名胜区、生态环境敏感区等敏感目标。</w:t>
            </w:r>
          </w:p>
          <w:p>
            <w:pPr>
              <w:adjustRightInd w:val="0"/>
              <w:snapToGrid w:val="0"/>
              <w:spacing w:line="360" w:lineRule="auto"/>
              <w:ind w:firstLine="480" w:firstLineChars="200"/>
              <w:rPr>
                <w:rFonts w:hint="eastAsia"/>
                <w:sz w:val="24"/>
              </w:rPr>
            </w:pPr>
            <w:r>
              <w:rPr>
                <w:sz w:val="24"/>
              </w:rPr>
              <w:t>综上所述，项目选址可行。</w:t>
            </w:r>
          </w:p>
          <w:p>
            <w:pPr>
              <w:spacing w:line="520" w:lineRule="exact"/>
              <w:rPr>
                <w:b/>
                <w:sz w:val="24"/>
              </w:rPr>
            </w:pPr>
            <w:r>
              <w:rPr>
                <w:b/>
                <w:sz w:val="24"/>
              </w:rPr>
              <w:t>3、环境质量现状评价结论</w:t>
            </w:r>
          </w:p>
          <w:p>
            <w:pPr>
              <w:adjustRightInd w:val="0"/>
              <w:snapToGrid w:val="0"/>
              <w:spacing w:line="520" w:lineRule="exact"/>
              <w:ind w:firstLine="480" w:firstLineChars="200"/>
              <w:rPr>
                <w:sz w:val="24"/>
              </w:rPr>
            </w:pPr>
            <w:r>
              <w:rPr>
                <w:rFonts w:hint="eastAsia"/>
                <w:sz w:val="24"/>
              </w:rPr>
              <w:t>环境空气：</w:t>
            </w:r>
            <w:r>
              <w:rPr>
                <w:rFonts w:hint="eastAsia"/>
                <w:sz w:val="24"/>
                <w:szCs w:val="28"/>
              </w:rPr>
              <w:t>项目所在区域环境空气中的</w:t>
            </w:r>
            <w:r>
              <w:rPr>
                <w:sz w:val="24"/>
                <w:szCs w:val="28"/>
              </w:rPr>
              <w:t xml:space="preserve"> NO</w:t>
            </w:r>
            <w:r>
              <w:rPr>
                <w:sz w:val="24"/>
                <w:szCs w:val="28"/>
                <w:vertAlign w:val="subscript"/>
              </w:rPr>
              <w:t>2</w:t>
            </w:r>
            <w:r>
              <w:rPr>
                <w:rFonts w:hint="eastAsia"/>
                <w:sz w:val="24"/>
                <w:szCs w:val="28"/>
              </w:rPr>
              <w:t>、</w:t>
            </w:r>
            <w:r>
              <w:rPr>
                <w:sz w:val="24"/>
                <w:szCs w:val="28"/>
              </w:rPr>
              <w:t>PM</w:t>
            </w:r>
            <w:r>
              <w:rPr>
                <w:sz w:val="24"/>
                <w:szCs w:val="28"/>
                <w:vertAlign w:val="subscript"/>
              </w:rPr>
              <w:t>10</w:t>
            </w:r>
            <w:r>
              <w:rPr>
                <w:rFonts w:hint="eastAsia"/>
                <w:sz w:val="24"/>
                <w:szCs w:val="28"/>
              </w:rPr>
              <w:t>和</w:t>
            </w:r>
            <w:r>
              <w:rPr>
                <w:sz w:val="24"/>
                <w:szCs w:val="28"/>
              </w:rPr>
              <w:t xml:space="preserve"> SO</w:t>
            </w:r>
            <w:r>
              <w:rPr>
                <w:sz w:val="24"/>
                <w:szCs w:val="28"/>
                <w:vertAlign w:val="subscript"/>
              </w:rPr>
              <w:t>2</w:t>
            </w:r>
            <w:r>
              <w:rPr>
                <w:rFonts w:hint="eastAsia"/>
                <w:sz w:val="24"/>
                <w:szCs w:val="28"/>
              </w:rPr>
              <w:t>浓度均能满足《环境空气质量标准》（</w:t>
            </w:r>
            <w:r>
              <w:rPr>
                <w:sz w:val="24"/>
                <w:szCs w:val="28"/>
              </w:rPr>
              <w:t>GB3095-2012</w:t>
            </w:r>
            <w:r>
              <w:rPr>
                <w:rFonts w:hint="eastAsia"/>
                <w:sz w:val="24"/>
                <w:szCs w:val="28"/>
              </w:rPr>
              <w:t>）二级标准要求，表明区域环境空气质量现状较好</w:t>
            </w:r>
            <w:r>
              <w:rPr>
                <w:sz w:val="24"/>
              </w:rPr>
              <w:t>。</w:t>
            </w:r>
          </w:p>
          <w:p>
            <w:pPr>
              <w:adjustRightInd w:val="0"/>
              <w:snapToGrid w:val="0"/>
              <w:spacing w:line="520" w:lineRule="exact"/>
              <w:ind w:firstLine="480" w:firstLineChars="200"/>
              <w:rPr>
                <w:rFonts w:hint="eastAsia"/>
                <w:bCs/>
                <w:sz w:val="24"/>
              </w:rPr>
            </w:pPr>
            <w:r>
              <w:rPr>
                <w:rFonts w:hint="eastAsia"/>
                <w:sz w:val="24"/>
              </w:rPr>
              <w:t>地表水：淮河淮滨水文站</w:t>
            </w:r>
            <w:r>
              <w:rPr>
                <w:rFonts w:hint="eastAsia" w:hAnsi="宋体"/>
                <w:sz w:val="24"/>
              </w:rPr>
              <w:t>断面</w:t>
            </w:r>
            <w:r>
              <w:rPr>
                <w:rFonts w:hAnsi="宋体"/>
                <w:sz w:val="24"/>
              </w:rPr>
              <w:t>COD</w:t>
            </w:r>
            <w:r>
              <w:rPr>
                <w:rFonts w:hint="eastAsia" w:hAnsi="宋体"/>
                <w:sz w:val="24"/>
              </w:rPr>
              <w:t>、氨氮均能满足《地表水环境质量标准》（</w:t>
            </w:r>
            <w:r>
              <w:rPr>
                <w:rFonts w:hAnsi="宋体"/>
                <w:sz w:val="24"/>
              </w:rPr>
              <w:t>GB3838-2002</w:t>
            </w:r>
            <w:r>
              <w:rPr>
                <w:rFonts w:hint="eastAsia" w:hAnsi="宋体"/>
                <w:sz w:val="24"/>
              </w:rPr>
              <w:t>）Ⅲ类标准要求，</w:t>
            </w:r>
            <w:r>
              <w:rPr>
                <w:rFonts w:hint="eastAsia"/>
                <w:sz w:val="24"/>
              </w:rPr>
              <w:t>区域地表水环境质量状况良好</w:t>
            </w:r>
            <w:r>
              <w:rPr>
                <w:rFonts w:hint="eastAsia" w:hAnsi="宋体"/>
                <w:sz w:val="24"/>
              </w:rPr>
              <w:t>。</w:t>
            </w:r>
          </w:p>
          <w:p>
            <w:pPr>
              <w:adjustRightInd w:val="0"/>
              <w:snapToGrid w:val="0"/>
              <w:spacing w:line="520" w:lineRule="exact"/>
              <w:ind w:firstLine="480" w:firstLineChars="200"/>
              <w:rPr>
                <w:rFonts w:hint="eastAsia"/>
                <w:sz w:val="24"/>
              </w:rPr>
            </w:pPr>
            <w:r>
              <w:rPr>
                <w:rFonts w:hint="eastAsia"/>
                <w:sz w:val="24"/>
              </w:rPr>
              <w:t>声环境：经监测，项目所在区域昼夜</w:t>
            </w:r>
            <w:r>
              <w:rPr>
                <w:sz w:val="24"/>
              </w:rPr>
              <w:t>噪声均能满足《声环境质量标准》（GB3096-2008）</w:t>
            </w:r>
            <w:r>
              <w:rPr>
                <w:rFonts w:hint="eastAsia"/>
                <w:sz w:val="24"/>
              </w:rPr>
              <w:t>相关</w:t>
            </w:r>
            <w:r>
              <w:rPr>
                <w:sz w:val="24"/>
              </w:rPr>
              <w:t>标准</w:t>
            </w:r>
            <w:r>
              <w:rPr>
                <w:rFonts w:hint="eastAsia"/>
                <w:sz w:val="24"/>
              </w:rPr>
              <w:t>要求</w:t>
            </w:r>
            <w:r>
              <w:rPr>
                <w:sz w:val="24"/>
              </w:rPr>
              <w:t>。</w:t>
            </w:r>
          </w:p>
          <w:p>
            <w:pPr>
              <w:adjustRightInd w:val="0"/>
              <w:snapToGrid w:val="0"/>
              <w:spacing w:line="520" w:lineRule="exact"/>
              <w:ind w:firstLine="480" w:firstLineChars="200"/>
              <w:rPr>
                <w:bCs/>
                <w:kern w:val="0"/>
                <w:sz w:val="24"/>
              </w:rPr>
            </w:pPr>
            <w:r>
              <w:rPr>
                <w:rFonts w:hint="eastAsia"/>
                <w:bCs/>
                <w:kern w:val="0"/>
                <w:sz w:val="24"/>
              </w:rPr>
              <w:t>项目所在区域环境质量现状较好</w:t>
            </w:r>
            <w:r>
              <w:rPr>
                <w:bCs/>
                <w:kern w:val="0"/>
                <w:sz w:val="24"/>
              </w:rPr>
              <w:t>。</w:t>
            </w:r>
          </w:p>
          <w:p>
            <w:pPr>
              <w:spacing w:line="520" w:lineRule="exact"/>
              <w:rPr>
                <w:rFonts w:hint="eastAsia"/>
                <w:b/>
                <w:bCs/>
                <w:sz w:val="24"/>
              </w:rPr>
            </w:pPr>
            <w:r>
              <w:rPr>
                <w:rFonts w:hint="eastAsia"/>
                <w:b/>
                <w:bCs/>
                <w:sz w:val="24"/>
              </w:rPr>
              <w:t>4</w:t>
            </w:r>
            <w:r>
              <w:rPr>
                <w:b/>
                <w:bCs/>
                <w:sz w:val="24"/>
              </w:rPr>
              <w:t>、</w:t>
            </w:r>
            <w:r>
              <w:rPr>
                <w:rFonts w:hint="eastAsia"/>
                <w:b/>
                <w:sz w:val="24"/>
              </w:rPr>
              <w:t>污染治理措施及</w:t>
            </w:r>
            <w:r>
              <w:rPr>
                <w:b/>
                <w:sz w:val="24"/>
              </w:rPr>
              <w:t>环境影响分析</w:t>
            </w:r>
          </w:p>
          <w:p>
            <w:pPr>
              <w:adjustRightInd w:val="0"/>
              <w:snapToGrid w:val="0"/>
              <w:spacing w:line="520" w:lineRule="exact"/>
              <w:ind w:firstLine="480" w:firstLineChars="200"/>
              <w:rPr>
                <w:rFonts w:hint="eastAsia"/>
                <w:sz w:val="24"/>
              </w:rPr>
            </w:pPr>
            <w:r>
              <w:rPr>
                <w:rFonts w:hint="eastAsia"/>
                <w:sz w:val="24"/>
              </w:rPr>
              <w:t>（1）水环境影响分析结论</w:t>
            </w:r>
          </w:p>
          <w:p>
            <w:pPr>
              <w:adjustRightInd w:val="0"/>
              <w:snapToGrid w:val="0"/>
              <w:spacing w:line="520" w:lineRule="exact"/>
              <w:ind w:firstLine="480" w:firstLineChars="200"/>
              <w:rPr>
                <w:rFonts w:hint="eastAsia"/>
                <w:sz w:val="24"/>
              </w:rPr>
            </w:pPr>
            <w:r>
              <w:rPr>
                <w:rFonts w:hint="eastAsia"/>
                <w:sz w:val="24"/>
              </w:rPr>
              <w:t>本工程为天然气输配工程，管道正常运行时没有生产废水产生。</w:t>
            </w:r>
          </w:p>
          <w:p>
            <w:pPr>
              <w:adjustRightInd w:val="0"/>
              <w:snapToGrid w:val="0"/>
              <w:spacing w:line="520" w:lineRule="exact"/>
              <w:ind w:firstLine="480" w:firstLineChars="200"/>
              <w:rPr>
                <w:rFonts w:hint="eastAsia"/>
                <w:sz w:val="24"/>
              </w:rPr>
            </w:pPr>
            <w:r>
              <w:rPr>
                <w:rFonts w:hint="eastAsia"/>
                <w:sz w:val="24"/>
              </w:rPr>
              <w:t>（2）大气环境影响分析结论</w:t>
            </w:r>
          </w:p>
          <w:p>
            <w:pPr>
              <w:adjustRightInd w:val="0"/>
              <w:snapToGrid w:val="0"/>
              <w:spacing w:line="520" w:lineRule="exact"/>
              <w:ind w:firstLine="480" w:firstLineChars="200"/>
              <w:rPr>
                <w:rFonts w:hint="eastAsia"/>
                <w:sz w:val="24"/>
              </w:rPr>
            </w:pPr>
            <w:r>
              <w:rPr>
                <w:rFonts w:hint="eastAsia"/>
                <w:sz w:val="24"/>
              </w:rPr>
              <w:t>本工程为天然气管道工程，正常情况下，输气管道密闭运行，无废气排放，因此不会造成空气污染。只有在管道检修等非正常工况下，会有少量天然气在管道中释放出来，由于管道检修一次泄露量很少，对其采取收集就地燃烧的措施处理，基本不会对环境空气质量产生影响。</w:t>
            </w:r>
          </w:p>
          <w:p>
            <w:pPr>
              <w:adjustRightInd w:val="0"/>
              <w:snapToGrid w:val="0"/>
              <w:spacing w:line="520" w:lineRule="exact"/>
              <w:ind w:firstLine="480" w:firstLineChars="200"/>
              <w:rPr>
                <w:rFonts w:hint="eastAsia"/>
                <w:sz w:val="24"/>
              </w:rPr>
            </w:pPr>
            <w:r>
              <w:rPr>
                <w:rFonts w:hint="eastAsia"/>
                <w:sz w:val="24"/>
              </w:rPr>
              <w:t>（3）声环境影响评价结论：</w:t>
            </w:r>
          </w:p>
          <w:p>
            <w:pPr>
              <w:adjustRightInd w:val="0"/>
              <w:snapToGrid w:val="0"/>
              <w:spacing w:line="520" w:lineRule="exact"/>
              <w:ind w:firstLine="480" w:firstLineChars="200"/>
              <w:rPr>
                <w:rFonts w:hint="eastAsia"/>
                <w:sz w:val="24"/>
              </w:rPr>
            </w:pPr>
            <w:r>
              <w:rPr>
                <w:rFonts w:hint="eastAsia"/>
                <w:sz w:val="24"/>
              </w:rPr>
              <w:t>管道正常运行过程无噪声产生。</w:t>
            </w:r>
          </w:p>
          <w:p>
            <w:pPr>
              <w:adjustRightInd w:val="0"/>
              <w:snapToGrid w:val="0"/>
              <w:spacing w:line="520" w:lineRule="exact"/>
              <w:ind w:firstLine="480" w:firstLineChars="200"/>
              <w:rPr>
                <w:rFonts w:hint="eastAsia"/>
                <w:sz w:val="24"/>
              </w:rPr>
            </w:pPr>
            <w:r>
              <w:rPr>
                <w:rFonts w:hint="eastAsia"/>
                <w:sz w:val="24"/>
              </w:rPr>
              <w:t>（4）固废环境影响分析结论</w:t>
            </w:r>
          </w:p>
          <w:p>
            <w:pPr>
              <w:adjustRightInd w:val="0"/>
              <w:snapToGrid w:val="0"/>
              <w:spacing w:line="520" w:lineRule="exact"/>
              <w:ind w:firstLine="480" w:firstLineChars="200"/>
              <w:rPr>
                <w:rFonts w:hint="eastAsia"/>
                <w:sz w:val="24"/>
              </w:rPr>
            </w:pPr>
            <w:r>
              <w:rPr>
                <w:rFonts w:hint="eastAsia"/>
                <w:sz w:val="24"/>
              </w:rPr>
              <w:t>本项目营运期无固体废物产生。</w:t>
            </w:r>
          </w:p>
          <w:p>
            <w:pPr>
              <w:adjustRightInd w:val="0"/>
              <w:snapToGrid w:val="0"/>
              <w:spacing w:line="520" w:lineRule="exact"/>
              <w:ind w:firstLine="480" w:firstLineChars="200"/>
              <w:rPr>
                <w:rFonts w:hint="eastAsia"/>
                <w:sz w:val="24"/>
              </w:rPr>
            </w:pPr>
            <w:r>
              <w:rPr>
                <w:rFonts w:hint="eastAsia"/>
                <w:sz w:val="24"/>
              </w:rPr>
              <w:t>（5）生态和社会影响评价结论</w:t>
            </w:r>
          </w:p>
          <w:p>
            <w:pPr>
              <w:adjustRightInd w:val="0"/>
              <w:snapToGrid w:val="0"/>
              <w:spacing w:line="520" w:lineRule="exact"/>
              <w:ind w:firstLine="480" w:firstLineChars="200"/>
              <w:rPr>
                <w:rFonts w:hint="eastAsia"/>
                <w:sz w:val="24"/>
              </w:rPr>
            </w:pPr>
            <w:r>
              <w:rPr>
                <w:rFonts w:hint="eastAsia"/>
                <w:sz w:val="24"/>
              </w:rPr>
              <w:t>本工程的管道工程建成投入运行后，管沟开挖部分通过植被恢复可大大降低项目建设对陆生生态的影响，对城区道路的影响也即消除。供应的天然气属清洁能源，替代部分重油、煤等污染较大的能源后，可减少大气污染物的排放，间接降低大气污染物排放对生态环境的影响。但天然气管道属安全和消防重点保护对象，管线附近用地会受到限制，对城镇发展构成一定影响。</w:t>
            </w:r>
          </w:p>
          <w:p>
            <w:pPr>
              <w:adjustRightInd w:val="0"/>
              <w:snapToGrid w:val="0"/>
              <w:spacing w:line="520" w:lineRule="exact"/>
              <w:rPr>
                <w:rFonts w:hint="eastAsia"/>
                <w:sz w:val="24"/>
              </w:rPr>
            </w:pPr>
            <w:r>
              <w:rPr>
                <w:rFonts w:hint="eastAsia"/>
                <w:sz w:val="24"/>
              </w:rPr>
              <w:t>采用定向钻法建设河流穿越工程，建成后不会对河流水生生物、水动力、河堤安全和水土流失构成不利影响。</w:t>
            </w:r>
          </w:p>
          <w:p>
            <w:pPr>
              <w:adjustRightInd w:val="0"/>
              <w:snapToGrid w:val="0"/>
              <w:spacing w:line="520" w:lineRule="exact"/>
              <w:rPr>
                <w:b/>
                <w:sz w:val="24"/>
              </w:rPr>
            </w:pPr>
            <w:r>
              <w:rPr>
                <w:rFonts w:hint="eastAsia"/>
                <w:b/>
                <w:sz w:val="24"/>
              </w:rPr>
              <w:t>5</w:t>
            </w:r>
            <w:r>
              <w:rPr>
                <w:b/>
                <w:sz w:val="24"/>
              </w:rPr>
              <w:t>、达标排放与总量控制</w:t>
            </w:r>
          </w:p>
          <w:p>
            <w:pPr>
              <w:spacing w:line="520" w:lineRule="exact"/>
              <w:ind w:firstLine="420" w:firstLineChars="200"/>
              <w:rPr>
                <w:rFonts w:hint="eastAsia" w:eastAsia="宋体"/>
                <w:lang w:val="en-US" w:eastAsia="zh-CN"/>
              </w:rPr>
            </w:pPr>
            <w:r>
              <w:rPr>
                <w:rFonts w:hint="eastAsia" w:eastAsia="宋体"/>
                <w:lang w:val="en-US" w:eastAsia="zh-CN"/>
              </w:rPr>
              <w:t>本项目不设总量控制指标。</w:t>
            </w:r>
          </w:p>
          <w:p>
            <w:pPr>
              <w:spacing w:line="520" w:lineRule="exact"/>
              <w:ind w:firstLine="482" w:firstLineChars="200"/>
              <w:rPr>
                <w:b/>
                <w:sz w:val="24"/>
              </w:rPr>
            </w:pPr>
            <w:r>
              <w:rPr>
                <w:b/>
                <w:sz w:val="24"/>
              </w:rPr>
              <w:t>综上所述，本项目符合国家产业政策要求，项目运行过程，要严格执行有关环保法规 和“三同时”制度，认真落实本报告提出的各项污染防治措施。项目生产过程中产生的废气和噪声均能实现达标排放，固体废物、废水得到合理的处置，而且本项目对所在区域的经济发展起到一定的促进作用。从环境保护角度分析，本项目可行。</w:t>
            </w:r>
          </w:p>
          <w:p>
            <w:pPr>
              <w:spacing w:line="520" w:lineRule="exact"/>
              <w:rPr>
                <w:rFonts w:eastAsia="黑体"/>
                <w:bCs/>
                <w:sz w:val="24"/>
              </w:rPr>
            </w:pPr>
            <w:r>
              <w:rPr>
                <w:rFonts w:eastAsia="黑体"/>
                <w:bCs/>
                <w:sz w:val="24"/>
              </w:rPr>
              <w:t>建议：</w:t>
            </w:r>
          </w:p>
          <w:p>
            <w:pPr>
              <w:spacing w:line="520" w:lineRule="exact"/>
              <w:ind w:firstLine="480" w:firstLineChars="200"/>
              <w:rPr>
                <w:rFonts w:hint="eastAsia"/>
                <w:bCs/>
                <w:sz w:val="24"/>
              </w:rPr>
            </w:pPr>
            <w:r>
              <w:rPr>
                <w:bCs/>
                <w:sz w:val="24"/>
              </w:rPr>
              <w:t xml:space="preserve">1、严格落实“三同时”制度，确保污染治理设施与主体工程同时设计，同时施工， 同时投产； </w:t>
            </w:r>
          </w:p>
          <w:p>
            <w:pPr>
              <w:spacing w:line="520" w:lineRule="exact"/>
              <w:ind w:firstLine="480" w:firstLineChars="200"/>
              <w:rPr>
                <w:bCs/>
                <w:sz w:val="24"/>
              </w:rPr>
            </w:pPr>
            <w:r>
              <w:rPr>
                <w:bCs/>
                <w:sz w:val="24"/>
              </w:rPr>
              <w:t>2、严格执行环评中所提出的各项污染防治措施，加强劳动保护措施；</w:t>
            </w:r>
          </w:p>
          <w:p>
            <w:pPr>
              <w:spacing w:line="520" w:lineRule="exact"/>
              <w:ind w:firstLine="480" w:firstLineChars="200"/>
              <w:rPr>
                <w:bCs/>
                <w:sz w:val="24"/>
              </w:rPr>
            </w:pPr>
            <w:r>
              <w:rPr>
                <w:bCs/>
                <w:sz w:val="24"/>
              </w:rPr>
              <w:t>3、加强环境管理，对各环保设施加强日常维修，确保正常运行</w:t>
            </w:r>
            <w:r>
              <w:rPr>
                <w:rFonts w:hint="eastAsia"/>
                <w:bCs/>
                <w:sz w:val="24"/>
              </w:rPr>
              <w:t>。</w:t>
            </w:r>
          </w:p>
          <w:p>
            <w:pPr>
              <w:spacing w:line="520" w:lineRule="exact"/>
              <w:ind w:firstLine="480" w:firstLineChars="200"/>
              <w:rPr>
                <w:bCs/>
                <w:sz w:val="24"/>
              </w:rPr>
            </w:pPr>
          </w:p>
          <w:p>
            <w:pPr>
              <w:spacing w:line="520" w:lineRule="exact"/>
              <w:ind w:firstLine="480" w:firstLineChars="200"/>
              <w:rPr>
                <w:bCs/>
                <w:sz w:val="24"/>
              </w:rPr>
            </w:pPr>
          </w:p>
          <w:p>
            <w:pPr>
              <w:spacing w:line="520" w:lineRule="exact"/>
              <w:rPr>
                <w:rFonts w:hint="eastAsia"/>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9" w:type="dxa"/>
          <w:trHeight w:val="6846" w:hRule="atLeast"/>
          <w:jc w:val="center"/>
        </w:trPr>
        <w:tc>
          <w:tcPr>
            <w:tcW w:w="9401" w:type="dxa"/>
            <w:noWrap w:val="0"/>
            <w:vAlign w:val="top"/>
          </w:tcPr>
          <w:p>
            <w:pPr>
              <w:spacing w:before="156" w:beforeLines="50" w:line="480" w:lineRule="exact"/>
              <w:rPr>
                <w:sz w:val="28"/>
                <w:szCs w:val="28"/>
              </w:rPr>
            </w:pPr>
            <w:r>
              <w:rPr>
                <w:rFonts w:hint="eastAsia"/>
              </w:rPr>
              <w:t xml:space="preserve">  </w:t>
            </w:r>
            <w:r>
              <w:rPr>
                <w:sz w:val="28"/>
                <w:szCs w:val="28"/>
              </w:rPr>
              <w:t>预审意见：</w:t>
            </w: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rPr>
                <w:sz w:val="28"/>
                <w:szCs w:val="28"/>
              </w:rPr>
            </w:pPr>
          </w:p>
          <w:p>
            <w:pPr>
              <w:spacing w:after="156" w:afterLines="50" w:line="480" w:lineRule="exact"/>
              <w:ind w:firstLine="6059" w:firstLineChars="2164"/>
              <w:rPr>
                <w:sz w:val="28"/>
                <w:szCs w:val="28"/>
              </w:rPr>
            </w:pPr>
            <w:r>
              <w:rPr>
                <w:sz w:val="28"/>
                <w:szCs w:val="28"/>
              </w:rPr>
              <w:t>公   章</w:t>
            </w:r>
          </w:p>
          <w:p>
            <w:pPr>
              <w:spacing w:line="480" w:lineRule="exact"/>
              <w:ind w:firstLine="280" w:firstLineChars="100"/>
              <w:rPr>
                <w:sz w:val="30"/>
              </w:rPr>
            </w:pPr>
            <w:r>
              <w:rPr>
                <w:sz w:val="28"/>
                <w:szCs w:val="28"/>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9" w:type="dxa"/>
          <w:trHeight w:val="6571" w:hRule="atLeast"/>
          <w:jc w:val="center"/>
        </w:trPr>
        <w:tc>
          <w:tcPr>
            <w:tcW w:w="9401" w:type="dxa"/>
            <w:noWrap w:val="0"/>
            <w:vAlign w:val="top"/>
          </w:tcPr>
          <w:p>
            <w:pPr>
              <w:spacing w:line="480" w:lineRule="exact"/>
              <w:rPr>
                <w:sz w:val="28"/>
              </w:rPr>
            </w:pPr>
            <w:r>
              <w:rPr>
                <w:sz w:val="28"/>
              </w:rPr>
              <w:t>下一级环境保护行政主管部门审查意见：</w:t>
            </w:r>
          </w:p>
          <w:p>
            <w:pPr>
              <w:spacing w:line="480" w:lineRule="exact"/>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rPr>
                <w:sz w:val="28"/>
              </w:rPr>
            </w:pPr>
          </w:p>
          <w:p>
            <w:pPr>
              <w:spacing w:line="480" w:lineRule="exact"/>
              <w:ind w:firstLine="6753" w:firstLineChars="2412"/>
              <w:rPr>
                <w:sz w:val="28"/>
              </w:rPr>
            </w:pPr>
          </w:p>
          <w:p>
            <w:pPr>
              <w:spacing w:after="156" w:afterLines="50" w:line="480" w:lineRule="exact"/>
              <w:ind w:firstLine="6753" w:firstLineChars="2412"/>
              <w:rPr>
                <w:sz w:val="28"/>
              </w:rPr>
            </w:pPr>
            <w:r>
              <w:rPr>
                <w:sz w:val="28"/>
              </w:rPr>
              <w:t>公  章</w:t>
            </w:r>
          </w:p>
          <w:p>
            <w:pPr>
              <w:spacing w:line="480" w:lineRule="exact"/>
              <w:ind w:firstLine="280" w:firstLineChars="100"/>
              <w:rPr>
                <w:sz w:val="28"/>
              </w:rPr>
            </w:pPr>
            <w:r>
              <w:rPr>
                <w:sz w:val="28"/>
              </w:rPr>
              <w:t>经办人：                                  年    月    日</w:t>
            </w:r>
          </w:p>
        </w:tc>
      </w:tr>
    </w:tbl>
    <w:p>
      <w:pPr>
        <w:rPr>
          <w:vanish/>
        </w:rPr>
      </w:pPr>
    </w:p>
    <w:tbl>
      <w:tblPr>
        <w:tblStyle w:val="15"/>
        <w:tblpPr w:leftFromText="180" w:rightFromText="180" w:vertAnchor="text" w:horzAnchor="margin" w:tblpXSpec="center" w:tblpY="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51" w:hRule="atLeast"/>
        </w:trPr>
        <w:tc>
          <w:tcPr>
            <w:tcW w:w="9286" w:type="dxa"/>
            <w:noWrap w:val="0"/>
            <w:vAlign w:val="top"/>
          </w:tcPr>
          <w:p>
            <w:pPr>
              <w:spacing w:line="480" w:lineRule="exact"/>
              <w:rPr>
                <w:sz w:val="28"/>
                <w:szCs w:val="28"/>
              </w:rPr>
            </w:pPr>
            <w:r>
              <w:rPr>
                <w:sz w:val="28"/>
                <w:szCs w:val="28"/>
              </w:rPr>
              <w:t>审批意见：</w:t>
            </w: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rPr>
                <w:sz w:val="28"/>
                <w:szCs w:val="28"/>
              </w:rPr>
            </w:pPr>
          </w:p>
          <w:p>
            <w:pPr>
              <w:spacing w:line="480" w:lineRule="exact"/>
              <w:rPr>
                <w:sz w:val="28"/>
                <w:szCs w:val="28"/>
              </w:rPr>
            </w:pPr>
          </w:p>
          <w:p>
            <w:pPr>
              <w:spacing w:line="480" w:lineRule="exact"/>
              <w:rPr>
                <w:sz w:val="28"/>
                <w:szCs w:val="28"/>
              </w:rPr>
            </w:pPr>
          </w:p>
          <w:p>
            <w:pPr>
              <w:spacing w:line="480" w:lineRule="exact"/>
              <w:rPr>
                <w:sz w:val="28"/>
                <w:szCs w:val="28"/>
              </w:rPr>
            </w:pPr>
          </w:p>
          <w:p>
            <w:pPr>
              <w:spacing w:line="480" w:lineRule="exact"/>
              <w:rPr>
                <w:sz w:val="28"/>
                <w:szCs w:val="28"/>
              </w:rPr>
            </w:pPr>
          </w:p>
          <w:p>
            <w:pPr>
              <w:spacing w:after="156" w:afterLines="50" w:line="480" w:lineRule="exact"/>
              <w:ind w:firstLine="6935" w:firstLineChars="2477"/>
              <w:rPr>
                <w:sz w:val="28"/>
                <w:szCs w:val="28"/>
              </w:rPr>
            </w:pPr>
            <w:r>
              <w:rPr>
                <w:sz w:val="28"/>
                <w:szCs w:val="28"/>
              </w:rPr>
              <w:t>公  章</w:t>
            </w:r>
          </w:p>
          <w:p>
            <w:pPr>
              <w:spacing w:line="480" w:lineRule="exact"/>
              <w:ind w:firstLine="420" w:firstLineChars="150"/>
              <w:rPr>
                <w:sz w:val="28"/>
              </w:rPr>
            </w:pPr>
            <w:r>
              <w:rPr>
                <w:sz w:val="28"/>
                <w:szCs w:val="28"/>
              </w:rPr>
              <w:t>经办人：                                  年    月    日</w:t>
            </w:r>
          </w:p>
        </w:tc>
      </w:tr>
    </w:tbl>
    <w:p>
      <w:pPr>
        <w:spacing w:before="156" w:beforeLines="50" w:line="480" w:lineRule="exact"/>
        <w:rPr>
          <w:rFonts w:hint="eastAsia"/>
        </w:rPr>
        <w:sectPr>
          <w:pgSz w:w="11906" w:h="16838"/>
          <w:pgMar w:top="1440" w:right="1800" w:bottom="1440" w:left="1800" w:header="851" w:footer="992" w:gutter="0"/>
          <w:cols w:space="425" w:num="1"/>
          <w:docGrid w:type="lines" w:linePitch="312" w:charSpace="0"/>
        </w:sectPr>
      </w:pPr>
    </w:p>
    <w:p>
      <w:r>
        <w:rPr>
          <w:rFonts w:hint="eastAsia"/>
        </w:rPr>
        <w:t xml:space="preserve"> </w:t>
      </w:r>
      <w:r>
        <w:drawing>
          <wp:anchor distT="0" distB="0" distL="114300" distR="114300" simplePos="0" relativeHeight="384269312" behindDoc="1" locked="0" layoutInCell="1" allowOverlap="1">
            <wp:simplePos x="0" y="0"/>
            <wp:positionH relativeFrom="column">
              <wp:posOffset>188595</wp:posOffset>
            </wp:positionH>
            <wp:positionV relativeFrom="paragraph">
              <wp:posOffset>-24765</wp:posOffset>
            </wp:positionV>
            <wp:extent cx="8476615" cy="4819650"/>
            <wp:effectExtent l="9525" t="9525" r="10160" b="952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8476615" cy="4819650"/>
                    </a:xfrm>
                    <a:prstGeom prst="rect">
                      <a:avLst/>
                    </a:prstGeom>
                    <a:noFill/>
                    <a:ln w="9525" cap="flat" cmpd="sng">
                      <a:solidFill>
                        <a:srgbClr val="000000"/>
                      </a:solidFill>
                      <a:prstDash val="solid"/>
                      <a:miter/>
                      <a:headEnd type="none" w="med" len="med"/>
                      <a:tailEnd type="none" w="med" len="med"/>
                    </a:ln>
                  </pic:spPr>
                </pic:pic>
              </a:graphicData>
            </a:graphic>
          </wp:anchor>
        </w:drawing>
      </w:r>
    </w:p>
    <w:p>
      <w:r>
        <w:rPr>
          <w:rFonts w:hint="eastAsia"/>
          <w:lang w:val="en-US" w:eastAsia="zh-CN"/>
        </w:rPr>
        <w:t xml:space="preserve">     </w:t>
      </w:r>
      <w:r>
        <w:drawing>
          <wp:inline distT="0" distB="0" distL="114300" distR="114300">
            <wp:extent cx="1019175" cy="971550"/>
            <wp:effectExtent l="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1019175" cy="971550"/>
                    </a:xfrm>
                    <a:prstGeom prst="rect">
                      <a:avLst/>
                    </a:prstGeom>
                    <a:noFill/>
                    <a:ln w="9525">
                      <a:noFill/>
                    </a:ln>
                  </pic:spPr>
                </pic:pic>
              </a:graphicData>
            </a:graphic>
          </wp:inline>
        </w:drawing>
      </w:r>
    </w:p>
    <w:p/>
    <w:p/>
    <w:p/>
    <w:p/>
    <w:p/>
    <w:p/>
    <w:p/>
    <w:p>
      <w:r>
        <mc:AlternateContent>
          <mc:Choice Requires="wps">
            <w:drawing>
              <wp:anchor distT="0" distB="0" distL="114300" distR="114300" simplePos="0" relativeHeight="384277504" behindDoc="0" locked="0" layoutInCell="1" allowOverlap="1">
                <wp:simplePos x="0" y="0"/>
                <wp:positionH relativeFrom="column">
                  <wp:posOffset>4837430</wp:posOffset>
                </wp:positionH>
                <wp:positionV relativeFrom="paragraph">
                  <wp:posOffset>1270</wp:posOffset>
                </wp:positionV>
                <wp:extent cx="76200" cy="76200"/>
                <wp:effectExtent l="4445" t="4445" r="14605" b="14605"/>
                <wp:wrapNone/>
                <wp:docPr id="11" name="矩形 5"/>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380.9pt;margin-top:0.1pt;height:6pt;width:6pt;z-index:384277504;mso-width-relative:page;mso-height-relative:page;" fillcolor="#FF0000" filled="t" stroked="t" coordsize="21600,21600" o:gfxdata="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zj2iE1QAAAAcBAAAPAAAAAAAA&#10;AAEAIAAAACIAAABkcnMvZG93bnJldi54bWxQSwECFAAUAAAACACHTuJAQ7aVidwBAADOAwAADgAA&#10;AAAAAAABACAAAAAkAQAAZHJzL2Uyb0RvYy54bWxQSwUGAAAAAAYABgBZAQAAcgUAAAAA&#10;">
                <v:fill on="t" focussize="0,0"/>
                <v:stroke color="#000000" joinstyle="miter"/>
                <v:imagedata o:title=""/>
                <o:lock v:ext="edit" aspectratio="f"/>
              </v:rect>
            </w:pict>
          </mc:Fallback>
        </mc:AlternateContent>
      </w:r>
    </w:p>
    <w:p/>
    <w:p/>
    <w:p/>
    <w:p/>
    <w:p>
      <w:r>
        <w:rPr>
          <w:sz w:val="21"/>
        </w:rPr>
        <mc:AlternateContent>
          <mc:Choice Requires="wps">
            <w:drawing>
              <wp:anchor distT="0" distB="0" distL="114300" distR="114300" simplePos="0" relativeHeight="384269312" behindDoc="0" locked="0" layoutInCell="1" allowOverlap="1">
                <wp:simplePos x="0" y="0"/>
                <wp:positionH relativeFrom="column">
                  <wp:posOffset>2193925</wp:posOffset>
                </wp:positionH>
                <wp:positionV relativeFrom="paragraph">
                  <wp:posOffset>81280</wp:posOffset>
                </wp:positionV>
                <wp:extent cx="1485900" cy="1143000"/>
                <wp:effectExtent l="6350" t="1042035" r="1212850" b="24765"/>
                <wp:wrapNone/>
                <wp:docPr id="3" name="椭圆形标注 3"/>
                <wp:cNvGraphicFramePr/>
                <a:graphic xmlns:a="http://schemas.openxmlformats.org/drawingml/2006/main">
                  <a:graphicData uri="http://schemas.microsoft.com/office/word/2010/wordprocessingShape">
                    <wps:wsp>
                      <wps:cNvSpPr/>
                      <wps:spPr>
                        <a:xfrm>
                          <a:off x="3831590" y="2856865"/>
                          <a:ext cx="1485900" cy="1143000"/>
                        </a:xfrm>
                        <a:prstGeom prst="wedgeEllipseCallout">
                          <a:avLst>
                            <a:gd name="adj1" fmla="val 128205"/>
                            <a:gd name="adj2" fmla="val -1381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lang w:eastAsia="zh-CN"/>
                              </w:rPr>
                            </w:pPr>
                            <w:r>
                              <w:rPr>
                                <w:rFonts w:hint="eastAsia"/>
                                <w:color w:val="FF0000"/>
                                <w:lang w:eastAsia="zh-CN"/>
                              </w:rPr>
                              <w:t>项目厂址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172.75pt;margin-top:6.4pt;height:90pt;width:117pt;z-index:384269312;v-text-anchor:middle;mso-width-relative:page;mso-height-relative:page;" filled="f" stroked="t" coordsize="21600,21600" o:gfxdata="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E+OoHYAAAACgEAAA8AAAAAAAAAAQAgAAAAIgAAAGRycy9kb3ducmV2LnhtbFBL&#10;AQIUABQAAAAIAIdO4kADdyHVoQIAAAEFAAAOAAAAAAAAAAEAIAAAACcBAABkcnMvZTJvRG9jLnht&#10;bFBLBQYAAAAABgAGAFkBAAA6BgAAAAA=&#10;" adj="38492,-19032">
                <v:fill on="f" focussize="0,0"/>
                <v:stroke weight="1pt" color="#FF0000 [3204]" miterlimit="8" joinstyle="miter"/>
                <v:imagedata o:title=""/>
                <o:lock v:ext="edit" aspectratio="f"/>
                <v:textbox>
                  <w:txbxContent>
                    <w:p>
                      <w:pPr>
                        <w:jc w:val="center"/>
                        <w:rPr>
                          <w:rFonts w:hint="eastAsia" w:eastAsiaTheme="minorEastAsia"/>
                          <w:color w:val="FF0000"/>
                          <w:lang w:eastAsia="zh-CN"/>
                        </w:rPr>
                      </w:pPr>
                      <w:r>
                        <w:rPr>
                          <w:rFonts w:hint="eastAsia"/>
                          <w:color w:val="FF0000"/>
                          <w:lang w:eastAsia="zh-CN"/>
                        </w:rPr>
                        <w:t>项目厂址</w:t>
                      </w:r>
                    </w:p>
                  </w:txbxContent>
                </v:textbox>
              </v:shape>
            </w:pict>
          </mc:Fallback>
        </mc:AlternateContent>
      </w:r>
    </w:p>
    <w:p/>
    <w:p/>
    <w:p>
      <w:r>
        <w:drawing>
          <wp:inline distT="0" distB="0" distL="114300" distR="114300">
            <wp:extent cx="1042670" cy="311150"/>
            <wp:effectExtent l="0" t="0" r="5080" b="1270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5"/>
                    <a:stretch>
                      <a:fillRect/>
                    </a:stretch>
                  </pic:blipFill>
                  <pic:spPr>
                    <a:xfrm>
                      <a:off x="0" y="0"/>
                      <a:ext cx="1042670" cy="311150"/>
                    </a:xfrm>
                    <a:prstGeom prst="rect">
                      <a:avLst/>
                    </a:prstGeom>
                    <a:noFill/>
                    <a:ln w="9525">
                      <a:noFill/>
                    </a:ln>
                  </pic:spPr>
                </pic:pic>
              </a:graphicData>
            </a:graphic>
          </wp:inline>
        </w:drawing>
      </w:r>
    </w:p>
    <w:p>
      <w:pPr>
        <w:jc w:val="both"/>
        <w:rPr>
          <w:rFonts w:hint="eastAsia" w:ascii="宋体" w:hAnsi="宋体" w:cs="宋体"/>
          <w:b/>
          <w:bCs/>
          <w:sz w:val="28"/>
          <w:szCs w:val="28"/>
        </w:rPr>
      </w:pPr>
    </w:p>
    <w:p>
      <w:pPr>
        <w:jc w:val="center"/>
        <w:sectPr>
          <w:pgSz w:w="16838" w:h="11906" w:orient="landscape"/>
          <w:pgMar w:top="1800" w:right="1440" w:bottom="1800" w:left="1440" w:header="851" w:footer="992" w:gutter="0"/>
          <w:cols w:space="425" w:num="1"/>
          <w:docGrid w:type="lines" w:linePitch="312" w:charSpace="0"/>
        </w:sectPr>
      </w:pPr>
      <w:r>
        <w:rPr>
          <w:rFonts w:hint="eastAsia" w:ascii="宋体" w:hAnsi="宋体" w:cs="宋体"/>
          <w:b/>
          <w:bCs/>
          <w:sz w:val="28"/>
          <w:szCs w:val="28"/>
        </w:rPr>
        <w:t>附图1       项目地理位置</w:t>
      </w:r>
    </w:p>
    <w:p>
      <w:pPr>
        <w:tabs>
          <w:tab w:val="left" w:pos="7056"/>
        </w:tabs>
        <w:jc w:val="both"/>
        <w:rPr>
          <w:rFonts w:hint="eastAsia" w:eastAsiaTheme="minorEastAsia"/>
          <w:lang w:eastAsia="zh-CN"/>
        </w:rPr>
      </w:pPr>
      <w:r>
        <w:rPr>
          <w:sz w:val="21"/>
        </w:rPr>
        <mc:AlternateContent>
          <mc:Choice Requires="wps">
            <w:drawing>
              <wp:anchor distT="0" distB="0" distL="114300" distR="114300" simplePos="0" relativeHeight="819145728" behindDoc="0" locked="0" layoutInCell="1" allowOverlap="1">
                <wp:simplePos x="0" y="0"/>
                <wp:positionH relativeFrom="column">
                  <wp:posOffset>2653665</wp:posOffset>
                </wp:positionH>
                <wp:positionV relativeFrom="paragraph">
                  <wp:posOffset>5138420</wp:posOffset>
                </wp:positionV>
                <wp:extent cx="4041775" cy="419100"/>
                <wp:effectExtent l="0" t="0" r="0" b="0"/>
                <wp:wrapNone/>
                <wp:docPr id="43" name="矩形 43"/>
                <wp:cNvGraphicFramePr/>
                <a:graphic xmlns:a="http://schemas.openxmlformats.org/drawingml/2006/main">
                  <a:graphicData uri="http://schemas.microsoft.com/office/word/2010/wordprocessingShape">
                    <wps:wsp>
                      <wps:cNvSpPr/>
                      <wps:spPr>
                        <a:xfrm>
                          <a:off x="0" y="0"/>
                          <a:ext cx="4041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w:t>
                            </w: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图2   项目在淮滨县总体规划中的位置图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95pt;margin-top:404.6pt;height:33pt;width:318.25pt;z-index:819145728;v-text-anchor:middle;mso-width-relative:page;mso-height-relative:page;" filled="f" stroked="f" coordsize="21600,21600" o:gfxdata="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KqWky2gAAAAwBAAAPAAAAAAAAAAEA&#10;IAAAACIAAABkcnMvZG93bnJldi54bWxQSwECFAAUAAAACACHTuJAWwqhtUYCAABhBAAADgAAAAAA&#10;AAABACAAAAApAQAAZHJzL2Uyb0RvYy54bWxQSwUGAAAAAAYABgBZAQAA4QUAAAAA&#10;">
                <v:fill on="f" focussize="0,0"/>
                <v:stroke on="f" weight="1pt" miterlimit="8" joinstyle="miter"/>
                <v:imagedata o:title=""/>
                <o:lock v:ext="edit" aspectratio="f"/>
                <v:textbox>
                  <w:txbxContent>
                    <w:p>
                      <w:pPr>
                        <w:jc w:val="center"/>
                        <w:rPr>
                          <w:rFonts w:hint="eastAsia" w:eastAsiaTheme="minor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w:t>
                      </w: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图2   项目在淮滨县总体规划中的位置图</w:t>
                      </w:r>
                    </w:p>
                  </w:txbxContent>
                </v:textbox>
              </v:rect>
            </w:pict>
          </mc:Fallback>
        </mc:AlternateContent>
      </w:r>
      <w:r>
        <w:rPr>
          <w:rFonts w:hint="eastAsia" w:eastAsiaTheme="minorEastAsia"/>
          <w:lang w:eastAsia="zh-CN"/>
        </w:rPr>
        <w:drawing>
          <wp:inline distT="0" distB="0" distL="114300" distR="114300">
            <wp:extent cx="8630920" cy="5136515"/>
            <wp:effectExtent l="0" t="0" r="17780" b="6985"/>
            <wp:docPr id="44" name="图片 44" descr="1527449007678862-152744900807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527449007678862-1527449008079622"/>
                    <pic:cNvPicPr>
                      <a:picLocks noChangeAspect="1"/>
                    </pic:cNvPicPr>
                  </pic:nvPicPr>
                  <pic:blipFill>
                    <a:blip r:embed="rId26"/>
                    <a:stretch>
                      <a:fillRect/>
                    </a:stretch>
                  </pic:blipFill>
                  <pic:spPr>
                    <a:xfrm>
                      <a:off x="0" y="0"/>
                      <a:ext cx="8630920" cy="5136515"/>
                    </a:xfrm>
                    <a:prstGeom prst="rect">
                      <a:avLst/>
                    </a:prstGeom>
                  </pic:spPr>
                </pic:pic>
              </a:graphicData>
            </a:graphic>
          </wp:inline>
        </w:drawing>
      </w:r>
    </w:p>
    <w:p>
      <w:pPr>
        <w:spacing w:before="156" w:beforeLines="50" w:line="480" w:lineRule="exact"/>
        <w:rPr>
          <w:rFonts w:hint="eastAsia"/>
        </w:rPr>
        <w:sectPr>
          <w:pgSz w:w="16781" w:h="11849" w:orient="landscape"/>
          <w:pgMar w:top="1440" w:right="1803" w:bottom="1440" w:left="1803" w:header="851" w:footer="992" w:gutter="0"/>
          <w:paperSrc/>
          <w:cols w:space="0" w:num="1"/>
          <w:rtlGutter w:val="0"/>
          <w:docGrid w:type="lines" w:linePitch="320" w:charSpace="0"/>
        </w:sectPr>
      </w:pPr>
      <w:r>
        <w:rPr>
          <w:rFonts w:hint="eastAsia"/>
        </w:rPr>
        <w:t xml:space="preserve">                               </w:t>
      </w:r>
    </w:p>
    <w:p>
      <w:pPr>
        <w:pStyle w:val="2"/>
        <w:jc w:val="both"/>
        <w:rPr>
          <w:rFonts w:hint="eastAsia" w:eastAsiaTheme="minorEastAsia"/>
          <w:lang w:eastAsia="zh-CN"/>
        </w:rPr>
      </w:pPr>
      <w:r>
        <w:rPr>
          <w:rFonts w:hint="eastAsia" w:eastAsiaTheme="minorEastAsia"/>
          <w:lang w:eastAsia="zh-CN"/>
        </w:rPr>
        <w:drawing>
          <wp:inline distT="0" distB="0" distL="114300" distR="114300">
            <wp:extent cx="5226050" cy="8568055"/>
            <wp:effectExtent l="0" t="0" r="12700" b="4445"/>
            <wp:docPr id="45" name="图片 45" descr="7aa3ef8088e5a83f007e420f6f61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aa3ef8088e5a83f007e420f6f61e09"/>
                    <pic:cNvPicPr>
                      <a:picLocks noChangeAspect="1"/>
                    </pic:cNvPicPr>
                  </pic:nvPicPr>
                  <pic:blipFill>
                    <a:blip r:embed="rId27"/>
                    <a:stretch>
                      <a:fillRect/>
                    </a:stretch>
                  </pic:blipFill>
                  <pic:spPr>
                    <a:xfrm>
                      <a:off x="0" y="0"/>
                      <a:ext cx="5226050" cy="8568055"/>
                    </a:xfrm>
                    <a:prstGeom prst="rect">
                      <a:avLst/>
                    </a:prstGeom>
                  </pic:spPr>
                </pic:pic>
              </a:graphicData>
            </a:graphic>
          </wp:inline>
        </w:drawing>
      </w:r>
    </w:p>
    <w:p>
      <w:pPr>
        <w:jc w:val="center"/>
        <w:rPr>
          <w:rFonts w:hint="eastAsia" w:eastAsiaTheme="minorEastAsia"/>
          <w:lang w:eastAsia="zh-CN"/>
        </w:rPr>
        <w:sectPr>
          <w:pgSz w:w="11849" w:h="16781"/>
          <w:pgMar w:top="1440" w:right="1803" w:bottom="1440" w:left="1803" w:header="851" w:footer="992" w:gutter="0"/>
          <w:paperSrc/>
          <w:cols w:space="0" w:num="1"/>
          <w:rtlGutter w:val="0"/>
          <w:docGrid w:type="lines" w:linePitch="320" w:charSpace="0"/>
        </w:sectPr>
      </w:pPr>
      <w:r>
        <w:rPr>
          <w:sz w:val="21"/>
        </w:rPr>
        <mc:AlternateContent>
          <mc:Choice Requires="wps">
            <w:drawing>
              <wp:anchor distT="0" distB="0" distL="114300" distR="114300" simplePos="0" relativeHeight="1557433344" behindDoc="0" locked="0" layoutInCell="1" allowOverlap="1">
                <wp:simplePos x="0" y="0"/>
                <wp:positionH relativeFrom="column">
                  <wp:posOffset>4318635</wp:posOffset>
                </wp:positionH>
                <wp:positionV relativeFrom="paragraph">
                  <wp:posOffset>154940</wp:posOffset>
                </wp:positionV>
                <wp:extent cx="800100" cy="266700"/>
                <wp:effectExtent l="4445" t="4445" r="14605" b="14605"/>
                <wp:wrapNone/>
                <wp:docPr id="2" name="文本框 2"/>
                <wp:cNvGraphicFramePr/>
                <a:graphic xmlns:a="http://schemas.openxmlformats.org/drawingml/2006/main">
                  <a:graphicData uri="http://schemas.microsoft.com/office/word/2010/wordprocessingShape">
                    <wps:wsp>
                      <wps:cNvSpPr txBox="1"/>
                      <wps:spPr>
                        <a:xfrm>
                          <a:off x="5461635" y="1069340"/>
                          <a:ext cx="8001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05pt;margin-top:12.2pt;height:21pt;width:63pt;z-index:1557433344;mso-width-relative:page;mso-height-relative:page;" fillcolor="#FFFFFF [3201]" filled="t" stroked="t" coordsize="21600,21600" o:gfxdata="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CCzSdUAAAAJAQAADwAAAAAAAAABACAAAAAi&#10;AAAAZHJzL2Rvd25yZXYueG1sUEsBAhQAFAAAAAgAh07iQLwobOdGAgAAdAQAAA4AAAAAAAAAAQAg&#10;AAAAJAEAAGRycy9lMm9Eb2MueG1sUEsFBgAAAAAGAAYAWQEAANw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附件2</w:t>
                      </w:r>
                    </w:p>
                  </w:txbxContent>
                </v:textbox>
              </v:shape>
            </w:pict>
          </mc:Fallback>
        </mc:AlternateContent>
      </w:r>
      <w:r>
        <w:rPr>
          <w:rFonts w:hint="eastAsia" w:eastAsiaTheme="minorEastAsia"/>
          <w:lang w:eastAsia="zh-CN"/>
        </w:rPr>
        <w:drawing>
          <wp:inline distT="0" distB="0" distL="114300" distR="114300">
            <wp:extent cx="5266690" cy="8593455"/>
            <wp:effectExtent l="0" t="0" r="10160" b="17145"/>
            <wp:docPr id="1" name="图片 1" descr="3d7769772af7af3b476c1c3a5fc0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d7769772af7af3b476c1c3a5fc03fd"/>
                    <pic:cNvPicPr>
                      <a:picLocks noChangeAspect="1"/>
                    </pic:cNvPicPr>
                  </pic:nvPicPr>
                  <pic:blipFill>
                    <a:blip r:embed="rId28"/>
                    <a:stretch>
                      <a:fillRect/>
                    </a:stretch>
                  </pic:blipFill>
                  <pic:spPr>
                    <a:xfrm>
                      <a:off x="0" y="0"/>
                      <a:ext cx="5266690" cy="8593455"/>
                    </a:xfrm>
                    <a:prstGeom prst="rect">
                      <a:avLst/>
                    </a:prstGeom>
                  </pic:spPr>
                </pic:pic>
              </a:graphicData>
            </a:graphic>
          </wp:inline>
        </w:drawing>
      </w:r>
    </w:p>
    <w:p>
      <w:pPr>
        <w:pStyle w:val="2"/>
        <w:jc w:val="both"/>
        <w:rPr>
          <w:rFonts w:hint="eastAsia"/>
          <w:lang w:eastAsia="zh-CN"/>
        </w:rPr>
      </w:pPr>
      <w:r>
        <w:drawing>
          <wp:inline distT="0" distB="0" distL="114300" distR="114300">
            <wp:extent cx="8357235" cy="5147310"/>
            <wp:effectExtent l="0" t="0" r="5715" b="1524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9"/>
                    <a:stretch>
                      <a:fillRect/>
                    </a:stretch>
                  </pic:blipFill>
                  <pic:spPr>
                    <a:xfrm>
                      <a:off x="0" y="0"/>
                      <a:ext cx="8357235" cy="5147310"/>
                    </a:xfrm>
                    <a:prstGeom prst="rect">
                      <a:avLst/>
                    </a:prstGeom>
                    <a:noFill/>
                    <a:ln>
                      <a:noFill/>
                    </a:ln>
                  </pic:spPr>
                </pic:pic>
              </a:graphicData>
            </a:graphic>
          </wp:inline>
        </w:drawing>
      </w:r>
    </w:p>
    <w:p>
      <w:pPr>
        <w:rPr>
          <w:rFonts w:hint="eastAsia" w:eastAsiaTheme="minorEastAsia"/>
          <w:lang w:eastAsia="zh-CN"/>
        </w:rPr>
      </w:pPr>
    </w:p>
    <w:p>
      <w:pPr>
        <w:rPr>
          <w:rFonts w:hint="eastAsia" w:eastAsiaTheme="minorEastAsia"/>
          <w:lang w:eastAsia="zh-CN"/>
        </w:rPr>
      </w:pPr>
    </w:p>
    <w:sectPr>
      <w:pgSz w:w="16781" w:h="11849" w:orient="landscape"/>
      <w:pgMar w:top="1440" w:right="1803" w:bottom="1440" w:left="1803" w:header="851" w:footer="992" w:gutter="0"/>
      <w:paperSrc/>
      <w:cols w:space="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7"/>
      </w:rPr>
    </w:pPr>
    <w:r>
      <w:fldChar w:fldCharType="begin"/>
    </w:r>
    <w:r>
      <w:rPr>
        <w:rStyle w:val="17"/>
      </w:rPr>
      <w:instrText xml:space="preserve">PAGE  </w:instrText>
    </w:r>
    <w:r>
      <w:fldChar w:fldCharType="separate"/>
    </w:r>
    <w: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A83BC"/>
    <w:multiLevelType w:val="singleLevel"/>
    <w:tmpl w:val="549A83BC"/>
    <w:lvl w:ilvl="0" w:tentative="0">
      <w:start w:val="1"/>
      <w:numFmt w:val="decimal"/>
      <w:suff w:val="nothing"/>
      <w:lvlText w:val="%1、"/>
      <w:lvlJc w:val="left"/>
    </w:lvl>
  </w:abstractNum>
  <w:abstractNum w:abstractNumId="1">
    <w:nsid w:val="5848C68E"/>
    <w:multiLevelType w:val="singleLevel"/>
    <w:tmpl w:val="5848C68E"/>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33475B"/>
    <w:rsid w:val="713249DC"/>
    <w:rsid w:val="763347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jc w:val="center"/>
      <w:outlineLvl w:val="0"/>
    </w:pPr>
    <w:rPr>
      <w:b/>
      <w:bCs/>
      <w:sz w:val="28"/>
    </w:rPr>
  </w:style>
  <w:style w:type="paragraph" w:styleId="3">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uiPriority w:val="0"/>
    <w:pPr>
      <w:ind w:firstLine="420" w:firstLineChars="200"/>
    </w:pPr>
    <w:rPr>
      <w:szCs w:val="20"/>
    </w:rPr>
  </w:style>
  <w:style w:type="paragraph" w:styleId="5">
    <w:name w:val="caption"/>
    <w:basedOn w:val="1"/>
    <w:next w:val="1"/>
    <w:qFormat/>
    <w:uiPriority w:val="0"/>
    <w:pPr>
      <w:spacing w:before="152" w:after="160"/>
    </w:pPr>
    <w:rPr>
      <w:rFonts w:ascii="Arial" w:hAnsi="Arial" w:eastAsia="黑体"/>
      <w:b/>
      <w:bCs/>
      <w:sz w:val="28"/>
      <w:szCs w:val="28"/>
    </w:rPr>
  </w:style>
  <w:style w:type="paragraph" w:styleId="6">
    <w:name w:val="annotation text"/>
    <w:basedOn w:val="1"/>
    <w:semiHidden/>
    <w:uiPriority w:val="0"/>
    <w:pPr>
      <w:jc w:val="left"/>
    </w:pPr>
  </w:style>
  <w:style w:type="paragraph" w:styleId="7">
    <w:name w:val="Body Text"/>
    <w:basedOn w:val="1"/>
    <w:uiPriority w:val="0"/>
    <w:pPr>
      <w:adjustRightInd w:val="0"/>
      <w:spacing w:line="312" w:lineRule="atLeast"/>
      <w:jc w:val="center"/>
      <w:textAlignment w:val="baseline"/>
    </w:pPr>
    <w:rPr>
      <w:kern w:val="0"/>
      <w:szCs w:val="21"/>
    </w:rPr>
  </w:style>
  <w:style w:type="paragraph" w:styleId="8">
    <w:name w:val="Body Text Indent"/>
    <w:basedOn w:val="1"/>
    <w:uiPriority w:val="0"/>
    <w:pPr>
      <w:spacing w:line="320" w:lineRule="exact"/>
      <w:ind w:firstLine="113"/>
      <w:jc w:val="center"/>
    </w:pPr>
    <w:rPr>
      <w:rFonts w:ascii="宋体" w:hAnsi="宋体"/>
      <w:sz w:val="24"/>
    </w:rPr>
  </w:style>
  <w:style w:type="paragraph" w:styleId="9">
    <w:name w:val="Plain Text"/>
    <w:basedOn w:val="1"/>
    <w:uiPriority w:val="0"/>
    <w:rPr>
      <w:rFonts w:ascii="宋体" w:hAnsi="Courier New"/>
      <w:szCs w:val="20"/>
    </w:rPr>
  </w:style>
  <w:style w:type="paragraph" w:styleId="10">
    <w:name w:val="Body Text Indent 2"/>
    <w:basedOn w:val="1"/>
    <w:uiPriority w:val="0"/>
    <w:pPr>
      <w:ind w:firstLine="645"/>
    </w:pPr>
    <w:rPr>
      <w:sz w:val="28"/>
    </w:rPr>
  </w:style>
  <w:style w:type="paragraph" w:styleId="11">
    <w:name w:val="footer"/>
    <w:basedOn w:val="1"/>
    <w:uiPriority w:val="99"/>
    <w:pPr>
      <w:tabs>
        <w:tab w:val="center" w:pos="4153"/>
        <w:tab w:val="right" w:pos="8306"/>
      </w:tabs>
      <w:snapToGrid w:val="0"/>
      <w:jc w:val="left"/>
    </w:pPr>
    <w:rPr>
      <w:sz w:val="18"/>
      <w:szCs w:val="18"/>
    </w:rPr>
  </w:style>
  <w:style w:type="paragraph" w:styleId="12">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13">
    <w:name w:val="List"/>
    <w:basedOn w:val="1"/>
    <w:uiPriority w:val="0"/>
    <w:pPr>
      <w:spacing w:line="320" w:lineRule="exact"/>
      <w:jc w:val="center"/>
    </w:pPr>
    <w:rPr>
      <w:snapToGrid w:val="0"/>
      <w:szCs w:val="20"/>
    </w:rPr>
  </w:style>
  <w:style w:type="paragraph" w:styleId="14">
    <w:name w:val="Body Text Indent 3"/>
    <w:basedOn w:val="1"/>
    <w:uiPriority w:val="0"/>
    <w:pPr>
      <w:ind w:firstLine="549" w:firstLineChars="200"/>
    </w:pPr>
    <w:rPr>
      <w:rFonts w:ascii="宋体" w:hAnsi="宋体"/>
      <w:sz w:val="28"/>
    </w:rPr>
  </w:style>
  <w:style w:type="character" w:styleId="17">
    <w:name w:val="page number"/>
    <w:basedOn w:val="16"/>
    <w:uiPriority w:val="0"/>
  </w:style>
  <w:style w:type="paragraph" w:customStyle="1" w:styleId="18">
    <w:name w:val="hp正文"/>
    <w:basedOn w:val="1"/>
    <w:uiPriority w:val="0"/>
    <w:pPr>
      <w:spacing w:line="360" w:lineRule="auto"/>
      <w:jc w:val="left"/>
    </w:pPr>
    <w:rPr>
      <w:rFonts w:eastAsia="宋体"/>
      <w:sz w:val="24"/>
      <w:szCs w:val="20"/>
    </w:rPr>
  </w:style>
  <w:style w:type="paragraph" w:customStyle="1" w:styleId="19">
    <w:name w:val="Table Paragraph"/>
    <w:basedOn w:val="1"/>
    <w:qFormat/>
    <w:uiPriority w:val="1"/>
    <w:rPr>
      <w:rFonts w:ascii="宋体" w:hAnsi="宋体" w:eastAsia="宋体" w:cs="宋体"/>
      <w:lang w:val="zh-CN" w:eastAsia="zh-CN" w:bidi="zh-CN"/>
    </w:rPr>
  </w:style>
  <w:style w:type="paragraph" w:customStyle="1" w:styleId="20">
    <w:name w:val="默认段落字体 Para Char Char Char Char"/>
    <w:basedOn w:val="1"/>
    <w:uiPriority w:val="0"/>
    <w:rPr>
      <w:sz w:val="24"/>
    </w:rPr>
  </w:style>
  <w:style w:type="paragraph" w:customStyle="1" w:styleId="21">
    <w:name w:val="Defaul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22">
    <w:name w:val="表格文字2"/>
    <w:basedOn w:val="1"/>
    <w:uiPriority w:val="0"/>
    <w:pPr>
      <w:spacing w:before="60" w:beforeLines="0"/>
      <w:jc w:val="center"/>
    </w:pPr>
    <w:rPr>
      <w:rFonts w:asci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2020-08-03T10:19:00Z</dcterms:created>
  <dc:creator>69004</dc:creator>
  <cp:lastModifiedBy>69004</cp:lastModifiedBy>
  <dcterms:modified xsi:type="dcterms:W3CDTF">2020-08-03T10:36:44Z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