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2021年中国人民政治协商会议淮滨县委员会办公室部门预算说明</w:t>
      </w: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Lines="0" w:afterLines="0" w:line="240" w:lineRule="auto"/>
        <w:ind w:left="960" w:right="0" w:hanging="960" w:hangingChars="300"/>
        <w:rPr>
          <w:rFonts w:hint="default" w:ascii="黑体" w:hAnsi="黑体" w:eastAsia="黑体" w:cs="Times New Roman"/>
          <w:sz w:val="32"/>
          <w:szCs w:val="24"/>
          <w:lang w:val="en-US" w:eastAsia="zh-CN"/>
        </w:rPr>
      </w:pPr>
      <w:r>
        <w:rPr>
          <w:rFonts w:hint="eastAsia" w:ascii="黑体" w:hAnsi="黑体" w:eastAsia="黑体" w:cs="Times New Roman"/>
          <w:sz w:val="32"/>
          <w:szCs w:val="24"/>
        </w:rPr>
        <w:t>附件：</w:t>
      </w:r>
      <w:r>
        <w:rPr>
          <w:rFonts w:hint="eastAsia" w:ascii="黑体" w:hAnsi="黑体" w:eastAsia="黑体" w:cs="Times New Roman"/>
          <w:sz w:val="32"/>
          <w:szCs w:val="24"/>
          <w:lang w:val="en-US" w:eastAsia="zh-CN"/>
        </w:rPr>
        <w:t>中国人民政治协商会议淮滨县委员会办公室2021年部门预算表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中国人民政治协商会议淮滨县委员会办公室</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中国人民政治协商会议淮滨县委员会办公室</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中国人民政治协商会议淮滨县委员会办公室的主要职责：</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负责</w:t>
      </w:r>
      <w:r>
        <w:rPr>
          <w:rFonts w:hint="eastAsia" w:cs="仿宋"/>
          <w:b w:val="0"/>
          <w:bCs/>
          <w:sz w:val="32"/>
          <w:szCs w:val="32"/>
          <w:lang w:val="en-US" w:eastAsia="zh-CN"/>
        </w:rPr>
        <w:t>县</w:t>
      </w:r>
      <w:r>
        <w:rPr>
          <w:rFonts w:hint="eastAsia" w:ascii="仿宋" w:hAnsi="仿宋" w:eastAsia="仿宋" w:cs="仿宋"/>
          <w:b w:val="0"/>
          <w:bCs/>
          <w:sz w:val="32"/>
          <w:szCs w:val="32"/>
        </w:rPr>
        <w:t>政协全体会议、常务委员会议、主席会议、党组会议和专门委员会会议的会务工作，负责上述会议所形成的决议、决定、建议案的组织实施。</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协调</w:t>
      </w:r>
      <w:r>
        <w:rPr>
          <w:rFonts w:hint="eastAsia" w:cs="仿宋"/>
          <w:b w:val="0"/>
          <w:bCs/>
          <w:sz w:val="32"/>
          <w:szCs w:val="32"/>
          <w:lang w:val="en-US" w:eastAsia="zh-CN"/>
        </w:rPr>
        <w:t>县</w:t>
      </w:r>
      <w:r>
        <w:rPr>
          <w:rFonts w:hint="eastAsia" w:ascii="仿宋" w:hAnsi="仿宋" w:eastAsia="仿宋" w:cs="仿宋"/>
          <w:b w:val="0"/>
          <w:bCs/>
          <w:sz w:val="32"/>
          <w:szCs w:val="32"/>
        </w:rPr>
        <w:t>政协各专门委员会的工作，充分发挥</w:t>
      </w:r>
      <w:r>
        <w:rPr>
          <w:rFonts w:hint="eastAsia" w:cs="仿宋"/>
          <w:b w:val="0"/>
          <w:bCs/>
          <w:sz w:val="32"/>
          <w:szCs w:val="32"/>
          <w:lang w:val="en-US" w:eastAsia="zh-CN"/>
        </w:rPr>
        <w:t>县</w:t>
      </w:r>
      <w:r>
        <w:rPr>
          <w:rFonts w:hint="eastAsia" w:ascii="仿宋" w:hAnsi="仿宋" w:eastAsia="仿宋" w:cs="仿宋"/>
          <w:b w:val="0"/>
          <w:bCs/>
          <w:sz w:val="32"/>
          <w:szCs w:val="32"/>
        </w:rPr>
        <w:t>政协委员的作用，履行好政治协商、民主监督、参政议政的基本职责。</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负责</w:t>
      </w:r>
      <w:r>
        <w:rPr>
          <w:rFonts w:hint="eastAsia" w:cs="仿宋"/>
          <w:b w:val="0"/>
          <w:bCs/>
          <w:sz w:val="32"/>
          <w:szCs w:val="32"/>
          <w:lang w:val="en-US" w:eastAsia="zh-CN"/>
        </w:rPr>
        <w:t>县</w:t>
      </w:r>
      <w:r>
        <w:rPr>
          <w:rFonts w:hint="eastAsia" w:ascii="仿宋" w:hAnsi="仿宋" w:eastAsia="仿宋" w:cs="仿宋"/>
          <w:b w:val="0"/>
          <w:bCs/>
          <w:sz w:val="32"/>
          <w:szCs w:val="32"/>
        </w:rPr>
        <w:t>政协委员进行视察、参观、调研、协商、座谈、学习、研讨等日常活动的服务和具体组织工作；受市政协办公室的委托，组织政协委员进行视察活动</w:t>
      </w:r>
      <w:r>
        <w:rPr>
          <w:rFonts w:hint="eastAsia" w:cs="仿宋"/>
          <w:b w:val="0"/>
          <w:bCs/>
          <w:sz w:val="32"/>
          <w:szCs w:val="32"/>
          <w:lang w:eastAsia="zh-CN"/>
        </w:rPr>
        <w:t>。</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研究统一战线和人民政协的理论、政策，调查研究地方政协的共同性问题及其解决方法，供领导参考。</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宣传人民政协的方针政策、工作业绩和经验以及政协委员的先进事迹，收集和反映</w:t>
      </w:r>
      <w:r>
        <w:rPr>
          <w:rFonts w:hint="eastAsia" w:cs="仿宋"/>
          <w:b w:val="0"/>
          <w:bCs/>
          <w:sz w:val="32"/>
          <w:szCs w:val="32"/>
          <w:lang w:val="en-US" w:eastAsia="zh-CN"/>
        </w:rPr>
        <w:t>县</w:t>
      </w:r>
      <w:r>
        <w:rPr>
          <w:rFonts w:hint="eastAsia" w:ascii="仿宋" w:hAnsi="仿宋" w:eastAsia="仿宋" w:cs="仿宋"/>
          <w:b w:val="0"/>
          <w:bCs/>
          <w:sz w:val="32"/>
          <w:szCs w:val="32"/>
        </w:rPr>
        <w:t>政协委员和各界人士的意见与建议，综合、反映社情民意。</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联系工商联、各人民团体和无党派人士，联系</w:t>
      </w:r>
      <w:r>
        <w:rPr>
          <w:rFonts w:hint="eastAsia" w:cs="仿宋"/>
          <w:b w:val="0"/>
          <w:bCs/>
          <w:sz w:val="32"/>
          <w:szCs w:val="32"/>
          <w:lang w:val="en-US" w:eastAsia="zh-CN"/>
        </w:rPr>
        <w:t>县</w:t>
      </w:r>
      <w:r>
        <w:rPr>
          <w:rFonts w:hint="eastAsia" w:ascii="仿宋" w:hAnsi="仿宋" w:eastAsia="仿宋" w:cs="仿宋"/>
          <w:b w:val="0"/>
          <w:bCs/>
          <w:sz w:val="32"/>
          <w:szCs w:val="32"/>
        </w:rPr>
        <w:t>直有关部门，互通信息，协调工作，加强合作。</w:t>
      </w:r>
    </w:p>
    <w:p>
      <w:pPr>
        <w:pStyle w:val="2"/>
        <w:numPr>
          <w:ilvl w:val="0"/>
          <w:numId w:val="4"/>
        </w:numPr>
        <w:tabs>
          <w:tab w:val="left" w:pos="880"/>
        </w:tabs>
        <w:kinsoku w:val="0"/>
        <w:overflowPunct w:val="0"/>
        <w:spacing w:before="0" w:beforeLines="0" w:afterLines="0"/>
        <w:ind w:left="-10" w:leftChars="0" w:firstLine="640" w:firstLineChars="0"/>
        <w:jc w:val="left"/>
        <w:rPr>
          <w:rFonts w:hint="eastAsia" w:ascii="仿宋" w:hAnsi="仿宋" w:eastAsia="仿宋" w:cs="仿宋"/>
          <w:b w:val="0"/>
          <w:bCs/>
          <w:sz w:val="32"/>
          <w:szCs w:val="32"/>
        </w:rPr>
      </w:pPr>
      <w:r>
        <w:rPr>
          <w:rFonts w:hint="eastAsia" w:ascii="仿宋" w:hAnsi="仿宋" w:eastAsia="仿宋" w:cs="仿宋"/>
          <w:b w:val="0"/>
          <w:bCs/>
          <w:sz w:val="32"/>
          <w:szCs w:val="32"/>
        </w:rPr>
        <w:t>负责</w:t>
      </w:r>
      <w:r>
        <w:rPr>
          <w:rFonts w:hint="eastAsia" w:cs="仿宋"/>
          <w:b w:val="0"/>
          <w:bCs/>
          <w:sz w:val="32"/>
          <w:szCs w:val="32"/>
          <w:lang w:val="en-US" w:eastAsia="zh-CN"/>
        </w:rPr>
        <w:t>县</w:t>
      </w:r>
      <w:r>
        <w:rPr>
          <w:rFonts w:hint="eastAsia" w:ascii="仿宋" w:hAnsi="仿宋" w:eastAsia="仿宋" w:cs="仿宋"/>
          <w:b w:val="0"/>
          <w:bCs/>
          <w:sz w:val="32"/>
          <w:szCs w:val="32"/>
        </w:rPr>
        <w:t>政协开展各项活动的有关后勤服务管理工作和</w:t>
      </w:r>
      <w:r>
        <w:rPr>
          <w:rFonts w:hint="eastAsia" w:cs="仿宋"/>
          <w:b w:val="0"/>
          <w:bCs/>
          <w:sz w:val="32"/>
          <w:szCs w:val="32"/>
          <w:lang w:val="en-US" w:eastAsia="zh-CN"/>
        </w:rPr>
        <w:t>县</w:t>
      </w:r>
      <w:r>
        <w:rPr>
          <w:rFonts w:hint="eastAsia" w:ascii="仿宋" w:hAnsi="仿宋" w:eastAsia="仿宋" w:cs="仿宋"/>
          <w:b w:val="0"/>
          <w:bCs/>
          <w:sz w:val="32"/>
          <w:szCs w:val="32"/>
        </w:rPr>
        <w:t>政协机关行政事务管理工作。</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中国人民政治协商会议淮滨县委员会办公室部门预算单位构成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中国人民政治协商会议淮滨县委员会办公室</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机关本级预算。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6144"/>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pPr>
              <w:jc w:val="center"/>
              <w:rPr>
                <w:rFonts w:hint="eastAsia" w:ascii="仿宋" w:hAnsi="仿宋" w:eastAsia="仿宋" w:cs="仿宋"/>
                <w:b/>
                <w:bCs/>
                <w:sz w:val="30"/>
                <w:szCs w:val="30"/>
                <w:vertAlign w:val="baseline"/>
                <w:lang w:val="en-US" w:eastAsia="zh-CN"/>
              </w:rPr>
            </w:pPr>
            <w:r>
              <w:rPr>
                <w:rFonts w:hint="eastAsia" w:ascii="仿宋" w:hAnsi="仿宋" w:eastAsia="仿宋" w:cs="仿宋"/>
                <w:b/>
                <w:bCs/>
                <w:sz w:val="30"/>
                <w:szCs w:val="30"/>
                <w:vertAlign w:val="baseline"/>
                <w:lang w:val="en-US" w:eastAsia="zh-CN"/>
              </w:rPr>
              <w:t>序号</w:t>
            </w:r>
          </w:p>
        </w:tc>
        <w:tc>
          <w:tcPr>
            <w:tcW w:w="6144" w:type="dxa"/>
          </w:tcPr>
          <w:p>
            <w:pPr>
              <w:jc w:val="center"/>
              <w:rPr>
                <w:rFonts w:hint="eastAsia" w:ascii="仿宋" w:hAnsi="仿宋" w:eastAsia="仿宋" w:cs="仿宋"/>
                <w:b/>
                <w:bCs/>
                <w:sz w:val="30"/>
                <w:szCs w:val="30"/>
                <w:vertAlign w:val="baseline"/>
                <w:lang w:val="en-US" w:eastAsia="zh-CN"/>
              </w:rPr>
            </w:pPr>
            <w:r>
              <w:rPr>
                <w:rFonts w:hint="eastAsia" w:ascii="仿宋" w:hAnsi="仿宋" w:eastAsia="仿宋" w:cs="仿宋"/>
                <w:b/>
                <w:bCs/>
                <w:sz w:val="30"/>
                <w:szCs w:val="30"/>
                <w:vertAlign w:val="baseline"/>
                <w:lang w:val="en-US" w:eastAsia="zh-CN"/>
              </w:rPr>
              <w:t>单位名称</w:t>
            </w:r>
          </w:p>
        </w:tc>
        <w:tc>
          <w:tcPr>
            <w:tcW w:w="1483" w:type="dxa"/>
          </w:tcPr>
          <w:p>
            <w:pPr>
              <w:jc w:val="center"/>
              <w:rPr>
                <w:rFonts w:hint="eastAsia" w:ascii="仿宋" w:hAnsi="仿宋" w:eastAsia="仿宋" w:cs="仿宋"/>
                <w:b/>
                <w:bCs/>
                <w:sz w:val="30"/>
                <w:szCs w:val="30"/>
                <w:vertAlign w:val="baseline"/>
                <w:lang w:val="en-US" w:eastAsia="zh-CN"/>
              </w:rPr>
            </w:pPr>
            <w:r>
              <w:rPr>
                <w:rFonts w:hint="eastAsia" w:ascii="仿宋" w:hAnsi="仿宋" w:eastAsia="仿宋" w:cs="仿宋"/>
                <w:b/>
                <w:bCs/>
                <w:sz w:val="30"/>
                <w:szCs w:val="30"/>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pPr>
              <w:jc w:val="center"/>
              <w:rPr>
                <w:rFonts w:hint="default" w:ascii="仿宋" w:hAnsi="仿宋" w:eastAsia="仿宋" w:cs="仿宋"/>
                <w:b w:val="0"/>
                <w:bCs w:val="0"/>
                <w:sz w:val="30"/>
                <w:szCs w:val="30"/>
                <w:vertAlign w:val="baseline"/>
                <w:lang w:val="en-US" w:eastAsia="zh-CN"/>
              </w:rPr>
            </w:pPr>
            <w:r>
              <w:rPr>
                <w:rFonts w:hint="eastAsia" w:ascii="仿宋" w:hAnsi="仿宋" w:eastAsia="仿宋" w:cs="仿宋"/>
                <w:b w:val="0"/>
                <w:bCs w:val="0"/>
                <w:sz w:val="30"/>
                <w:szCs w:val="30"/>
                <w:vertAlign w:val="baseline"/>
                <w:lang w:val="en-US" w:eastAsia="zh-CN"/>
              </w:rPr>
              <w:t>1、</w:t>
            </w:r>
          </w:p>
        </w:tc>
        <w:tc>
          <w:tcPr>
            <w:tcW w:w="6144" w:type="dxa"/>
          </w:tcPr>
          <w:p>
            <w:pPr>
              <w:jc w:val="center"/>
              <w:rPr>
                <w:rFonts w:hint="eastAsia" w:ascii="仿宋" w:hAnsi="仿宋" w:eastAsia="仿宋" w:cs="仿宋"/>
                <w:b w:val="0"/>
                <w:bCs w:val="0"/>
                <w:sz w:val="30"/>
                <w:szCs w:val="30"/>
                <w:vertAlign w:val="baseline"/>
                <w:lang w:val="en-US" w:eastAsia="zh-CN"/>
              </w:rPr>
            </w:pPr>
            <w:r>
              <w:rPr>
                <w:rFonts w:hint="eastAsia" w:ascii="仿宋" w:hAnsi="仿宋" w:eastAsia="仿宋" w:cs="仿宋"/>
                <w:b w:val="0"/>
                <w:bCs w:val="0"/>
                <w:sz w:val="30"/>
                <w:szCs w:val="30"/>
                <w:vertAlign w:val="baseline"/>
                <w:lang w:val="en-US" w:eastAsia="zh-CN"/>
              </w:rPr>
              <w:t>中国人民政治协商会议淮滨县委员会办公室</w:t>
            </w:r>
          </w:p>
        </w:tc>
        <w:tc>
          <w:tcPr>
            <w:tcW w:w="1483" w:type="dxa"/>
          </w:tcPr>
          <w:p>
            <w:pPr>
              <w:jc w:val="center"/>
              <w:rPr>
                <w:rFonts w:hint="default" w:ascii="仿宋" w:hAnsi="仿宋" w:eastAsia="仿宋" w:cs="仿宋"/>
                <w:b w:val="0"/>
                <w:bCs w:val="0"/>
                <w:sz w:val="30"/>
                <w:szCs w:val="30"/>
                <w:vertAlign w:val="baseline"/>
                <w:lang w:val="en-US" w:eastAsia="zh-CN"/>
              </w:rPr>
            </w:pPr>
            <w:r>
              <w:rPr>
                <w:rFonts w:hint="eastAsia" w:ascii="仿宋" w:hAnsi="仿宋" w:eastAsia="仿宋" w:cs="仿宋"/>
                <w:b w:val="0"/>
                <w:bCs w:val="0"/>
                <w:sz w:val="30"/>
                <w:szCs w:val="30"/>
                <w:vertAlign w:val="baseline"/>
                <w:lang w:val="en-US" w:eastAsia="zh-CN"/>
              </w:rPr>
              <w:t>机关</w:t>
            </w: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中国人民政治协商会议淮滨县委员会办公室</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2021年部门预算情况说明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人民政治协商会议淮滨县委员会办公室2021年收入总计358.80万元，支出总计358.80万元,与2020年相比，收、支总计各减少27.2万元，下降7.05%。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中国人民政治协商会议淮滨县委员会办公室</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358.80</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358.80</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中国人民政治协商会议淮滨县委员会办公室</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358.80</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276.21</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76.98</w:t>
      </w:r>
      <w:r>
        <w:rPr>
          <w:rFonts w:hint="eastAsia" w:ascii="仿宋" w:hAnsi="仿宋" w:eastAsia="仿宋" w:cs="仿宋"/>
          <w:sz w:val="32"/>
          <w:szCs w:val="24"/>
        </w:rPr>
        <w:t>%；项目支出</w:t>
      </w:r>
      <w:r>
        <w:rPr>
          <w:rFonts w:hint="eastAsia" w:ascii="仿宋" w:hAnsi="仿宋" w:eastAsia="仿宋" w:cs="仿宋"/>
          <w:sz w:val="32"/>
          <w:szCs w:val="24"/>
          <w:lang w:val="en-US" w:eastAsia="zh-CN"/>
        </w:rPr>
        <w:t>82.59</w:t>
      </w:r>
      <w:r>
        <w:rPr>
          <w:rFonts w:hint="eastAsia" w:ascii="仿宋" w:hAnsi="仿宋" w:eastAsia="仿宋" w:cs="仿宋"/>
          <w:sz w:val="32"/>
          <w:szCs w:val="24"/>
        </w:rPr>
        <w:t>万元，占</w:t>
      </w:r>
      <w:r>
        <w:rPr>
          <w:rFonts w:hint="eastAsia" w:ascii="仿宋" w:hAnsi="仿宋" w:eastAsia="仿宋" w:cs="仿宋"/>
          <w:sz w:val="32"/>
          <w:szCs w:val="24"/>
          <w:lang w:val="en-US" w:eastAsia="zh-CN"/>
        </w:rPr>
        <w:t>23.02</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中国人民政治协商会议淮滨县委员会办公室2021年一般公共预算收支预算358.80万元，与 2020年386万元相比，一般公共预算收支预算减少27.2万元，下降7.05%，主要原因是我单位严格按照中央国务院八项规定和县委县政府厉行节约的相关规定要求，严控“三公”经费支出，大力压减非急需非刚性支出。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中国人民政治协商会议淮滨县委员会办公室</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358.80</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w:t>
      </w:r>
      <w:r>
        <w:rPr>
          <w:rFonts w:hint="eastAsia" w:ascii="仿宋" w:hAnsi="仿宋" w:eastAsia="仿宋" w:cs="仿宋"/>
          <w:sz w:val="32"/>
          <w:szCs w:val="24"/>
          <w:lang w:val="en-US" w:eastAsia="zh-CN"/>
        </w:rPr>
        <w:t>302.97</w:t>
      </w:r>
      <w:r>
        <w:rPr>
          <w:rFonts w:hint="eastAsia" w:ascii="仿宋" w:hAnsi="仿宋" w:eastAsia="仿宋" w:cs="仿宋"/>
          <w:sz w:val="32"/>
          <w:szCs w:val="24"/>
        </w:rPr>
        <w:t>万元，占</w:t>
      </w:r>
      <w:r>
        <w:rPr>
          <w:rFonts w:hint="eastAsia" w:ascii="仿宋" w:hAnsi="仿宋" w:eastAsia="仿宋" w:cs="仿宋"/>
          <w:sz w:val="32"/>
          <w:szCs w:val="24"/>
          <w:lang w:val="en-US" w:eastAsia="zh-CN"/>
        </w:rPr>
        <w:t>84.43</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25.53</w:t>
      </w:r>
      <w:r>
        <w:rPr>
          <w:rFonts w:hint="eastAsia" w:ascii="仿宋" w:hAnsi="仿宋" w:eastAsia="仿宋" w:cs="仿宋"/>
          <w:sz w:val="32"/>
          <w:szCs w:val="24"/>
        </w:rPr>
        <w:t>万元，占</w:t>
      </w:r>
      <w:r>
        <w:rPr>
          <w:rFonts w:hint="eastAsia" w:ascii="仿宋" w:hAnsi="仿宋" w:eastAsia="仿宋" w:cs="仿宋"/>
          <w:sz w:val="32"/>
          <w:szCs w:val="24"/>
          <w:lang w:val="en-US" w:eastAsia="zh-CN"/>
        </w:rPr>
        <w:t>7.12</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12.12</w:t>
      </w:r>
      <w:r>
        <w:rPr>
          <w:rFonts w:hint="eastAsia" w:ascii="仿宋" w:hAnsi="仿宋" w:eastAsia="仿宋" w:cs="仿宋"/>
          <w:sz w:val="32"/>
          <w:szCs w:val="24"/>
        </w:rPr>
        <w:t>万元，占</w:t>
      </w:r>
      <w:r>
        <w:rPr>
          <w:rFonts w:hint="eastAsia" w:ascii="仿宋" w:hAnsi="仿宋" w:eastAsia="仿宋" w:cs="仿宋"/>
          <w:sz w:val="32"/>
          <w:szCs w:val="24"/>
          <w:lang w:val="en-US" w:eastAsia="zh-CN"/>
        </w:rPr>
        <w:t>3.38</w:t>
      </w:r>
      <w:r>
        <w:rPr>
          <w:rFonts w:hint="eastAsia" w:ascii="仿宋" w:hAnsi="仿宋" w:eastAsia="仿宋" w:cs="仿宋"/>
          <w:sz w:val="32"/>
          <w:szCs w:val="24"/>
        </w:rPr>
        <w:t>%；</w:t>
      </w:r>
      <w:r>
        <w:rPr>
          <w:rFonts w:hint="eastAsia" w:ascii="仿宋" w:hAnsi="仿宋" w:eastAsia="仿宋" w:cs="仿宋"/>
          <w:sz w:val="32"/>
          <w:szCs w:val="24"/>
          <w:lang w:val="en-US" w:eastAsia="zh-CN"/>
        </w:rPr>
        <w:t>住房保障</w:t>
      </w:r>
      <w:r>
        <w:rPr>
          <w:rFonts w:hint="eastAsia" w:ascii="仿宋" w:hAnsi="仿宋" w:eastAsia="仿宋" w:cs="仿宋"/>
          <w:sz w:val="32"/>
          <w:szCs w:val="24"/>
        </w:rPr>
        <w:t>（类）支出</w:t>
      </w:r>
      <w:r>
        <w:rPr>
          <w:rFonts w:hint="eastAsia" w:ascii="仿宋" w:hAnsi="仿宋" w:eastAsia="仿宋" w:cs="仿宋"/>
          <w:sz w:val="32"/>
          <w:szCs w:val="24"/>
          <w:lang w:val="en-US" w:eastAsia="zh-CN"/>
        </w:rPr>
        <w:t>18.18</w:t>
      </w:r>
      <w:r>
        <w:rPr>
          <w:rFonts w:hint="eastAsia" w:ascii="仿宋" w:hAnsi="仿宋" w:eastAsia="仿宋" w:cs="仿宋"/>
          <w:sz w:val="32"/>
          <w:szCs w:val="24"/>
        </w:rPr>
        <w:t>万元，占</w:t>
      </w:r>
      <w:r>
        <w:rPr>
          <w:rFonts w:hint="eastAsia" w:ascii="仿宋" w:hAnsi="仿宋" w:eastAsia="仿宋" w:cs="仿宋"/>
          <w:sz w:val="32"/>
          <w:szCs w:val="24"/>
          <w:lang w:val="en-US" w:eastAsia="zh-CN"/>
        </w:rPr>
        <w:t>5.07</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中国人民政治协商会议淮滨县委员会办公室</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276.21</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（一）人员经费240.35万元</w:t>
      </w:r>
      <w:r>
        <w:rPr>
          <w:rFonts w:hint="eastAsia" w:ascii="仿宋" w:hAnsi="仿宋" w:eastAsia="仿宋" w:cs="仿宋"/>
          <w:b w:val="0"/>
          <w:bCs w:val="0"/>
          <w:color w:val="000000"/>
          <w:sz w:val="32"/>
          <w:szCs w:val="32"/>
        </w:rPr>
        <w:t>，主要包括：基本工资、津贴补贴、奖金</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机关事业单位基本养老保险缴费、其他社会保障缴费、职工基本医疗保险缴费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生活补助</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住房公积金。</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（二）公用经费35.86万元</w:t>
      </w:r>
      <w:r>
        <w:rPr>
          <w:rFonts w:hint="eastAsia" w:ascii="仿宋" w:hAnsi="仿宋" w:eastAsia="仿宋" w:cs="仿宋"/>
          <w:b w:val="0"/>
          <w:bCs w:val="0"/>
          <w:color w:val="000000"/>
          <w:sz w:val="32"/>
          <w:szCs w:val="32"/>
        </w:rPr>
        <w:t>，主要包括：办公费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工会经费、福利费、其他交通费用、其他商品和服务支出。</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中国人民政治协商会议淮滨县委员会办公室2021 年“三公”经费预算为14.25万元。2021年“三公”经费支出预算数比2020年减少6.45万元，下降31.16%。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3.85万元。主要用于主要用于按规定开支的各类公务接待支出。与上年相比支出减少3.85万元，下降50%，主要原因是: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10.40万元，其中：公车运行费10.40万元，公车购置费0万元。与上年相比支出减少2.60万元，下降20%，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中国人民政治协商会议淮滨县委员会办公室2021年度政府性基金支出0万元，与上年持平，主要原因是本单位2021年度没有使用政府性基金预算拨款安排的支出。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102.45万元，主要保障机构正常运转及正常履职需要，比2020年减少283.55万元，下降73.46%，主要原因2020年机关运行经费统计口径有误，把工资福利支出列入机关运行经费统计范围内。</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我单位2021年政府采购预算0万元，与2020年持平，主要原因是我单位今年没有政府采购预算。</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2020年期末，我单位共有车辆2辆，其中：一般公务用车2辆、一般执法执勤用车0辆、其他用车0辆；单价50万元以上通用设备0套，单位价值100万元以上专用设备0套。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bookmarkStart w:id="0" w:name="_GoBack"/>
      <w:bookmarkEnd w:id="0"/>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sz w:val="32"/>
          <w:szCs w:val="24"/>
          <w:lang w:val="en-US" w:eastAsia="zh-CN"/>
        </w:rPr>
      </w:pPr>
      <w:r>
        <w:rPr>
          <w:rFonts w:hint="eastAsia" w:ascii="黑体" w:hAnsi="黑体" w:eastAsia="黑体" w:cs="黑体"/>
          <w:b w:val="0"/>
          <w:bCs w:val="0"/>
          <w:sz w:val="32"/>
          <w:szCs w:val="24"/>
          <w:lang w:val="en-US" w:eastAsia="zh-CN"/>
        </w:rPr>
        <w:t>附件：中国人民政治协商会议淮滨县委员会办公室2021年部门预算表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2D288F24"/>
    <w:multiLevelType w:val="singleLevel"/>
    <w:tmpl w:val="2D288F24"/>
    <w:lvl w:ilvl="0" w:tentative="0">
      <w:start w:val="1"/>
      <w:numFmt w:val="chineseCounting"/>
      <w:suff w:val="nothing"/>
      <w:lvlText w:val="（%1）"/>
      <w:lvlJc w:val="left"/>
      <w:pPr>
        <w:ind w:left="-130"/>
      </w:pPr>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1EF756D"/>
    <w:rsid w:val="02365118"/>
    <w:rsid w:val="02431905"/>
    <w:rsid w:val="02E249E2"/>
    <w:rsid w:val="03521C90"/>
    <w:rsid w:val="03EF07D3"/>
    <w:rsid w:val="046A3394"/>
    <w:rsid w:val="06B53CF5"/>
    <w:rsid w:val="09393870"/>
    <w:rsid w:val="09954ACE"/>
    <w:rsid w:val="09B81028"/>
    <w:rsid w:val="0A8B56A2"/>
    <w:rsid w:val="0AC16BDA"/>
    <w:rsid w:val="0B2B1C52"/>
    <w:rsid w:val="0BA82C2A"/>
    <w:rsid w:val="0BFD7292"/>
    <w:rsid w:val="0ED569C3"/>
    <w:rsid w:val="11756E44"/>
    <w:rsid w:val="11DB70D4"/>
    <w:rsid w:val="121F6FBF"/>
    <w:rsid w:val="13FD7C0D"/>
    <w:rsid w:val="163C1965"/>
    <w:rsid w:val="16643ADD"/>
    <w:rsid w:val="168D61CC"/>
    <w:rsid w:val="16A068BF"/>
    <w:rsid w:val="17CD4DB1"/>
    <w:rsid w:val="188B5C06"/>
    <w:rsid w:val="18DD197D"/>
    <w:rsid w:val="1C10690D"/>
    <w:rsid w:val="1D576792"/>
    <w:rsid w:val="1D6F5179"/>
    <w:rsid w:val="1DDA18F5"/>
    <w:rsid w:val="1FC36BDF"/>
    <w:rsid w:val="22141037"/>
    <w:rsid w:val="23227FAD"/>
    <w:rsid w:val="24422541"/>
    <w:rsid w:val="24942CDB"/>
    <w:rsid w:val="24D95E94"/>
    <w:rsid w:val="260D7038"/>
    <w:rsid w:val="268F0430"/>
    <w:rsid w:val="26B31AC5"/>
    <w:rsid w:val="280301A5"/>
    <w:rsid w:val="28857299"/>
    <w:rsid w:val="29174A83"/>
    <w:rsid w:val="29182433"/>
    <w:rsid w:val="2AB55C35"/>
    <w:rsid w:val="2AC139F2"/>
    <w:rsid w:val="2B773640"/>
    <w:rsid w:val="2E1E7680"/>
    <w:rsid w:val="2E447885"/>
    <w:rsid w:val="2E681930"/>
    <w:rsid w:val="2FAC3F2A"/>
    <w:rsid w:val="306564E5"/>
    <w:rsid w:val="32CE51CB"/>
    <w:rsid w:val="335C3FB8"/>
    <w:rsid w:val="337C09BB"/>
    <w:rsid w:val="33AC0396"/>
    <w:rsid w:val="33CD2384"/>
    <w:rsid w:val="351949BB"/>
    <w:rsid w:val="35982865"/>
    <w:rsid w:val="35D32C52"/>
    <w:rsid w:val="394253E0"/>
    <w:rsid w:val="39585C64"/>
    <w:rsid w:val="3B6F7C94"/>
    <w:rsid w:val="42791835"/>
    <w:rsid w:val="43BD0715"/>
    <w:rsid w:val="47994739"/>
    <w:rsid w:val="4B9923BF"/>
    <w:rsid w:val="4BA30ABE"/>
    <w:rsid w:val="50180816"/>
    <w:rsid w:val="52616927"/>
    <w:rsid w:val="52633652"/>
    <w:rsid w:val="52896869"/>
    <w:rsid w:val="532C674F"/>
    <w:rsid w:val="553E5D3B"/>
    <w:rsid w:val="55E5246F"/>
    <w:rsid w:val="565C2D8C"/>
    <w:rsid w:val="56F56E40"/>
    <w:rsid w:val="575844BF"/>
    <w:rsid w:val="5B566D95"/>
    <w:rsid w:val="5B6D3403"/>
    <w:rsid w:val="5CF97D9D"/>
    <w:rsid w:val="60254843"/>
    <w:rsid w:val="60F075DC"/>
    <w:rsid w:val="61A82375"/>
    <w:rsid w:val="63783E2E"/>
    <w:rsid w:val="646667B3"/>
    <w:rsid w:val="654D5933"/>
    <w:rsid w:val="664B5DAD"/>
    <w:rsid w:val="673F1A4B"/>
    <w:rsid w:val="69591ADA"/>
    <w:rsid w:val="6BF268AE"/>
    <w:rsid w:val="6EAA44AD"/>
    <w:rsid w:val="6FEA3596"/>
    <w:rsid w:val="70AA5EC9"/>
    <w:rsid w:val="72F45F91"/>
    <w:rsid w:val="730C5124"/>
    <w:rsid w:val="75676CF5"/>
    <w:rsid w:val="75F07B05"/>
    <w:rsid w:val="768F7732"/>
    <w:rsid w:val="77136B46"/>
    <w:rsid w:val="7718397D"/>
    <w:rsid w:val="77BE7D7A"/>
    <w:rsid w:val="78971E5C"/>
    <w:rsid w:val="79397C6A"/>
    <w:rsid w:val="79B205A9"/>
    <w:rsid w:val="79ED421B"/>
    <w:rsid w:val="7A4213CD"/>
    <w:rsid w:val="7C8E5347"/>
    <w:rsid w:val="7C9F0B02"/>
    <w:rsid w:val="7D223589"/>
    <w:rsid w:val="7E1F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2021-07-16T05:14:41Z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