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rPr>
          <w:rFonts w:ascii="仿宋_GB2312" w:hAnsi="仿宋_GB2312" w:eastAsia="仿宋_GB2312" w:cs="仿宋_GB2312"/>
          <w:color w:val="0C0C0C" w:themeColor="text1" w:themeTint="F2"/>
          <w:lang w:eastAsia="zh-CN"/>
        </w:rPr>
      </w:pPr>
      <w:bookmarkStart w:id="0" w:name="bookmark33"/>
      <w:bookmarkStart w:id="1" w:name="bookmark31"/>
      <w:bookmarkStart w:id="2" w:name="bookmark32"/>
      <w:r>
        <w:rPr>
          <w:rFonts w:hint="eastAsia" w:ascii="黑体" w:hAnsi="黑体" w:eastAsia="黑体" w:cs="黑体"/>
          <w:color w:val="0C0C0C" w:themeColor="text1" w:themeTint="F2"/>
          <w:sz w:val="32"/>
          <w:szCs w:val="32"/>
          <w:lang w:eastAsia="zh-CN"/>
        </w:rPr>
        <w:t>附件2</w:t>
      </w:r>
      <w:bookmarkEnd w:id="0"/>
      <w:bookmarkEnd w:id="1"/>
      <w:bookmarkEnd w:id="2"/>
    </w:p>
    <w:p>
      <w:pPr>
        <w:pStyle w:val="25"/>
        <w:keepNext/>
        <w:keepLines/>
        <w:spacing w:line="600" w:lineRule="exact"/>
        <w:ind w:firstLine="0"/>
        <w:jc w:val="center"/>
        <w:rPr>
          <w:rFonts w:ascii="方正小标宋简体" w:hAnsi="方正小标宋简体" w:eastAsia="方正小标宋简体" w:cs="方正小标宋简体"/>
          <w:color w:val="0C0C0C" w:themeColor="text1" w:themeTint="F2"/>
          <w:sz w:val="36"/>
          <w:szCs w:val="36"/>
        </w:rPr>
      </w:pPr>
      <w:bookmarkStart w:id="3" w:name="bookmark35"/>
      <w:bookmarkStart w:id="4" w:name="bookmark34"/>
      <w:bookmarkStart w:id="5" w:name="bookmark36"/>
      <w:r>
        <w:rPr>
          <w:rFonts w:hint="eastAsia" w:ascii="方正小标宋简体" w:hAnsi="方正小标宋简体" w:eastAsia="方正小标宋简体" w:cs="方正小标宋简体"/>
          <w:color w:val="0C0C0C" w:themeColor="text1" w:themeTint="F2"/>
          <w:sz w:val="36"/>
          <w:szCs w:val="36"/>
          <w:lang w:val="en-US" w:eastAsia="zh-CN"/>
        </w:rPr>
        <w:t>淮滨县</w:t>
      </w:r>
      <w:r>
        <w:rPr>
          <w:rFonts w:hint="eastAsia" w:ascii="方正小标宋简体" w:hAnsi="方正小标宋简体" w:eastAsia="方正小标宋简体" w:cs="方正小标宋简体"/>
          <w:color w:val="0C0C0C" w:themeColor="text1" w:themeTint="F2"/>
          <w:sz w:val="36"/>
          <w:szCs w:val="36"/>
        </w:rPr>
        <w:t>市场监督管理局</w:t>
      </w:r>
    </w:p>
    <w:p>
      <w:pPr>
        <w:pStyle w:val="25"/>
        <w:keepNext/>
        <w:keepLines/>
        <w:spacing w:line="600" w:lineRule="exact"/>
        <w:ind w:firstLine="0"/>
        <w:jc w:val="center"/>
        <w:rPr>
          <w:rFonts w:ascii="方正小标宋简体" w:hAnsi="方正小标宋简体" w:eastAsia="方正小标宋简体" w:cs="方正小标宋简体"/>
          <w:color w:val="0C0C0C" w:themeColor="text1" w:themeTint="F2"/>
          <w:sz w:val="36"/>
          <w:szCs w:val="36"/>
          <w:lang w:val="en-US" w:eastAsia="zh-CN"/>
        </w:rPr>
      </w:pPr>
      <w:r>
        <w:rPr>
          <w:rFonts w:hint="eastAsia" w:ascii="方正小标宋简体" w:hAnsi="方正小标宋简体" w:eastAsia="方正小标宋简体" w:cs="方正小标宋简体"/>
          <w:color w:val="0C0C0C" w:themeColor="text1" w:themeTint="F2"/>
          <w:sz w:val="36"/>
          <w:szCs w:val="36"/>
        </w:rPr>
        <w:t>一般违法行为减轻行政处罚事项清单</w:t>
      </w:r>
      <w:r>
        <w:rPr>
          <w:rFonts w:hint="eastAsia" w:ascii="方正小标宋简体" w:hAnsi="方正小标宋简体" w:eastAsia="方正小标宋简体" w:cs="方正小标宋简体"/>
          <w:color w:val="0C0C0C" w:themeColor="text1" w:themeTint="F2"/>
          <w:sz w:val="36"/>
          <w:szCs w:val="36"/>
          <w:lang w:val="en-US" w:eastAsia="zh-CN"/>
        </w:rPr>
        <w:t>(</w:t>
      </w:r>
      <w:r>
        <w:rPr>
          <w:rFonts w:hint="eastAsia" w:ascii="方正小标宋简体" w:hAnsi="方正小标宋简体" w:eastAsia="方正小标宋简体" w:cs="方正小标宋简体"/>
          <w:color w:val="0C0C0C" w:themeColor="text1" w:themeTint="F2"/>
          <w:sz w:val="36"/>
          <w:szCs w:val="36"/>
        </w:rPr>
        <w:t>10项</w:t>
      </w:r>
      <w:bookmarkEnd w:id="3"/>
      <w:bookmarkEnd w:id="4"/>
      <w:bookmarkEnd w:id="5"/>
      <w:r>
        <w:rPr>
          <w:rFonts w:hint="eastAsia" w:ascii="方正小标宋简体" w:hAnsi="方正小标宋简体" w:eastAsia="方正小标宋简体" w:cs="方正小标宋简体"/>
          <w:color w:val="0C0C0C" w:themeColor="text1" w:themeTint="F2"/>
          <w:sz w:val="36"/>
          <w:szCs w:val="36"/>
          <w:lang w:val="en-US" w:eastAsia="zh-CN"/>
        </w:rPr>
        <w:t>)</w:t>
      </w:r>
    </w:p>
    <w:tbl>
      <w:tblPr>
        <w:tblStyle w:val="4"/>
        <w:tblW w:w="0" w:type="auto"/>
        <w:jc w:val="center"/>
        <w:tblLayout w:type="fixed"/>
        <w:tblCellMar>
          <w:top w:w="0" w:type="dxa"/>
          <w:left w:w="10" w:type="dxa"/>
          <w:bottom w:w="0" w:type="dxa"/>
          <w:right w:w="10" w:type="dxa"/>
        </w:tblCellMar>
      </w:tblPr>
      <w:tblGrid>
        <w:gridCol w:w="634"/>
        <w:gridCol w:w="1094"/>
        <w:gridCol w:w="1469"/>
        <w:gridCol w:w="1070"/>
        <w:gridCol w:w="4037"/>
        <w:gridCol w:w="734"/>
      </w:tblGrid>
      <w:tr>
        <w:tblPrEx>
          <w:tblCellMar>
            <w:top w:w="0" w:type="dxa"/>
            <w:left w:w="10" w:type="dxa"/>
            <w:bottom w:w="0" w:type="dxa"/>
            <w:right w:w="10" w:type="dxa"/>
          </w:tblCellMar>
        </w:tblPrEx>
        <w:trPr>
          <w:trHeight w:val="835" w:hRule="exact"/>
          <w:jc w:val="center"/>
        </w:trPr>
        <w:tc>
          <w:tcPr>
            <w:tcW w:w="634"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序号</w:t>
            </w:r>
          </w:p>
        </w:tc>
        <w:tc>
          <w:tcPr>
            <w:tcW w:w="1094"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违法行为</w:t>
            </w:r>
          </w:p>
        </w:tc>
        <w:tc>
          <w:tcPr>
            <w:tcW w:w="1469"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减轻行政处罚</w:t>
            </w:r>
          </w:p>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的情形</w:t>
            </w:r>
          </w:p>
        </w:tc>
        <w:tc>
          <w:tcPr>
            <w:tcW w:w="1070"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自由裁量</w:t>
            </w:r>
          </w:p>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处罚幅度</w:t>
            </w:r>
          </w:p>
        </w:tc>
        <w:tc>
          <w:tcPr>
            <w:tcW w:w="4037"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法律依据</w:t>
            </w:r>
          </w:p>
        </w:tc>
        <w:tc>
          <w:tcPr>
            <w:tcW w:w="734" w:type="dxa"/>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实施</w:t>
            </w:r>
          </w:p>
          <w:p>
            <w:pPr>
              <w:pStyle w:val="23"/>
              <w:spacing w:line="320" w:lineRule="exact"/>
              <w:ind w:firstLine="0"/>
              <w:jc w:val="center"/>
              <w:rPr>
                <w:rFonts w:ascii="黑体" w:hAnsi="黑体" w:eastAsia="黑体" w:cs="黑体"/>
                <w:color w:val="0C0C0C" w:themeColor="text1" w:themeTint="F2"/>
                <w:spacing w:val="-20"/>
                <w:kern w:val="21"/>
                <w:sz w:val="24"/>
                <w:szCs w:val="24"/>
              </w:rPr>
            </w:pPr>
            <w:r>
              <w:rPr>
                <w:rFonts w:hint="eastAsia" w:ascii="黑体" w:hAnsi="黑体" w:eastAsia="黑体" w:cs="黑体"/>
                <w:color w:val="0C0C0C" w:themeColor="text1" w:themeTint="F2"/>
                <w:spacing w:val="-20"/>
                <w:kern w:val="21"/>
                <w:sz w:val="24"/>
                <w:szCs w:val="24"/>
              </w:rPr>
              <w:t>主体</w:t>
            </w:r>
          </w:p>
        </w:tc>
      </w:tr>
      <w:tr>
        <w:tblPrEx>
          <w:tblCellMar>
            <w:top w:w="0" w:type="dxa"/>
            <w:left w:w="10" w:type="dxa"/>
            <w:bottom w:w="0" w:type="dxa"/>
            <w:right w:w="10" w:type="dxa"/>
          </w:tblCellMar>
        </w:tblPrEx>
        <w:trPr>
          <w:trHeight w:val="5429" w:hRule="exact"/>
          <w:jc w:val="center"/>
        </w:trPr>
        <w:tc>
          <w:tcPr>
            <w:tcW w:w="634" w:type="dxa"/>
            <w:tcBorders>
              <w:top w:val="single" w:color="auto" w:sz="4" w:space="0"/>
              <w:lef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1</w:t>
            </w:r>
          </w:p>
        </w:tc>
        <w:tc>
          <w:tcPr>
            <w:tcW w:w="1094"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广告主在其经营场所或者利用自有媒体、电商平台发布商品或者服务广告使用</w:t>
            </w:r>
            <w:r>
              <w:rPr>
                <w:rFonts w:hint="eastAsia" w:ascii="仿宋_GB2312" w:hAnsi="仿宋_GB2312" w:eastAsia="仿宋_GB2312" w:cs="仿宋_GB2312"/>
                <w:color w:val="0C0C0C" w:themeColor="text1" w:themeTint="F2"/>
                <w:sz w:val="24"/>
                <w:szCs w:val="24"/>
                <w:lang w:eastAsia="zh-CN"/>
              </w:rPr>
              <w:t>“</w:t>
            </w:r>
            <w:r>
              <w:rPr>
                <w:rFonts w:hint="eastAsia" w:ascii="仿宋_GB2312" w:hAnsi="仿宋_GB2312" w:eastAsia="仿宋_GB2312" w:cs="仿宋_GB2312"/>
                <w:color w:val="0C0C0C" w:themeColor="text1" w:themeTint="F2"/>
                <w:sz w:val="24"/>
                <w:szCs w:val="24"/>
              </w:rPr>
              <w:t>国家级</w:t>
            </w:r>
            <w:r>
              <w:rPr>
                <w:rFonts w:hint="eastAsia" w:ascii="仿宋_GB2312" w:hAnsi="仿宋_GB2312" w:eastAsia="仿宋_GB2312" w:cs="仿宋_GB2312"/>
                <w:color w:val="0C0C0C" w:themeColor="text1" w:themeTint="F2"/>
                <w:sz w:val="24"/>
                <w:szCs w:val="24"/>
                <w:lang w:eastAsia="zh-CN"/>
              </w:rPr>
              <w:t>”</w:t>
            </w:r>
            <w:r>
              <w:rPr>
                <w:rFonts w:hint="eastAsia" w:ascii="仿宋_GB2312" w:hAnsi="仿宋_GB2312" w:eastAsia="仿宋_GB2312" w:cs="仿宋_GB2312"/>
                <w:color w:val="0C0C0C" w:themeColor="text1" w:themeTint="F2"/>
                <w:sz w:val="24"/>
                <w:szCs w:val="24"/>
                <w:lang w:val="zh-CN" w:eastAsia="zh-CN" w:bidi="zh-CN"/>
              </w:rPr>
              <w:t>“最</w:t>
            </w:r>
            <w:r>
              <w:rPr>
                <w:rFonts w:hint="eastAsia" w:ascii="仿宋_GB2312" w:hAnsi="仿宋_GB2312" w:eastAsia="仿宋_GB2312" w:cs="仿宋_GB2312"/>
                <w:color w:val="0C0C0C" w:themeColor="text1" w:themeTint="F2"/>
                <w:sz w:val="24"/>
                <w:szCs w:val="24"/>
              </w:rPr>
              <w:t>高级“</w:t>
            </w:r>
            <w:r>
              <w:rPr>
                <w:rFonts w:hint="eastAsia" w:ascii="仿宋_GB2312" w:hAnsi="仿宋_GB2312" w:eastAsia="仿宋_GB2312" w:cs="仿宋_GB2312"/>
                <w:color w:val="0C0C0C" w:themeColor="text1" w:themeTint="F2"/>
                <w:sz w:val="24"/>
                <w:szCs w:val="24"/>
                <w:lang w:eastAsia="zh-CN"/>
              </w:rPr>
              <w:t>“</w:t>
            </w:r>
            <w:r>
              <w:rPr>
                <w:rFonts w:hint="eastAsia" w:ascii="仿宋_GB2312" w:hAnsi="仿宋_GB2312" w:eastAsia="仿宋_GB2312" w:cs="仿宋_GB2312"/>
                <w:color w:val="0C0C0C" w:themeColor="text1" w:themeTint="F2"/>
                <w:sz w:val="24"/>
                <w:szCs w:val="24"/>
              </w:rPr>
              <w:t>最佳</w:t>
            </w:r>
            <w:r>
              <w:rPr>
                <w:rFonts w:hint="eastAsia" w:ascii="仿宋_GB2312" w:hAnsi="仿宋_GB2312" w:eastAsia="仿宋_GB2312" w:cs="仿宋_GB2312"/>
                <w:color w:val="0C0C0C" w:themeColor="text1" w:themeTint="F2"/>
                <w:sz w:val="24"/>
                <w:szCs w:val="24"/>
                <w:lang w:eastAsia="zh-CN"/>
              </w:rPr>
              <w:t>”</w:t>
            </w:r>
            <w:r>
              <w:rPr>
                <w:rFonts w:hint="eastAsia" w:ascii="仿宋_GB2312" w:hAnsi="仿宋_GB2312" w:eastAsia="仿宋_GB2312" w:cs="仿宋_GB2312"/>
                <w:color w:val="0C0C0C" w:themeColor="text1" w:themeTint="F2"/>
                <w:sz w:val="24"/>
                <w:szCs w:val="24"/>
              </w:rPr>
              <w:t>等用语的</w:t>
            </w:r>
          </w:p>
        </w:tc>
        <w:tc>
          <w:tcPr>
            <w:tcW w:w="1469" w:type="dxa"/>
            <w:tcBorders>
              <w:top w:val="single" w:color="auto" w:sz="4" w:space="0"/>
              <w:left w:val="single" w:color="auto" w:sz="4" w:space="0"/>
            </w:tcBorders>
            <w:shd w:val="clear" w:color="auto" w:fill="FFFFFF"/>
            <w:vAlign w:val="center"/>
          </w:tcPr>
          <w:p>
            <w:pPr>
              <w:pStyle w:val="23"/>
              <w:tabs>
                <w:tab w:val="left" w:pos="168"/>
              </w:tabs>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lang w:val="en-US" w:eastAsia="zh-CN"/>
              </w:rPr>
              <w:t>1.</w:t>
            </w:r>
            <w:r>
              <w:rPr>
                <w:rFonts w:hint="eastAsia" w:ascii="仿宋_GB2312" w:hAnsi="仿宋_GB2312" w:eastAsia="仿宋_GB2312" w:cs="仿宋_GB2312"/>
                <w:color w:val="0C0C0C" w:themeColor="text1" w:themeTint="F2"/>
                <w:sz w:val="24"/>
                <w:szCs w:val="24"/>
              </w:rPr>
              <w:t>及时改正,主动消除或者减轻危害后果；</w:t>
            </w:r>
          </w:p>
          <w:p>
            <w:pPr>
              <w:pStyle w:val="23"/>
              <w:tabs>
                <w:tab w:val="left" w:pos="168"/>
              </w:tabs>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lang w:val="en-US" w:eastAsia="zh-CN"/>
              </w:rPr>
              <w:t>2.</w:t>
            </w:r>
            <w:r>
              <w:rPr>
                <w:rFonts w:hint="eastAsia" w:ascii="仿宋_GB2312" w:hAnsi="仿宋_GB2312" w:eastAsia="仿宋_GB2312" w:cs="仿宋_GB2312"/>
                <w:color w:val="0C0C0C" w:themeColor="text1" w:themeTint="F2"/>
                <w:sz w:val="24"/>
                <w:szCs w:val="24"/>
              </w:rPr>
              <w:t>未造成其他严重危害后果。</w:t>
            </w:r>
          </w:p>
        </w:tc>
        <w:tc>
          <w:tcPr>
            <w:tcW w:w="1070"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lang w:eastAsia="zh-CN"/>
              </w:rPr>
            </w:pPr>
            <w:r>
              <w:rPr>
                <w:rFonts w:hint="eastAsia" w:ascii="仿宋_GB2312" w:hAnsi="仿宋_GB2312" w:eastAsia="仿宋_GB2312" w:cs="仿宋_GB2312"/>
                <w:color w:val="0C0C0C" w:themeColor="text1" w:themeTint="F2"/>
                <w:sz w:val="24"/>
                <w:szCs w:val="24"/>
              </w:rPr>
              <w:t>除符合不予处罚清单列举的情形外，处3万元以下罚款</w:t>
            </w:r>
            <w:r>
              <w:rPr>
                <w:rFonts w:hint="eastAsia" w:ascii="仿宋_GB2312" w:hAnsi="仿宋_GB2312" w:eastAsia="仿宋_GB2312" w:cs="仿宋_GB2312"/>
                <w:color w:val="0C0C0C" w:themeColor="text1" w:themeTint="F2"/>
                <w:sz w:val="24"/>
                <w:szCs w:val="24"/>
                <w:lang w:eastAsia="zh-CN"/>
              </w:rPr>
              <w:t>。</w:t>
            </w:r>
          </w:p>
        </w:tc>
        <w:tc>
          <w:tcPr>
            <w:tcW w:w="4037"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《中华人民共和国广告法》第九条广告不得有下列情形：（三）使用"国家级"</w:t>
            </w:r>
            <w:r>
              <w:rPr>
                <w:rFonts w:hint="eastAsia" w:ascii="仿宋_GB2312" w:hAnsi="仿宋_GB2312" w:eastAsia="仿宋_GB2312" w:cs="仿宋_GB2312"/>
                <w:i/>
                <w:iCs/>
                <w:color w:val="0C0C0C" w:themeColor="text1" w:themeTint="F2"/>
                <w:sz w:val="24"/>
                <w:szCs w:val="24"/>
              </w:rPr>
              <w:t>、</w:t>
            </w:r>
            <w:r>
              <w:rPr>
                <w:rFonts w:hint="eastAsia" w:ascii="仿宋_GB2312" w:hAnsi="仿宋_GB2312" w:eastAsia="仿宋_GB2312" w:cs="仿宋_GB2312"/>
                <w:color w:val="0C0C0C" w:themeColor="text1" w:themeTint="F2"/>
                <w:sz w:val="24"/>
                <w:szCs w:val="24"/>
              </w:rPr>
              <w:t>"最高级“、</w:t>
            </w:r>
            <w:r>
              <w:rPr>
                <w:rFonts w:hint="eastAsia" w:ascii="仿宋_GB2312" w:hAnsi="仿宋_GB2312" w:eastAsia="仿宋_GB2312" w:cs="仿宋_GB2312"/>
                <w:color w:val="0C0C0C" w:themeColor="text1" w:themeTint="F2"/>
                <w:sz w:val="24"/>
                <w:szCs w:val="24"/>
                <w:lang w:val="zh-CN" w:eastAsia="zh-CN" w:bidi="zh-CN"/>
              </w:rPr>
              <w:t>“最</w:t>
            </w:r>
            <w:r>
              <w:rPr>
                <w:rFonts w:hint="eastAsia" w:ascii="仿宋_GB2312" w:hAnsi="仿宋_GB2312" w:eastAsia="仿宋_GB2312" w:cs="仿宋_GB2312"/>
                <w:color w:val="0C0C0C" w:themeColor="text1" w:themeTint="F2"/>
                <w:sz w:val="24"/>
                <w:szCs w:val="24"/>
              </w:rPr>
              <w:t>佳“等用语；</w:t>
            </w:r>
          </w:p>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《中华人民共和国广告法》第五十七条有下列行为之一的，由市场监督管理部门责令停止发布广告,对广告主处二十万元以上一百万元以下的罚款，情为</w:t>
            </w:r>
            <w:r>
              <w:rPr>
                <w:rFonts w:hint="eastAsia" w:ascii="仿宋_GB2312" w:hAnsi="仿宋_GB2312" w:eastAsia="仿宋_GB2312" w:cs="仿宋_GB2312"/>
                <w:color w:val="0C0C0C" w:themeColor="text1" w:themeTint="F2"/>
                <w:sz w:val="24"/>
                <w:szCs w:val="24"/>
                <w:lang w:val="en-US" w:eastAsia="zh-CN"/>
              </w:rPr>
              <w:t>严</w:t>
            </w:r>
            <w:r>
              <w:rPr>
                <w:rFonts w:hint="eastAsia" w:ascii="仿宋_GB2312" w:hAnsi="仿宋_GB2312" w:eastAsia="仿宋_GB2312" w:cs="仿宋_GB2312"/>
                <w:color w:val="0C0C0C" w:themeColor="text1" w:themeTint="F2"/>
                <w:sz w:val="24"/>
                <w:szCs w:val="24"/>
              </w:rPr>
              <w:t>重的，并可以吊销营业执照,由广告审查机关撤销广告审查批准文件、一年内不受理其广告审查申请;对广告经营者、广告发布者，由市场监督管理部门没收广告费用,处二十万元以上一百万元以下的罚款，情节严重的，并可以吊销营业执照、吊销广告发布登记证件：（一）发布有本法第九条、第十条规定的禁止情形的广告的；</w:t>
            </w:r>
          </w:p>
        </w:tc>
        <w:tc>
          <w:tcPr>
            <w:tcW w:w="734" w:type="dxa"/>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lang w:eastAsia="zh-CN"/>
              </w:rPr>
            </w:pPr>
            <w:r>
              <w:rPr>
                <w:rFonts w:hint="eastAsia" w:ascii="仿宋_GB2312" w:hAnsi="仿宋_GB2312" w:eastAsia="仿宋_GB2312" w:cs="仿宋_GB2312"/>
                <w:color w:val="0C0C0C" w:themeColor="text1" w:themeTint="F2"/>
                <w:sz w:val="24"/>
                <w:szCs w:val="24"/>
                <w:lang w:eastAsia="zh-CN"/>
              </w:rPr>
              <w:t>淮滨县市场监督管理局</w:t>
            </w:r>
          </w:p>
        </w:tc>
      </w:tr>
      <w:tr>
        <w:tblPrEx>
          <w:tblCellMar>
            <w:top w:w="0" w:type="dxa"/>
            <w:left w:w="10" w:type="dxa"/>
            <w:bottom w:w="0" w:type="dxa"/>
            <w:right w:w="10" w:type="dxa"/>
          </w:tblCellMar>
        </w:tblPrEx>
        <w:trPr>
          <w:trHeight w:val="4735" w:hRule="exact"/>
          <w:jc w:val="center"/>
        </w:trPr>
        <w:tc>
          <w:tcPr>
            <w:tcW w:w="634"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24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2</w:t>
            </w:r>
          </w:p>
        </w:tc>
        <w:tc>
          <w:tcPr>
            <w:tcW w:w="1094"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广告费用无法计算的虚假广告违法行为</w:t>
            </w:r>
          </w:p>
        </w:tc>
        <w:tc>
          <w:tcPr>
            <w:tcW w:w="1469"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lang w:val="en-US" w:eastAsia="zh-CN" w:bidi="en-US"/>
              </w:rPr>
              <w:t>1.</w:t>
            </w:r>
            <w:r>
              <w:rPr>
                <w:rFonts w:hint="eastAsia" w:ascii="仿宋_GB2312" w:hAnsi="仿宋_GB2312" w:eastAsia="仿宋_GB2312" w:cs="仿宋_GB2312"/>
                <w:color w:val="0C0C0C" w:themeColor="text1" w:themeTint="F2"/>
                <w:sz w:val="24"/>
                <w:szCs w:val="24"/>
              </w:rPr>
              <w:t>无主观</w:t>
            </w:r>
            <w:r>
              <w:rPr>
                <w:rFonts w:hint="eastAsia" w:ascii="仿宋_GB2312" w:hAnsi="仿宋_GB2312" w:eastAsia="仿宋_GB2312" w:cs="仿宋_GB2312"/>
                <w:color w:val="0C0C0C" w:themeColor="text1" w:themeTint="F2"/>
                <w:sz w:val="24"/>
                <w:szCs w:val="24"/>
                <w:lang w:val="en-US" w:eastAsia="zh-CN"/>
              </w:rPr>
              <w:t>欺诈故意</w:t>
            </w:r>
            <w:r>
              <w:rPr>
                <w:rFonts w:hint="eastAsia" w:ascii="仿宋_GB2312" w:hAnsi="仿宋_GB2312" w:eastAsia="仿宋_GB2312" w:cs="仿宋_GB2312"/>
                <w:color w:val="0C0C0C" w:themeColor="text1" w:themeTint="F2"/>
                <w:sz w:val="24"/>
                <w:szCs w:val="24"/>
              </w:rPr>
              <w:t>，积极配合调查，及时改正，主动消除或者减轻危害后果；</w:t>
            </w:r>
          </w:p>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2.未造成其他严重危害后果。</w:t>
            </w:r>
          </w:p>
        </w:tc>
        <w:tc>
          <w:tcPr>
            <w:tcW w:w="1070"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处3万元以下罚</w:t>
            </w:r>
            <w:r>
              <w:rPr>
                <w:rFonts w:hint="eastAsia" w:ascii="仿宋_GB2312" w:hAnsi="仿宋_GB2312" w:eastAsia="仿宋_GB2312" w:cs="仿宋_GB2312"/>
                <w:color w:val="0C0C0C" w:themeColor="text1" w:themeTint="F2"/>
                <w:sz w:val="24"/>
                <w:szCs w:val="24"/>
                <w:lang w:val="en-US" w:eastAsia="zh-CN"/>
              </w:rPr>
              <w:t>款</w:t>
            </w:r>
            <w:r>
              <w:rPr>
                <w:rFonts w:hint="eastAsia" w:ascii="仿宋_GB2312" w:hAnsi="仿宋_GB2312" w:eastAsia="仿宋_GB2312" w:cs="仿宋_GB2312"/>
                <w:color w:val="0C0C0C" w:themeColor="text1" w:themeTint="F2"/>
                <w:sz w:val="24"/>
                <w:szCs w:val="24"/>
              </w:rPr>
              <w:t>。</w:t>
            </w:r>
          </w:p>
        </w:tc>
        <w:tc>
          <w:tcPr>
            <w:tcW w:w="4037"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中华人民共和国广告法》第五十五条违反本法规定，发布虚假广告的，由市场监督管理部门责令停止发布广告，责令广告主在相应范围内消除影响，处广告费用三倍以上五倍以下的罚款，广告费用无法计算或者明显偏低的，处二十万元以上一百万元以下的罚款；两年内有三次以上违法行为或者有其他严重情节的，处广告费用五倍以上十倍以下的罚款,广告费用无法计算或者明显偏低的，处一百万元以上二百万元以下的罚款，可以吊销营业执照，并由广告审查机关撤销广告审查批准文件、一年内不受理其广告审査申请。</w:t>
            </w:r>
          </w:p>
        </w:tc>
        <w:tc>
          <w:tcPr>
            <w:tcW w:w="73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lang w:eastAsia="zh-CN"/>
              </w:rPr>
            </w:pPr>
            <w:r>
              <w:rPr>
                <w:rFonts w:hint="eastAsia" w:ascii="仿宋_GB2312" w:hAnsi="仿宋_GB2312" w:eastAsia="仿宋_GB2312" w:cs="仿宋_GB2312"/>
                <w:color w:val="0C0C0C" w:themeColor="text1" w:themeTint="F2"/>
                <w:sz w:val="24"/>
                <w:szCs w:val="24"/>
                <w:lang w:eastAsia="zh-CN"/>
              </w:rPr>
              <w:t>淮滨县市场监督管理局</w:t>
            </w:r>
          </w:p>
        </w:tc>
      </w:tr>
    </w:tbl>
    <w:p>
      <w:pPr>
        <w:spacing w:line="320" w:lineRule="exact"/>
        <w:rPr>
          <w:rFonts w:ascii="仿宋_GB2312" w:hAnsi="仿宋_GB2312" w:eastAsia="仿宋_GB2312" w:cs="仿宋_GB2312"/>
          <w:color w:val="0C0C0C" w:themeColor="text1" w:themeTint="F2"/>
          <w:lang w:eastAsia="zh-CN"/>
        </w:rPr>
        <w:sectPr>
          <w:footerReference r:id="rId5" w:type="default"/>
          <w:footerReference r:id="rId6" w:type="even"/>
          <w:pgSz w:w="11900" w:h="16840"/>
          <w:pgMar w:top="2098" w:right="1474" w:bottom="1984" w:left="1587" w:header="0" w:footer="6" w:gutter="0"/>
          <w:cols w:space="0" w:num="1"/>
          <w:titlePg/>
          <w:docGrid w:linePitch="360" w:charSpace="0"/>
        </w:sectPr>
      </w:pPr>
    </w:p>
    <w:tbl>
      <w:tblPr>
        <w:tblStyle w:val="4"/>
        <w:tblW w:w="8981" w:type="dxa"/>
        <w:jc w:val="center"/>
        <w:tblLayout w:type="fixed"/>
        <w:tblCellMar>
          <w:top w:w="0" w:type="dxa"/>
          <w:left w:w="10" w:type="dxa"/>
          <w:bottom w:w="0" w:type="dxa"/>
          <w:right w:w="10" w:type="dxa"/>
        </w:tblCellMar>
      </w:tblPr>
      <w:tblGrid>
        <w:gridCol w:w="634"/>
        <w:gridCol w:w="1075"/>
        <w:gridCol w:w="1450"/>
        <w:gridCol w:w="1056"/>
        <w:gridCol w:w="4032"/>
        <w:gridCol w:w="734"/>
      </w:tblGrid>
      <w:tr>
        <w:tblPrEx>
          <w:tblCellMar>
            <w:top w:w="0" w:type="dxa"/>
            <w:left w:w="10" w:type="dxa"/>
            <w:bottom w:w="0" w:type="dxa"/>
            <w:right w:w="10" w:type="dxa"/>
          </w:tblCellMar>
        </w:tblPrEx>
        <w:trPr>
          <w:trHeight w:val="2141" w:hRule="exact"/>
          <w:jc w:val="center"/>
        </w:trPr>
        <w:tc>
          <w:tcPr>
            <w:tcW w:w="634" w:type="dxa"/>
            <w:tcBorders>
              <w:top w:val="single" w:color="auto" w:sz="4" w:space="0"/>
              <w:left w:val="single" w:color="auto" w:sz="4" w:space="0"/>
            </w:tcBorders>
            <w:shd w:val="clear" w:color="auto" w:fill="FFFFFF"/>
            <w:vAlign w:val="center"/>
          </w:tcPr>
          <w:p>
            <w:pPr>
              <w:pStyle w:val="23"/>
              <w:spacing w:line="320" w:lineRule="exact"/>
              <w:ind w:firstLine="24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3</w:t>
            </w:r>
          </w:p>
        </w:tc>
        <w:tc>
          <w:tcPr>
            <w:tcW w:w="1075"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抽奖式有奖销售最高奖超过5万元、不满10万元的</w:t>
            </w:r>
          </w:p>
        </w:tc>
        <w:tc>
          <w:tcPr>
            <w:tcW w:w="1450"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首次发现，无主观故意</w:t>
            </w:r>
          </w:p>
        </w:tc>
        <w:tc>
          <w:tcPr>
            <w:tcW w:w="1056"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处5万元罚款</w:t>
            </w:r>
          </w:p>
        </w:tc>
        <w:tc>
          <w:tcPr>
            <w:tcW w:w="4032"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《反不正当竞争法》第二十二条，经营者违反本法第十条规定进行有奖销售的，有监督检查部门责令违法行为，处5万元以上50万元以下罚款。</w:t>
            </w:r>
          </w:p>
        </w:tc>
        <w:tc>
          <w:tcPr>
            <w:tcW w:w="734" w:type="dxa"/>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lang w:eastAsia="zh-CN"/>
              </w:rPr>
            </w:pPr>
            <w:r>
              <w:rPr>
                <w:rFonts w:hint="eastAsia" w:ascii="仿宋_GB2312" w:hAnsi="仿宋_GB2312" w:eastAsia="仿宋_GB2312" w:cs="仿宋_GB2312"/>
                <w:color w:val="0C0C0C" w:themeColor="text1" w:themeTint="F2"/>
                <w:sz w:val="24"/>
                <w:szCs w:val="24"/>
                <w:lang w:eastAsia="zh-CN"/>
              </w:rPr>
              <w:t>淮滨县市场监督管理局</w:t>
            </w:r>
          </w:p>
        </w:tc>
      </w:tr>
      <w:tr>
        <w:tblPrEx>
          <w:tblCellMar>
            <w:top w:w="0" w:type="dxa"/>
            <w:left w:w="10" w:type="dxa"/>
            <w:bottom w:w="0" w:type="dxa"/>
            <w:right w:w="10" w:type="dxa"/>
          </w:tblCellMar>
        </w:tblPrEx>
        <w:trPr>
          <w:trHeight w:val="3401" w:hRule="exact"/>
          <w:jc w:val="center"/>
        </w:trPr>
        <w:tc>
          <w:tcPr>
            <w:tcW w:w="634" w:type="dxa"/>
            <w:tcBorders>
              <w:top w:val="single" w:color="auto" w:sz="4" w:space="0"/>
              <w:left w:val="single" w:color="auto" w:sz="4" w:space="0"/>
            </w:tcBorders>
            <w:shd w:val="clear" w:color="auto" w:fill="FFFFFF"/>
            <w:vAlign w:val="center"/>
          </w:tcPr>
          <w:p>
            <w:pPr>
              <w:pStyle w:val="23"/>
              <w:spacing w:line="320" w:lineRule="exact"/>
              <w:ind w:firstLine="24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4</w:t>
            </w:r>
          </w:p>
        </w:tc>
        <w:tc>
          <w:tcPr>
            <w:tcW w:w="1075"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公司的发起人、股东虚假出资,未交付或者未按期交付作为出资的货币或者非货币财产</w:t>
            </w:r>
          </w:p>
        </w:tc>
        <w:tc>
          <w:tcPr>
            <w:tcW w:w="1450"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虚假出资骗取登记时间未满一个月，且未造成任何社会危害后果并能主动纠正违法行为的</w:t>
            </w:r>
          </w:p>
        </w:tc>
        <w:tc>
          <w:tcPr>
            <w:tcW w:w="1056"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处以5万元罚款</w:t>
            </w:r>
          </w:p>
        </w:tc>
        <w:tc>
          <w:tcPr>
            <w:tcW w:w="4032"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《中华人民共和国公司法》第二十八条第一款、《中华人民共和国公司登记管理条例》第六十五条</w:t>
            </w:r>
          </w:p>
        </w:tc>
        <w:tc>
          <w:tcPr>
            <w:tcW w:w="734" w:type="dxa"/>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lang w:eastAsia="zh-CN"/>
              </w:rPr>
            </w:pPr>
            <w:r>
              <w:rPr>
                <w:rFonts w:hint="eastAsia" w:ascii="仿宋_GB2312" w:hAnsi="仿宋_GB2312" w:eastAsia="仿宋_GB2312" w:cs="仿宋_GB2312"/>
                <w:color w:val="0C0C0C" w:themeColor="text1" w:themeTint="F2"/>
                <w:sz w:val="24"/>
                <w:szCs w:val="24"/>
                <w:lang w:eastAsia="zh-CN"/>
              </w:rPr>
              <w:t>淮滨县市场监督管理局</w:t>
            </w:r>
          </w:p>
        </w:tc>
      </w:tr>
      <w:tr>
        <w:tblPrEx>
          <w:tblCellMar>
            <w:top w:w="0" w:type="dxa"/>
            <w:left w:w="10" w:type="dxa"/>
            <w:bottom w:w="0" w:type="dxa"/>
            <w:right w:w="10" w:type="dxa"/>
          </w:tblCellMar>
        </w:tblPrEx>
        <w:trPr>
          <w:trHeight w:val="2424" w:hRule="exact"/>
          <w:jc w:val="center"/>
        </w:trPr>
        <w:tc>
          <w:tcPr>
            <w:tcW w:w="634" w:type="dxa"/>
            <w:tcBorders>
              <w:top w:val="single" w:color="auto" w:sz="4" w:space="0"/>
              <w:left w:val="single" w:color="auto" w:sz="4" w:space="0"/>
            </w:tcBorders>
            <w:shd w:val="clear" w:color="auto" w:fill="FFFFFF"/>
            <w:vAlign w:val="center"/>
          </w:tcPr>
          <w:p>
            <w:pPr>
              <w:pStyle w:val="23"/>
              <w:spacing w:line="320" w:lineRule="exact"/>
              <w:ind w:firstLine="24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5</w:t>
            </w:r>
          </w:p>
        </w:tc>
        <w:tc>
          <w:tcPr>
            <w:tcW w:w="1075"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公司发起人、股东在公司成立后抽逃出资的</w:t>
            </w:r>
          </w:p>
        </w:tc>
        <w:tc>
          <w:tcPr>
            <w:tcW w:w="1450"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抽逃出资时间未满</w:t>
            </w:r>
            <w:r>
              <w:rPr>
                <w:rFonts w:hint="eastAsia" w:ascii="仿宋_GB2312" w:hAnsi="仿宋_GB2312" w:eastAsia="仿宋_GB2312" w:cs="仿宋_GB2312"/>
                <w:color w:val="0C0C0C" w:themeColor="text1" w:themeTint="F2"/>
                <w:sz w:val="24"/>
                <w:szCs w:val="24"/>
                <w:lang w:val="en-US" w:eastAsia="zh-CN" w:bidi="en-US"/>
              </w:rPr>
              <w:t>一个</w:t>
            </w:r>
            <w:r>
              <w:rPr>
                <w:rFonts w:hint="eastAsia" w:ascii="仿宋_GB2312" w:hAnsi="仿宋_GB2312" w:eastAsia="仿宋_GB2312" w:cs="仿宋_GB2312"/>
                <w:color w:val="0C0C0C" w:themeColor="text1" w:themeTint="F2"/>
                <w:sz w:val="24"/>
                <w:szCs w:val="24"/>
              </w:rPr>
              <w:t>月，未造成宙可社会危害后果并能主动纠正违法行为的</w:t>
            </w:r>
          </w:p>
        </w:tc>
        <w:tc>
          <w:tcPr>
            <w:tcW w:w="1056" w:type="dxa"/>
            <w:tcBorders>
              <w:top w:val="single" w:color="auto" w:sz="4" w:space="0"/>
              <w:left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处所抽逃出资金额的百分之五罚款</w:t>
            </w:r>
          </w:p>
        </w:tc>
        <w:tc>
          <w:tcPr>
            <w:tcW w:w="4032"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《中华人民共和国公司法》第三十五条公司成立后，股东不得抽逃出资</w:t>
            </w:r>
            <w:r>
              <w:rPr>
                <w:rFonts w:hint="eastAsia" w:ascii="仿宋_GB2312" w:hAnsi="仿宋_GB2312" w:eastAsia="仿宋_GB2312" w:cs="仿宋_GB2312"/>
                <w:color w:val="0C0C0C" w:themeColor="text1" w:themeTint="F2"/>
                <w:sz w:val="24"/>
                <w:szCs w:val="24"/>
                <w:lang w:val="en-US" w:eastAsia="zh-CN"/>
              </w:rPr>
              <w:t>.</w:t>
            </w:r>
            <w:r>
              <w:rPr>
                <w:rFonts w:hint="eastAsia" w:ascii="仿宋_GB2312" w:hAnsi="仿宋_GB2312" w:eastAsia="仿宋_GB2312" w:cs="仿宋_GB2312"/>
                <w:color w:val="0C0C0C" w:themeColor="text1" w:themeTint="F2"/>
                <w:sz w:val="24"/>
                <w:szCs w:val="24"/>
              </w:rPr>
              <w:t>《中华人民共和国公司法》第二百条抽逃岀资的，由公司登记机关责令改正，处以所抽逃出资金额的百分之五以上百分之十五以下的罚款</w:t>
            </w:r>
          </w:p>
        </w:tc>
        <w:tc>
          <w:tcPr>
            <w:tcW w:w="734" w:type="dxa"/>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lang w:eastAsia="zh-CN"/>
              </w:rPr>
            </w:pPr>
            <w:r>
              <w:rPr>
                <w:rFonts w:hint="eastAsia" w:ascii="仿宋_GB2312" w:hAnsi="仿宋_GB2312" w:eastAsia="仿宋_GB2312" w:cs="仿宋_GB2312"/>
                <w:color w:val="0C0C0C" w:themeColor="text1" w:themeTint="F2"/>
                <w:sz w:val="24"/>
                <w:szCs w:val="24"/>
                <w:lang w:eastAsia="zh-CN"/>
              </w:rPr>
              <w:t>淮滨县市场监督管理局</w:t>
            </w:r>
          </w:p>
        </w:tc>
      </w:tr>
      <w:tr>
        <w:tblPrEx>
          <w:tblCellMar>
            <w:top w:w="0" w:type="dxa"/>
            <w:left w:w="10" w:type="dxa"/>
            <w:bottom w:w="0" w:type="dxa"/>
            <w:right w:w="10" w:type="dxa"/>
          </w:tblCellMar>
        </w:tblPrEx>
        <w:trPr>
          <w:trHeight w:val="4116" w:hRule="exact"/>
          <w:jc w:val="center"/>
        </w:trPr>
        <w:tc>
          <w:tcPr>
            <w:tcW w:w="634"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24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6</w:t>
            </w:r>
          </w:p>
        </w:tc>
        <w:tc>
          <w:tcPr>
            <w:tcW w:w="1075"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公司清算</w:t>
            </w:r>
          </w:p>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时，隐匿财产，对资产负债表或者财产清单作虚假记载或者在未清偿债务前分配公司财产</w:t>
            </w:r>
          </w:p>
        </w:tc>
        <w:tc>
          <w:tcPr>
            <w:tcW w:w="1450"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及时改正违法行为，未造成任何危害后果的，或者隐匿或分配公司财产在50万元以下，未造成任何危害后果的</w:t>
            </w:r>
          </w:p>
        </w:tc>
        <w:tc>
          <w:tcPr>
            <w:tcW w:w="1056"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lang w:eastAsia="zh-CN"/>
              </w:rPr>
            </w:pPr>
            <w:r>
              <w:rPr>
                <w:rFonts w:hint="eastAsia" w:ascii="仿宋_GB2312" w:hAnsi="仿宋_GB2312" w:eastAsia="仿宋_GB2312" w:cs="仿宋_GB2312"/>
                <w:color w:val="0C0C0C" w:themeColor="text1" w:themeTint="F2"/>
                <w:sz w:val="24"/>
                <w:szCs w:val="24"/>
              </w:rPr>
              <w:t>责令退还公司财产，没收违法所得,处违法所得</w:t>
            </w:r>
            <w:r>
              <w:rPr>
                <w:rFonts w:hint="eastAsia" w:ascii="仿宋_GB2312" w:hAnsi="仿宋_GB2312" w:eastAsia="仿宋_GB2312" w:cs="仿宋_GB2312"/>
                <w:color w:val="0C0C0C" w:themeColor="text1" w:themeTint="F2"/>
                <w:sz w:val="24"/>
                <w:szCs w:val="24"/>
                <w:lang w:val="en-US" w:eastAsia="zh-CN"/>
              </w:rPr>
              <w:t>一</w:t>
            </w:r>
            <w:r>
              <w:rPr>
                <w:rFonts w:hint="eastAsia" w:ascii="仿宋_GB2312" w:hAnsi="仿宋_GB2312" w:eastAsia="仿宋_GB2312" w:cs="仿宋_GB2312"/>
                <w:color w:val="0C0C0C" w:themeColor="text1" w:themeTint="F2"/>
                <w:sz w:val="24"/>
                <w:szCs w:val="24"/>
              </w:rPr>
              <w:t>倍罚款</w:t>
            </w:r>
          </w:p>
        </w:tc>
        <w:tc>
          <w:tcPr>
            <w:tcW w:w="4032"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《中华人民共和国公司法》第一百八十六条第三款、第二百零五条、第二百零六条</w:t>
            </w:r>
          </w:p>
        </w:tc>
        <w:tc>
          <w:tcPr>
            <w:tcW w:w="73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lang w:eastAsia="zh-CN"/>
              </w:rPr>
              <w:t>淮滨县市场监督管理局</w:t>
            </w:r>
          </w:p>
        </w:tc>
      </w:tr>
    </w:tbl>
    <w:p>
      <w:pPr>
        <w:spacing w:line="320" w:lineRule="exact"/>
        <w:rPr>
          <w:rFonts w:ascii="仿宋_GB2312" w:hAnsi="仿宋_GB2312" w:eastAsia="仿宋_GB2312" w:cs="仿宋_GB2312"/>
          <w:color w:val="0C0C0C" w:themeColor="text1" w:themeTint="F2"/>
          <w:lang w:eastAsia="zh-CN"/>
        </w:rPr>
      </w:pPr>
    </w:p>
    <w:tbl>
      <w:tblPr>
        <w:tblStyle w:val="4"/>
        <w:tblW w:w="9043" w:type="dxa"/>
        <w:jc w:val="center"/>
        <w:tblLayout w:type="fixed"/>
        <w:tblCellMar>
          <w:top w:w="0" w:type="dxa"/>
          <w:left w:w="10" w:type="dxa"/>
          <w:bottom w:w="0" w:type="dxa"/>
          <w:right w:w="10" w:type="dxa"/>
        </w:tblCellMar>
      </w:tblPr>
      <w:tblGrid>
        <w:gridCol w:w="643"/>
        <w:gridCol w:w="1085"/>
        <w:gridCol w:w="1478"/>
        <w:gridCol w:w="1070"/>
        <w:gridCol w:w="4037"/>
        <w:gridCol w:w="730"/>
      </w:tblGrid>
      <w:tr>
        <w:tblPrEx>
          <w:tblCellMar>
            <w:top w:w="0" w:type="dxa"/>
            <w:left w:w="10" w:type="dxa"/>
            <w:bottom w:w="0" w:type="dxa"/>
            <w:right w:w="10" w:type="dxa"/>
          </w:tblCellMar>
        </w:tblPrEx>
        <w:trPr>
          <w:trHeight w:val="1831" w:hRule="exact"/>
          <w:jc w:val="center"/>
        </w:trPr>
        <w:tc>
          <w:tcPr>
            <w:tcW w:w="643" w:type="dxa"/>
            <w:tcBorders>
              <w:top w:val="single" w:color="auto" w:sz="4" w:space="0"/>
              <w:left w:val="single" w:color="auto" w:sz="4" w:space="0"/>
            </w:tcBorders>
            <w:shd w:val="clear" w:color="auto" w:fill="FFFFFF"/>
            <w:vAlign w:val="center"/>
          </w:tcPr>
          <w:p>
            <w:pPr>
              <w:pStyle w:val="23"/>
              <w:spacing w:line="320" w:lineRule="exact"/>
              <w:ind w:firstLine="24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lang w:val="zh-CN" w:eastAsia="zh-CN" w:bidi="zh-CN"/>
              </w:rPr>
              <w:t>7</w:t>
            </w:r>
          </w:p>
        </w:tc>
        <w:tc>
          <w:tcPr>
            <w:tcW w:w="1085"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擅自</w:t>
            </w:r>
            <w:r>
              <w:rPr>
                <w:rFonts w:hint="eastAsia" w:ascii="仿宋_GB2312" w:hAnsi="仿宋_GB2312" w:eastAsia="仿宋_GB2312" w:cs="仿宋_GB2312"/>
                <w:color w:val="0C0C0C" w:themeColor="text1" w:themeTint="F2"/>
                <w:sz w:val="24"/>
                <w:szCs w:val="24"/>
                <w:lang w:val="en-US" w:eastAsia="zh-CN"/>
              </w:rPr>
              <w:t>转让</w:t>
            </w:r>
            <w:r>
              <w:rPr>
                <w:rFonts w:hint="eastAsia" w:ascii="仿宋_GB2312" w:hAnsi="仿宋_GB2312" w:eastAsia="仿宋_GB2312" w:cs="仿宋_GB2312"/>
                <w:color w:val="0C0C0C" w:themeColor="text1" w:themeTint="F2"/>
                <w:sz w:val="24"/>
                <w:szCs w:val="24"/>
              </w:rPr>
              <w:t>或者出租自己的企业名称的</w:t>
            </w:r>
          </w:p>
        </w:tc>
        <w:tc>
          <w:tcPr>
            <w:tcW w:w="1478" w:type="dxa"/>
            <w:tcBorders>
              <w:top w:val="single" w:color="auto" w:sz="4" w:space="0"/>
              <w:left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违法情节轻微并立即改正，无违法所得的</w:t>
            </w:r>
          </w:p>
        </w:tc>
        <w:tc>
          <w:tcPr>
            <w:tcW w:w="1070"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没收非法所得，处1000元罚</w:t>
            </w:r>
          </w:p>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款</w:t>
            </w:r>
          </w:p>
        </w:tc>
        <w:tc>
          <w:tcPr>
            <w:tcW w:w="4037"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《企业名称登记管理规定》第二十六条第（三）项擅自转让或者出租自己的，没收非法所得并处以1000元以上1万元以下罚款</w:t>
            </w:r>
          </w:p>
        </w:tc>
        <w:tc>
          <w:tcPr>
            <w:tcW w:w="730" w:type="dxa"/>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lang w:eastAsia="zh-CN"/>
              </w:rPr>
              <w:t>淮滨县市场监督管理局</w:t>
            </w:r>
          </w:p>
        </w:tc>
      </w:tr>
      <w:tr>
        <w:tblPrEx>
          <w:tblCellMar>
            <w:top w:w="0" w:type="dxa"/>
            <w:left w:w="10" w:type="dxa"/>
            <w:bottom w:w="0" w:type="dxa"/>
            <w:right w:w="10" w:type="dxa"/>
          </w:tblCellMar>
        </w:tblPrEx>
        <w:trPr>
          <w:trHeight w:val="3769" w:hRule="exact"/>
          <w:jc w:val="center"/>
        </w:trPr>
        <w:tc>
          <w:tcPr>
            <w:tcW w:w="643" w:type="dxa"/>
            <w:tcBorders>
              <w:top w:val="single" w:color="auto" w:sz="4" w:space="0"/>
              <w:left w:val="single" w:color="auto" w:sz="4" w:space="0"/>
            </w:tcBorders>
            <w:shd w:val="clear" w:color="auto" w:fill="FFFFFF"/>
            <w:vAlign w:val="center"/>
          </w:tcPr>
          <w:p>
            <w:pPr>
              <w:pStyle w:val="23"/>
              <w:spacing w:line="320" w:lineRule="exact"/>
              <w:ind w:firstLine="24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lang w:val="zh-CN" w:eastAsia="zh-CN" w:bidi="zh-CN"/>
              </w:rPr>
              <w:t>8</w:t>
            </w:r>
          </w:p>
        </w:tc>
        <w:tc>
          <w:tcPr>
            <w:tcW w:w="1085"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销售未取得工业产品生产许可证的产品或未经强制性认证的产品</w:t>
            </w:r>
          </w:p>
        </w:tc>
        <w:tc>
          <w:tcPr>
            <w:tcW w:w="1478" w:type="dxa"/>
            <w:tcBorders>
              <w:top w:val="single" w:color="auto" w:sz="4" w:space="0"/>
              <w:left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货值金额超过</w:t>
            </w:r>
          </w:p>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2000元不足1万元，及时改正，没有造成其他危害后果的</w:t>
            </w:r>
          </w:p>
        </w:tc>
        <w:tc>
          <w:tcPr>
            <w:tcW w:w="1070"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没收违法所得，处30000元以下罚款</w:t>
            </w:r>
          </w:p>
        </w:tc>
        <w:tc>
          <w:tcPr>
            <w:tcW w:w="4037" w:type="dxa"/>
            <w:tcBorders>
              <w:top w:val="single" w:color="auto" w:sz="4" w:space="0"/>
              <w:left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《工业产品生产许可证管理条例》第四十八条销售或者在经营</w:t>
            </w:r>
            <w:r>
              <w:rPr>
                <w:rFonts w:hint="eastAsia" w:ascii="仿宋_GB2312" w:hAnsi="仿宋_GB2312" w:eastAsia="仿宋_GB2312" w:cs="仿宋_GB2312"/>
                <w:color w:val="0C0C0C" w:themeColor="text1" w:themeTint="F2"/>
                <w:sz w:val="24"/>
                <w:szCs w:val="24"/>
                <w:lang w:val="en-US" w:eastAsia="zh-CN"/>
              </w:rPr>
              <w:t>活</w:t>
            </w:r>
            <w:r>
              <w:rPr>
                <w:rFonts w:hint="eastAsia" w:ascii="仿宋_GB2312" w:hAnsi="仿宋_GB2312" w:eastAsia="仿宋_GB2312" w:cs="仿宋_GB2312"/>
                <w:color w:val="0C0C0C" w:themeColor="text1" w:themeTint="F2"/>
                <w:sz w:val="24"/>
                <w:szCs w:val="24"/>
              </w:rPr>
              <w:t>动中使用未取得生产许可证的列入目录产品的，责令改正，处5万元以上20万元以下的罚款；有违法所得的，没收违法所得；构成犯罪的,依法追究刑事责任。</w:t>
            </w:r>
          </w:p>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《认证认可条例》第六十七条列入目录的产品未经认证，擅自出厂、销售、进口或者在其他经营活动中使用的，责令改正，处5万元以上20万元以下的罚款，有违法所得的没收违法所得。</w:t>
            </w:r>
          </w:p>
        </w:tc>
        <w:tc>
          <w:tcPr>
            <w:tcW w:w="730" w:type="dxa"/>
            <w:tcBorders>
              <w:top w:val="single" w:color="auto" w:sz="4" w:space="0"/>
              <w:left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lang w:eastAsia="zh-CN"/>
              </w:rPr>
            </w:pPr>
            <w:r>
              <w:rPr>
                <w:rFonts w:hint="eastAsia" w:ascii="仿宋_GB2312" w:hAnsi="仿宋_GB2312" w:eastAsia="仿宋_GB2312" w:cs="仿宋_GB2312"/>
                <w:color w:val="0C0C0C" w:themeColor="text1" w:themeTint="F2"/>
                <w:sz w:val="24"/>
                <w:szCs w:val="24"/>
                <w:lang w:eastAsia="zh-CN"/>
              </w:rPr>
              <w:t>淮滨县市场监督管理局</w:t>
            </w:r>
          </w:p>
        </w:tc>
      </w:tr>
      <w:tr>
        <w:tblPrEx>
          <w:tblCellMar>
            <w:top w:w="0" w:type="dxa"/>
            <w:left w:w="10" w:type="dxa"/>
            <w:bottom w:w="0" w:type="dxa"/>
            <w:right w:w="10" w:type="dxa"/>
          </w:tblCellMar>
        </w:tblPrEx>
        <w:trPr>
          <w:trHeight w:val="4335" w:hRule="exact"/>
          <w:jc w:val="center"/>
        </w:trPr>
        <w:tc>
          <w:tcPr>
            <w:tcW w:w="643"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24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lang w:val="zh-CN" w:eastAsia="zh-CN" w:bidi="zh-CN"/>
              </w:rPr>
              <w:t>9</w:t>
            </w:r>
          </w:p>
        </w:tc>
        <w:tc>
          <w:tcPr>
            <w:tcW w:w="1085"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未取得第三类医疗器械经营许可证销售第三类医疗器械的</w:t>
            </w:r>
          </w:p>
        </w:tc>
        <w:tc>
          <w:tcPr>
            <w:tcW w:w="1478"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货值金额不超过5000元，责令限期改正后及时改正</w:t>
            </w:r>
          </w:p>
        </w:tc>
        <w:tc>
          <w:tcPr>
            <w:tcW w:w="1070"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没收违法所得、违法经营的医疗器械，处1万元以上3万元以下罚款</w:t>
            </w:r>
          </w:p>
        </w:tc>
        <w:tc>
          <w:tcPr>
            <w:tcW w:w="4037"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医疗器械监督管理条例》第六十三条有下列情形之一的，由县级以上人民政府食品药品监督管理部门没收违法所得、违法生产经营的医疗器械和用于违法生产经营的工具、设备、原材料等物品；违法生产经营的医疗器械货值金额不足1万元的，并处5万元以上10万元以下罚款；货值金额1万元以上的,并处货值金额10倍以上20倍以下罚款情节严重的，5年内不受理相关责任人及企业提出的医疗器械许可申请：（三）未经许可从事第三类医疗器械经营活动的。</w:t>
            </w:r>
          </w:p>
        </w:tc>
        <w:tc>
          <w:tcPr>
            <w:tcW w:w="73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lang w:eastAsia="zh-CN"/>
              </w:rPr>
              <w:t>淮滨县市场监督管理局</w:t>
            </w:r>
          </w:p>
        </w:tc>
      </w:tr>
      <w:tr>
        <w:tblPrEx>
          <w:tblCellMar>
            <w:top w:w="0" w:type="dxa"/>
            <w:left w:w="10" w:type="dxa"/>
            <w:bottom w:w="0" w:type="dxa"/>
            <w:right w:w="10" w:type="dxa"/>
          </w:tblCellMar>
        </w:tblPrEx>
        <w:trPr>
          <w:trHeight w:val="2481" w:hRule="exact"/>
          <w:jc w:val="center"/>
        </w:trPr>
        <w:tc>
          <w:tcPr>
            <w:tcW w:w="643" w:type="dxa"/>
            <w:tcBorders>
              <w:top w:val="single" w:color="auto" w:sz="4" w:space="0"/>
              <w:left w:val="single" w:color="auto" w:sz="4" w:space="0"/>
              <w:bottom w:val="single" w:color="auto" w:sz="4" w:space="0"/>
            </w:tcBorders>
            <w:shd w:val="clear" w:color="auto" w:fill="FFFFFF"/>
            <w:vAlign w:val="center"/>
          </w:tcPr>
          <w:p>
            <w:pPr>
              <w:spacing w:line="320" w:lineRule="exact"/>
              <w:rPr>
                <w:rFonts w:ascii="仿宋_GB2312" w:hAnsi="仿宋_GB2312" w:eastAsia="仿宋_GB2312" w:cs="仿宋_GB2312"/>
                <w:color w:val="0C0C0C" w:themeColor="text1" w:themeTint="F2"/>
              </w:rPr>
            </w:pPr>
            <w:r>
              <w:rPr>
                <w:rFonts w:hint="eastAsia" w:ascii="仿宋_GB2312" w:hAnsi="仿宋_GB2312" w:eastAsia="仿宋_GB2312" w:cs="仿宋_GB2312"/>
                <w:color w:val="0C0C0C" w:themeColor="text1" w:themeTint="F2"/>
                <w:lang w:eastAsia="zh-CN"/>
              </w:rPr>
              <w:br w:type="page"/>
            </w:r>
            <w:r>
              <w:rPr>
                <w:rFonts w:hint="eastAsia" w:ascii="仿宋_GB2312" w:hAnsi="仿宋_GB2312" w:eastAsia="仿宋_GB2312" w:cs="仿宋_GB2312"/>
                <w:color w:val="0C0C0C" w:themeColor="text1" w:themeTint="F2"/>
                <w:lang w:val="zh-CN" w:eastAsia="zh-CN" w:bidi="zh-CN"/>
              </w:rPr>
              <w:t>10</w:t>
            </w:r>
          </w:p>
        </w:tc>
        <w:tc>
          <w:tcPr>
            <w:tcW w:w="1085"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销售者销售掺杂、掺假、以假充真、</w:t>
            </w:r>
          </w:p>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以次充好的产品</w:t>
            </w:r>
          </w:p>
        </w:tc>
        <w:tc>
          <w:tcPr>
            <w:tcW w:w="1478"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jc w:val="both"/>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违法情节轻微,有充分证据证明其不知道该产品为禁止销售的产品并如实说明其进货来源的</w:t>
            </w:r>
          </w:p>
        </w:tc>
        <w:tc>
          <w:tcPr>
            <w:tcW w:w="1070"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以违法行为具体情况减轻处罚</w:t>
            </w:r>
          </w:p>
        </w:tc>
        <w:tc>
          <w:tcPr>
            <w:tcW w:w="4037" w:type="dxa"/>
            <w:tcBorders>
              <w:top w:val="single" w:color="auto" w:sz="4" w:space="0"/>
              <w:left w:val="single" w:color="auto" w:sz="4" w:space="0"/>
              <w:bottom w:val="single" w:color="auto" w:sz="4" w:space="0"/>
            </w:tcBorders>
            <w:shd w:val="clear" w:color="auto" w:fill="FFFFFF"/>
            <w:vAlign w:val="center"/>
          </w:tcPr>
          <w:p>
            <w:pPr>
              <w:pStyle w:val="23"/>
              <w:spacing w:line="320" w:lineRule="exact"/>
              <w:ind w:firstLine="0"/>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rPr>
              <w:t>《中华人民共和国产品质量法》第五十五条销售者销售本法第四十九条至五十三条规定销售的产品,有充分证据证明其不知道该产品为禁止销售的产品并如实说明其进货来源的，可以从轻或减轻</w:t>
            </w:r>
            <w:bookmarkStart w:id="6" w:name="_GoBack"/>
            <w:bookmarkEnd w:id="6"/>
            <w:r>
              <w:rPr>
                <w:rFonts w:hint="eastAsia" w:ascii="仿宋_GB2312" w:hAnsi="仿宋_GB2312" w:eastAsia="仿宋_GB2312" w:cs="仿宋_GB2312"/>
                <w:color w:val="0C0C0C" w:themeColor="text1" w:themeTint="F2"/>
                <w:sz w:val="24"/>
                <w:szCs w:val="24"/>
              </w:rPr>
              <w:t>处罚。</w:t>
            </w:r>
          </w:p>
        </w:tc>
        <w:tc>
          <w:tcPr>
            <w:tcW w:w="73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3"/>
              <w:spacing w:line="320" w:lineRule="exact"/>
              <w:ind w:firstLine="0"/>
              <w:jc w:val="center"/>
              <w:rPr>
                <w:rFonts w:ascii="仿宋_GB2312" w:hAnsi="仿宋_GB2312" w:eastAsia="仿宋_GB2312" w:cs="仿宋_GB2312"/>
                <w:color w:val="0C0C0C" w:themeColor="text1" w:themeTint="F2"/>
                <w:sz w:val="24"/>
                <w:szCs w:val="24"/>
              </w:rPr>
            </w:pPr>
            <w:r>
              <w:rPr>
                <w:rFonts w:hint="eastAsia" w:ascii="仿宋_GB2312" w:hAnsi="仿宋_GB2312" w:eastAsia="仿宋_GB2312" w:cs="仿宋_GB2312"/>
                <w:color w:val="0C0C0C" w:themeColor="text1" w:themeTint="F2"/>
                <w:sz w:val="24"/>
                <w:szCs w:val="24"/>
                <w:lang w:eastAsia="zh-CN"/>
              </w:rPr>
              <w:t>淮滨县市场监督管理局</w:t>
            </w:r>
          </w:p>
        </w:tc>
      </w:tr>
    </w:tbl>
    <w:p>
      <w:pPr>
        <w:spacing w:line="320" w:lineRule="exact"/>
        <w:rPr>
          <w:rFonts w:ascii="仿宋_GB2312" w:hAnsi="仿宋_GB2312" w:eastAsia="仿宋_GB2312" w:cs="仿宋_GB2312"/>
          <w:color w:val="0C0C0C" w:themeColor="text1" w:themeTint="F2"/>
          <w:lang w:eastAsia="zh-CN"/>
        </w:rPr>
        <w:sectPr>
          <w:footerReference r:id="rId7" w:type="default"/>
          <w:footerReference r:id="rId8" w:type="even"/>
          <w:pgSz w:w="11900" w:h="16840"/>
          <w:pgMar w:top="2098" w:right="1474" w:bottom="1984" w:left="1587" w:header="0" w:footer="6" w:gutter="0"/>
          <w:cols w:space="0" w:num="1"/>
          <w:titlePg/>
          <w:docGrid w:linePitch="360" w:charSpace="0"/>
        </w:sectPr>
      </w:pPr>
    </w:p>
    <w:p>
      <w:pPr>
        <w:pStyle w:val="21"/>
        <w:keepNext/>
        <w:keepLines/>
        <w:spacing w:line="320" w:lineRule="exact"/>
        <w:jc w:val="left"/>
        <w:rPr>
          <w:rFonts w:ascii="仿宋_GB2312" w:hAnsi="仿宋_GB2312" w:eastAsia="仿宋_GB2312" w:cs="仿宋_GB2312"/>
          <w:color w:val="0C0C0C" w:themeColor="text1" w:themeTint="F2"/>
          <w:sz w:val="28"/>
          <w:szCs w:val="28"/>
          <w:lang w:eastAsia="zh-CN"/>
        </w:rPr>
      </w:pPr>
    </w:p>
    <w:sectPr>
      <w:footerReference r:id="rId11" w:type="first"/>
      <w:footerReference r:id="rId9" w:type="default"/>
      <w:footerReference r:id="rId10" w:type="even"/>
      <w:pgSz w:w="11900" w:h="16840"/>
      <w:pgMar w:top="2098" w:right="1474" w:bottom="1984" w:left="1587" w:header="0" w:footer="6" w:gutter="0"/>
      <w:cols w:space="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2"/>
  </w:compat>
  <w:rsids>
    <w:rsidRoot w:val="00A87E6E"/>
    <w:rsid w:val="000355FA"/>
    <w:rsid w:val="001A60AA"/>
    <w:rsid w:val="004F1852"/>
    <w:rsid w:val="009229ED"/>
    <w:rsid w:val="00A87E6E"/>
    <w:rsid w:val="00F22F05"/>
    <w:rsid w:val="013963E0"/>
    <w:rsid w:val="241B5001"/>
    <w:rsid w:val="28302D89"/>
    <w:rsid w:val="30E04419"/>
    <w:rsid w:val="3BD074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character" w:customStyle="1" w:styleId="6">
    <w:name w:val="Body text|4_"/>
    <w:basedOn w:val="5"/>
    <w:link w:val="7"/>
    <w:qFormat/>
    <w:uiPriority w:val="0"/>
    <w:rPr>
      <w:rFonts w:ascii="宋体" w:hAnsi="宋体" w:eastAsia="宋体" w:cs="宋体"/>
      <w:sz w:val="20"/>
      <w:szCs w:val="20"/>
      <w:u w:val="none"/>
      <w:shd w:val="clear" w:color="auto" w:fill="auto"/>
      <w:lang w:val="zh-CN"/>
    </w:rPr>
  </w:style>
  <w:style w:type="paragraph" w:customStyle="1" w:styleId="7">
    <w:name w:val="Body text|4"/>
    <w:basedOn w:val="1"/>
    <w:link w:val="6"/>
    <w:qFormat/>
    <w:uiPriority w:val="0"/>
    <w:rPr>
      <w:rFonts w:ascii="宋体" w:hAnsi="宋体" w:eastAsia="宋体" w:cs="宋体"/>
      <w:sz w:val="20"/>
      <w:szCs w:val="20"/>
      <w:lang w:val="zh-CN"/>
    </w:rPr>
  </w:style>
  <w:style w:type="character" w:customStyle="1" w:styleId="8">
    <w:name w:val="Heading #1|1_"/>
    <w:basedOn w:val="5"/>
    <w:link w:val="9"/>
    <w:qFormat/>
    <w:uiPriority w:val="0"/>
    <w:rPr>
      <w:sz w:val="42"/>
      <w:szCs w:val="42"/>
      <w:u w:val="none"/>
      <w:shd w:val="clear" w:color="auto" w:fill="FFFFFF"/>
    </w:rPr>
  </w:style>
  <w:style w:type="paragraph" w:customStyle="1" w:styleId="9">
    <w:name w:val="Heading #1|1"/>
    <w:basedOn w:val="1"/>
    <w:link w:val="8"/>
    <w:qFormat/>
    <w:uiPriority w:val="0"/>
    <w:pPr>
      <w:outlineLvl w:val="0"/>
    </w:pPr>
    <w:rPr>
      <w:sz w:val="42"/>
      <w:szCs w:val="42"/>
      <w:shd w:val="clear" w:color="auto" w:fill="FFFFFF"/>
    </w:rPr>
  </w:style>
  <w:style w:type="character" w:customStyle="1" w:styleId="10">
    <w:name w:val="Header or footer|2_"/>
    <w:basedOn w:val="5"/>
    <w:link w:val="11"/>
    <w:qFormat/>
    <w:uiPriority w:val="0"/>
    <w:rPr>
      <w:sz w:val="20"/>
      <w:szCs w:val="20"/>
      <w:u w:val="none"/>
      <w:shd w:val="clear" w:color="auto" w:fill="auto"/>
      <w:lang w:val="zh-TW" w:eastAsia="zh-TW" w:bidi="zh-TW"/>
    </w:rPr>
  </w:style>
  <w:style w:type="paragraph" w:customStyle="1" w:styleId="11">
    <w:name w:val="Header or footer|2"/>
    <w:basedOn w:val="1"/>
    <w:link w:val="10"/>
    <w:qFormat/>
    <w:uiPriority w:val="0"/>
    <w:rPr>
      <w:sz w:val="20"/>
      <w:szCs w:val="20"/>
      <w:lang w:val="zh-TW" w:eastAsia="zh-TW" w:bidi="zh-TW"/>
    </w:rPr>
  </w:style>
  <w:style w:type="character" w:customStyle="1" w:styleId="12">
    <w:name w:val="Body text|1_"/>
    <w:basedOn w:val="5"/>
    <w:link w:val="13"/>
    <w:qFormat/>
    <w:uiPriority w:val="0"/>
    <w:rPr>
      <w:rFonts w:ascii="宋体" w:hAnsi="宋体" w:eastAsia="宋体" w:cs="宋体"/>
      <w:sz w:val="28"/>
      <w:szCs w:val="28"/>
      <w:u w:val="none"/>
      <w:shd w:val="clear" w:color="auto" w:fill="auto"/>
      <w:lang w:val="zh-TW" w:eastAsia="zh-TW" w:bidi="zh-TW"/>
    </w:rPr>
  </w:style>
  <w:style w:type="paragraph" w:customStyle="1" w:styleId="13">
    <w:name w:val="Body text|1"/>
    <w:basedOn w:val="1"/>
    <w:link w:val="12"/>
    <w:qFormat/>
    <w:uiPriority w:val="0"/>
    <w:pPr>
      <w:spacing w:line="422" w:lineRule="auto"/>
      <w:ind w:firstLine="400"/>
    </w:pPr>
    <w:rPr>
      <w:rFonts w:ascii="宋体" w:hAnsi="宋体" w:eastAsia="宋体" w:cs="宋体"/>
      <w:sz w:val="28"/>
      <w:szCs w:val="28"/>
      <w:lang w:val="zh-TW" w:eastAsia="zh-TW" w:bidi="zh-TW"/>
    </w:rPr>
  </w:style>
  <w:style w:type="character" w:customStyle="1" w:styleId="14">
    <w:name w:val="Heading #2|1_"/>
    <w:basedOn w:val="5"/>
    <w:link w:val="15"/>
    <w:qFormat/>
    <w:uiPriority w:val="0"/>
    <w:rPr>
      <w:rFonts w:ascii="宋体" w:hAnsi="宋体" w:eastAsia="宋体" w:cs="宋体"/>
      <w:sz w:val="44"/>
      <w:szCs w:val="44"/>
      <w:u w:val="none"/>
      <w:shd w:val="clear" w:color="auto" w:fill="auto"/>
      <w:lang w:val="zh-TW" w:eastAsia="zh-TW" w:bidi="zh-TW"/>
    </w:rPr>
  </w:style>
  <w:style w:type="paragraph" w:customStyle="1" w:styleId="15">
    <w:name w:val="Heading #2|1"/>
    <w:basedOn w:val="1"/>
    <w:link w:val="14"/>
    <w:qFormat/>
    <w:uiPriority w:val="0"/>
    <w:pPr>
      <w:spacing w:after="250"/>
      <w:jc w:val="center"/>
      <w:outlineLvl w:val="1"/>
    </w:pPr>
    <w:rPr>
      <w:rFonts w:ascii="宋体" w:hAnsi="宋体" w:eastAsia="宋体" w:cs="宋体"/>
      <w:sz w:val="44"/>
      <w:szCs w:val="44"/>
      <w:lang w:val="zh-TW" w:eastAsia="zh-TW" w:bidi="zh-TW"/>
    </w:rPr>
  </w:style>
  <w:style w:type="character" w:customStyle="1" w:styleId="16">
    <w:name w:val="Body text|2_"/>
    <w:basedOn w:val="5"/>
    <w:link w:val="17"/>
    <w:qFormat/>
    <w:uiPriority w:val="0"/>
    <w:rPr>
      <w:rFonts w:ascii="宋体" w:hAnsi="宋体" w:eastAsia="宋体" w:cs="宋体"/>
      <w:sz w:val="32"/>
      <w:szCs w:val="32"/>
      <w:u w:val="none"/>
      <w:shd w:val="clear" w:color="auto" w:fill="auto"/>
      <w:lang w:val="zh-TW" w:eastAsia="zh-TW" w:bidi="zh-TW"/>
    </w:rPr>
  </w:style>
  <w:style w:type="paragraph" w:customStyle="1" w:styleId="17">
    <w:name w:val="Body text|2"/>
    <w:basedOn w:val="1"/>
    <w:link w:val="16"/>
    <w:qFormat/>
    <w:uiPriority w:val="0"/>
    <w:pPr>
      <w:spacing w:line="563" w:lineRule="exact"/>
      <w:ind w:firstLine="650"/>
    </w:pPr>
    <w:rPr>
      <w:rFonts w:ascii="宋体" w:hAnsi="宋体" w:eastAsia="宋体" w:cs="宋体"/>
      <w:sz w:val="32"/>
      <w:szCs w:val="32"/>
      <w:lang w:val="zh-TW" w:eastAsia="zh-TW" w:bidi="zh-TW"/>
    </w:rPr>
  </w:style>
  <w:style w:type="character" w:customStyle="1" w:styleId="18">
    <w:name w:val="Header or footer|1_"/>
    <w:basedOn w:val="5"/>
    <w:link w:val="19"/>
    <w:qFormat/>
    <w:uiPriority w:val="0"/>
    <w:rPr>
      <w:sz w:val="28"/>
      <w:szCs w:val="28"/>
      <w:u w:val="none"/>
      <w:shd w:val="clear" w:color="auto" w:fill="auto"/>
      <w:lang w:val="zh-CN" w:eastAsia="zh-CN" w:bidi="zh-CN"/>
    </w:rPr>
  </w:style>
  <w:style w:type="paragraph" w:customStyle="1" w:styleId="19">
    <w:name w:val="Header or footer|1"/>
    <w:basedOn w:val="1"/>
    <w:link w:val="18"/>
    <w:qFormat/>
    <w:uiPriority w:val="0"/>
    <w:rPr>
      <w:sz w:val="28"/>
      <w:szCs w:val="28"/>
      <w:lang w:val="zh-CN" w:eastAsia="zh-CN" w:bidi="zh-CN"/>
    </w:rPr>
  </w:style>
  <w:style w:type="character" w:customStyle="1" w:styleId="20">
    <w:name w:val="Heading #3|1_"/>
    <w:basedOn w:val="5"/>
    <w:link w:val="21"/>
    <w:qFormat/>
    <w:uiPriority w:val="0"/>
    <w:rPr>
      <w:rFonts w:ascii="宋体" w:hAnsi="宋体" w:eastAsia="宋体" w:cs="宋体"/>
      <w:sz w:val="36"/>
      <w:szCs w:val="36"/>
      <w:u w:val="none"/>
      <w:shd w:val="clear" w:color="auto" w:fill="auto"/>
      <w:lang w:val="zh-TW" w:eastAsia="zh-TW" w:bidi="zh-TW"/>
    </w:rPr>
  </w:style>
  <w:style w:type="paragraph" w:customStyle="1" w:styleId="21">
    <w:name w:val="Heading #3|1"/>
    <w:basedOn w:val="1"/>
    <w:link w:val="20"/>
    <w:qFormat/>
    <w:uiPriority w:val="0"/>
    <w:pPr>
      <w:spacing w:line="422" w:lineRule="exact"/>
      <w:jc w:val="center"/>
      <w:outlineLvl w:val="2"/>
    </w:pPr>
    <w:rPr>
      <w:rFonts w:ascii="宋体" w:hAnsi="宋体" w:eastAsia="宋体" w:cs="宋体"/>
      <w:sz w:val="36"/>
      <w:szCs w:val="36"/>
      <w:lang w:val="zh-TW" w:eastAsia="zh-TW" w:bidi="zh-TW"/>
    </w:rPr>
  </w:style>
  <w:style w:type="character" w:customStyle="1" w:styleId="22">
    <w:name w:val="Other|1_"/>
    <w:basedOn w:val="5"/>
    <w:link w:val="23"/>
    <w:qFormat/>
    <w:uiPriority w:val="0"/>
    <w:rPr>
      <w:rFonts w:ascii="宋体" w:hAnsi="宋体" w:eastAsia="宋体" w:cs="宋体"/>
      <w:sz w:val="28"/>
      <w:szCs w:val="28"/>
      <w:u w:val="none"/>
      <w:shd w:val="clear" w:color="auto" w:fill="auto"/>
      <w:lang w:val="zh-TW" w:eastAsia="zh-TW" w:bidi="zh-TW"/>
    </w:rPr>
  </w:style>
  <w:style w:type="paragraph" w:customStyle="1" w:styleId="23">
    <w:name w:val="Other|1"/>
    <w:basedOn w:val="1"/>
    <w:link w:val="22"/>
    <w:qFormat/>
    <w:uiPriority w:val="0"/>
    <w:pPr>
      <w:spacing w:line="422" w:lineRule="auto"/>
      <w:ind w:firstLine="400"/>
    </w:pPr>
    <w:rPr>
      <w:rFonts w:ascii="宋体" w:hAnsi="宋体" w:eastAsia="宋体" w:cs="宋体"/>
      <w:sz w:val="28"/>
      <w:szCs w:val="28"/>
      <w:lang w:val="zh-TW" w:eastAsia="zh-TW" w:bidi="zh-TW"/>
    </w:rPr>
  </w:style>
  <w:style w:type="character" w:customStyle="1" w:styleId="24">
    <w:name w:val="Heading #4|1_"/>
    <w:basedOn w:val="5"/>
    <w:link w:val="25"/>
    <w:qFormat/>
    <w:uiPriority w:val="0"/>
    <w:rPr>
      <w:sz w:val="28"/>
      <w:szCs w:val="28"/>
      <w:u w:val="none"/>
      <w:shd w:val="clear" w:color="auto" w:fill="auto"/>
      <w:lang w:val="zh-TW" w:eastAsia="zh-TW" w:bidi="zh-TW"/>
    </w:rPr>
  </w:style>
  <w:style w:type="paragraph" w:customStyle="1" w:styleId="25">
    <w:name w:val="Heading #4|1"/>
    <w:basedOn w:val="1"/>
    <w:link w:val="24"/>
    <w:qFormat/>
    <w:uiPriority w:val="0"/>
    <w:pPr>
      <w:ind w:hanging="1140"/>
      <w:outlineLvl w:val="3"/>
    </w:pPr>
    <w:rPr>
      <w:sz w:val="28"/>
      <w:szCs w:val="28"/>
      <w:lang w:val="zh-TW" w:eastAsia="zh-TW" w:bidi="zh-TW"/>
    </w:rPr>
  </w:style>
  <w:style w:type="character" w:customStyle="1" w:styleId="26">
    <w:name w:val="Body text|3_"/>
    <w:basedOn w:val="5"/>
    <w:link w:val="27"/>
    <w:qFormat/>
    <w:uiPriority w:val="0"/>
    <w:rPr>
      <w:sz w:val="30"/>
      <w:szCs w:val="30"/>
      <w:u w:val="none"/>
      <w:shd w:val="clear" w:color="auto" w:fill="auto"/>
      <w:lang w:val="zh-TW" w:eastAsia="zh-TW" w:bidi="zh-TW"/>
    </w:rPr>
  </w:style>
  <w:style w:type="paragraph" w:customStyle="1" w:styleId="27">
    <w:name w:val="Body text|3"/>
    <w:basedOn w:val="1"/>
    <w:link w:val="26"/>
    <w:qFormat/>
    <w:uiPriority w:val="0"/>
    <w:rPr>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344</Words>
  <Characters>1966</Characters>
  <Lines>16</Lines>
  <Paragraphs>4</Paragraphs>
  <TotalTime>110</TotalTime>
  <ScaleCrop>false</ScaleCrop>
  <LinksUpToDate>false</LinksUpToDate>
  <CharactersWithSpaces>2306</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2021-12-27T06:06:00Z</dcterms:created>
  <dc:creator>Administrator</dc:creator>
  <cp:lastModifiedBy>三叶草</cp:lastModifiedBy>
  <cp:lastPrinted>2021-12-29T01:02:00Z</cp:lastPrinted>
  <dcterms:modified xsi:type="dcterms:W3CDTF">2021-12-29T10:16:23Z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F09F9238E9134CB59457178D857680CA</vt:lpwstr>
  </property>
</Properties>
</file>