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bdr w:val="none" w:color="auto" w:sz="0" w:space="0"/>
        </w:rPr>
        <w:t>审计局2021年政府信息公开工作年度报告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b/>
          <w:sz w:val="24"/>
          <w:szCs w:val="24"/>
        </w:rPr>
      </w:pPr>
      <w:r>
        <w:rPr>
          <w:b/>
          <w:i w:val="0"/>
          <w:caps w:val="0"/>
          <w:color w:val="000000"/>
          <w:spacing w:val="0"/>
          <w:sz w:val="24"/>
          <w:szCs w:val="24"/>
          <w:bdr w:val="none" w:color="auto" w:sz="0" w:space="0"/>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firstLineChars="200"/>
      </w:pPr>
      <w:r>
        <w:rPr>
          <w:rFonts w:hint="default" w:ascii="Helvetica" w:hAnsi="Helvetica" w:eastAsia="Helvetica" w:cs="Helvetica"/>
          <w:i w:val="0"/>
          <w:caps w:val="0"/>
          <w:color w:val="000000"/>
          <w:spacing w:val="0"/>
          <w:sz w:val="24"/>
          <w:szCs w:val="24"/>
          <w:bdr w:val="none" w:color="auto" w:sz="0" w:space="0"/>
        </w:rPr>
        <w:t>根据《中华人民共和国政府信息公开条例》要求，我局成立了由局长担任组长、分管领导为副组长、各股室长为成员的淮滨县审计局政务公开和政府信息公开工作领导小组，配备了1名兼职工作人员。截至2021年底，我局政府信息公开工作运行正常，政府信息公开咨询、申请以及答复工作均顺利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一）政府信息公开工作组织领导不断加强。我局高度重视政府信息公开工作，年初，结合人员岗位变动和工作实际，及时调整充实了政府信息公开工作领导小组成员和工作人员，严格实行“一把手”负总责、办公室负专责、相关股室各负其责的责任制，形成“领导亲自抓、办公室具体管、相关股室配合做”的工作机制，政府信息公开工作的各项任务落到了实处。把政府信息公开工作列入日常工作，纳入股室年度考核目标，定期对相关人员进行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二）政府信息公开工作机制不断健全。坚持以制度建设推动政府信息公开工作深入发展，以完善工作机制确保各项工作取得实效。根据工作中遇到的实际情况和问题，进一步修订完善了《审计局政府信息公开指南》和《审计局局政府信息公开工作方案》，并建立了一系列配套管理制度。从建立健全政府信息发布、协调、保密审查机制、规范依申请公开流程上对我局的政务公开工作提出了明确要求。分管领导坚持每季度听取一次政府信息公开工作情况汇报，及时解决工作中遇到的困难和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三）政府信息公开重点内容不断推向深入。我们按照《中华人民共和国政府信息公开条例》的要求和其他相关规定，定期对我局的各类信息进行梳理，划分类别，修订完善《信息公开指南》、《信息公开目录》，及时更新公开的内容，编制、上报并及时对外发布政府信息公开工作年度报告。同时，结合部门实际，坚持立足日常业务工作推进政府信息公开，以政府信息公开推进日常业务工作，把政府信息公开工作与规范化服务型政府建设、综合改革新机制建设、民主评议行风建设等有机结合。开通阳光服务热线，以信息公开带动“阳光管理”，以民主评议推动“阳光服务”，以社会监督保障“阳光维权”，做到经常性工作定期公开、阶段性工作逐段公开、临时性工作随时公开，积极优化便民服务，确保信息公开工作稳步向前推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（四）政府信息公开渠道不断拓宽。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拓展政府信息公开渠道。利用信息化手段拓展信息公开形式，丰富公开渠道，以现代方法和传统方法相结合，突出显现政府网站在政府信息公开中的重要地位，采用上网、上墙、上广播电视等多种方式，对重大决策和与社会公众密切相关的重要事项做到及时向社会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一）主要问题。一是政府信息公开的渠道和形式需进一步深化。需建立更多的便于公众查阅、了解的渠道和形式。二是政府信息公开工作需要进一步规范，主要反映在公开的内容以及应公开和及时公开上存在一些问题，信息公开的数量、质量以及时效性不足。三是监督管理工作需进一步加强。虽然已建立了一系列规范管理政府信息公开工作制度，未能取得实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二）整改措施。一是进一步建立和创新政府信息公开的渠道和形式。要结合本单位实际、结合信息公开的内容要求，积极创造条件，逐步建立更多的便于公众查询和了解的渠道和形式，切实提高信息公开实效。二是加强宣传、引导和培训工作。要进一步加强国务院《条例》等规章制度的宣传工作，加强对从事信息公开工作业务人员的培训，切实提高业务素质，将政府信息公开工作纳入规范化轨道。三是进一步建章立制，在开展政府信息公开工作监管上加大力度，制定更加完善的配套管理制度，并加强监督、检查和评议工作，把管理制度落到实处、抓出实效，努力形成政府信息公开常态化工作机制，促进信息公开工作规范有序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334C1"/>
    <w:rsid w:val="1F733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2022-02-17T02:01:00Z</dcterms:created>
  <dc:creator>一米阳光几度温暖</dc:creator>
  <cp:lastModifiedBy>一米阳光几度温暖</cp:lastModifiedBy>
  <dcterms:modified xsi:type="dcterms:W3CDTF">2022-02-17T02:02:13Z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