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ind w:left="0" w:right="0"/>
        <w:jc w:val="center"/>
      </w:pPr>
      <w:r>
        <w:rPr>
          <w:bdr w:val="none" w:color="auto" w:sz="0" w:space="0"/>
        </w:rPr>
        <w:t>统计局2021年政府信息公开工作年度报告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ind w:left="0" w:right="0"/>
      </w:pPr>
      <w:r>
        <w:rPr>
          <w:b/>
          <w:sz w:val="24"/>
          <w:szCs w:val="24"/>
          <w:bdr w:val="none" w:color="auto" w:sz="0" w:space="0"/>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sz w:val="24"/>
          <w:szCs w:val="24"/>
          <w:bdr w:val="none" w:color="auto" w:sz="0" w:space="0"/>
        </w:rPr>
        <w:t>      2021年，淮滨县统计局坚决贯彻落实各级党委、政府对信息公开的各项工作要求，不断加强对政府信息公开工作的支持和管理，安排专人负责信息公开工作，强化政务公开工作力度，细化公开工作任务，遵循部门职能，聚焦公众关注点，以信息化、制度化、规范化为手段，全面开展政府信息公开工作，努力做好统计信息公开工作。县统计局及时在淮滨县政府信息公开网站中公开组织机构、部门文件、办事指南、工作动态、其他等统计信息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rPr>
          <w:rFonts w:hint="default" w:ascii="Helvetica" w:hAnsi="Helvetica" w:eastAsia="Helvetica" w:cs="Helvetica"/>
          <w:b/>
          <w:i w:val="0"/>
          <w:caps w:val="0"/>
          <w:color w:val="000000"/>
          <w:spacing w:val="0"/>
          <w:sz w:val="24"/>
          <w:szCs w:val="24"/>
        </w:rPr>
      </w:pPr>
      <w:r>
        <w:rPr>
          <w:rFonts w:hint="default" w:ascii="Helvetica" w:hAnsi="Helvetica" w:eastAsia="Helvetica" w:cs="Helvetica"/>
          <w:b/>
          <w:i w:val="0"/>
          <w:caps w:val="0"/>
          <w:color w:val="000000"/>
          <w:spacing w:val="0"/>
          <w:sz w:val="24"/>
          <w:szCs w:val="24"/>
        </w:rPr>
        <w:t>二、主动公开政府信息情况</w:t>
      </w:r>
    </w:p>
    <w:tbl>
      <w:tblPr>
        <w:tblStyle w:val="5"/>
        <w:tblW w:w="9770" w:type="dxa"/>
        <w:tblInd w:w="-533"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64"/>
        <w:gridCol w:w="2391"/>
        <w:gridCol w:w="3120"/>
        <w:gridCol w:w="259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第二十条第（一）项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本年制发件数</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本年废止件数</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现行有效件数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规章</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行政规范性文件</w:t>
            </w:r>
          </w:p>
        </w:tc>
        <w:tc>
          <w:tcPr>
            <w:tcW w:w="2391"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312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c>
          <w:tcPr>
            <w:tcW w:w="259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第二十条第（五）项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行政许可</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第二十条第（六）项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本年处理决定数量</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行政处罚</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行政强制</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9770" w:type="dxa"/>
            <w:gridSpan w:val="4"/>
            <w:tcBorders>
              <w:top w:val="nil"/>
              <w:left w:val="nil"/>
              <w:bottom w:val="single" w:color="000000" w:sz="6" w:space="0"/>
              <w:right w:val="single" w:color="000000" w:sz="6" w:space="0"/>
            </w:tcBorders>
            <w:shd w:val="clear" w:color="auto" w:fill="C9D9EF"/>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第二十条第（八）项</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信息内容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本年收费金额（单位：万元，保留4位小数）</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664"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行政事业性收费</w:t>
            </w:r>
          </w:p>
        </w:tc>
        <w:tc>
          <w:tcPr>
            <w:tcW w:w="8106"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eastAsia"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Helvetica" w:hAnsi="Helvetica" w:eastAsia="Helvetica" w:cs="Helvetica"/>
          <w:b/>
          <w:i w:val="0"/>
          <w:caps w:val="0"/>
          <w:color w:val="000000"/>
          <w:spacing w:val="0"/>
          <w:sz w:val="24"/>
          <w:szCs w:val="24"/>
          <w:lang w:val="en-US" w:eastAsia="zh-CN"/>
        </w:rPr>
      </w:pPr>
      <w:r>
        <w:rPr>
          <w:rFonts w:hint="default" w:ascii="Helvetica" w:hAnsi="Helvetica" w:eastAsia="Helvetica" w:cs="Helvetica"/>
          <w:b/>
          <w:i w:val="0"/>
          <w:caps w:val="0"/>
          <w:color w:val="000000"/>
          <w:spacing w:val="0"/>
          <w:sz w:val="24"/>
          <w:szCs w:val="24"/>
          <w:lang w:val="en-US" w:eastAsia="zh-CN"/>
        </w:rPr>
        <w:t>三、收到和处理政府信息公开申请情况</w:t>
      </w:r>
    </w:p>
    <w:tbl>
      <w:tblPr>
        <w:tblStyle w:val="5"/>
        <w:tblW w:w="9267" w:type="dxa"/>
        <w:tblInd w:w="0" w:type="dxa"/>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0"/>
        <w:gridCol w:w="1777"/>
        <w:gridCol w:w="1740"/>
        <w:gridCol w:w="405"/>
        <w:gridCol w:w="630"/>
        <w:gridCol w:w="690"/>
        <w:gridCol w:w="915"/>
        <w:gridCol w:w="570"/>
        <w:gridCol w:w="405"/>
        <w:gridCol w:w="585"/>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5067" w:type="dxa"/>
            <w:gridSpan w:val="3"/>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（本列数据的勾稽关系为：第一项加第二项之和，</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等于第三项加第四项之和）</w:t>
            </w:r>
          </w:p>
        </w:tc>
        <w:tc>
          <w:tcPr>
            <w:tcW w:w="4200" w:type="dxa"/>
            <w:gridSpan w:val="7"/>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申请人情况</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自然人</w:t>
            </w:r>
          </w:p>
        </w:tc>
        <w:tc>
          <w:tcPr>
            <w:tcW w:w="3210" w:type="dxa"/>
            <w:gridSpan w:val="5"/>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法人或其他组织</w:t>
            </w:r>
          </w:p>
        </w:tc>
        <w:tc>
          <w:tcPr>
            <w:tcW w:w="585"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总计</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40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商业</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企业</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科研</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机构</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社会公</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益组织</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法律服</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务机构</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其他</w:t>
            </w:r>
          </w:p>
        </w:tc>
        <w:tc>
          <w:tcPr>
            <w:tcW w:w="585"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一、本年新收政府信息公开申请数量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二、上年结转政府信息公开申请数量</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三、本年度办理结果</w:t>
            </w: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（一）予以公开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kern w:val="0"/>
                <w:sz w:val="21"/>
                <w:szCs w:val="21"/>
                <w:lang w:val="en-US" w:eastAsia="zh-CN" w:bidi="ar"/>
              </w:rPr>
            </w:pPr>
            <w:r>
              <w:rPr>
                <w:rFonts w:hint="default" w:ascii="Helvetica" w:hAnsi="Helvetica" w:eastAsia="Helvetica" w:cs="Helvetica"/>
                <w:b w:val="0"/>
                <w:i w:val="0"/>
                <w:caps w:val="0"/>
                <w:color w:val="000000"/>
                <w:spacing w:val="0"/>
                <w:kern w:val="0"/>
                <w:sz w:val="21"/>
                <w:szCs w:val="21"/>
                <w:lang w:val="en-US" w:eastAsia="zh-CN" w:bidi="ar"/>
              </w:rPr>
              <w:t>（二）部分公开（区分处理的，</w:t>
            </w:r>
          </w:p>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只计这一情形，不计其他情形）</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（三）不予公开</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1.属于国家秘密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2.其他法律行政法规禁止公开</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3.危及“三安全一稳定”</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4.保护第三方合法权益</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5.属于三类内部事务信息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6.属于四类过程性信息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7.属于行政执法案卷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lang w:val="en-US"/>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eastAsia" w:ascii="Helvetica" w:hAnsi="Helvetica" w:eastAsia="宋体" w:cs="Helvetica"/>
                <w:b w:val="0"/>
                <w:i w:val="0"/>
                <w:caps w:val="0"/>
                <w:color w:val="000000"/>
                <w:spacing w:val="0"/>
                <w:sz w:val="21"/>
                <w:szCs w:val="21"/>
                <w:lang w:val="en-US" w:eastAsia="zh-CN"/>
              </w:rPr>
            </w:pPr>
            <w:r>
              <w:rPr>
                <w:rFonts w:hint="eastAsia" w:ascii="Helvetica" w:hAnsi="Helvetica" w:eastAsia="宋体" w:cs="Helvetica"/>
                <w:b w:val="0"/>
                <w:i w:val="0"/>
                <w:caps w:val="0"/>
                <w:color w:val="000000"/>
                <w:spacing w:val="0"/>
                <w:sz w:val="21"/>
                <w:szCs w:val="21"/>
                <w:lang w:val="en-US" w:eastAsia="zh-CN"/>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8.属于行政查询事项</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（四）无法提供</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1.本机关不掌握相关政府信息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2.没有现成信息需要另行制作</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3.补正后申请内容仍不明确</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（五）不予处理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1.信访举报投诉类申请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3.要求提供公开出版物</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4.无正当理由大量反复申请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5.要求行政机关确认或重新出具已获取信息</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restart"/>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（六）其他处理</w:t>
            </w: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1.申请人无正当理由逾期不补正、行政机关不再处理其政府信息公开申请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2.申请人逾期未按收费通知要求缴纳费用、行政机关不再处理其政府信息公开申请</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77" w:type="dxa"/>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174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3.其他</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0" w:type="auto"/>
            <w:vMerge w:val="continue"/>
            <w:tcBorders>
              <w:top w:val="nil"/>
              <w:left w:val="nil"/>
              <w:bottom w:val="single" w:color="000000" w:sz="6" w:space="0"/>
              <w:right w:val="single" w:color="000000" w:sz="6" w:space="0"/>
            </w:tcBorders>
            <w:shd w:val="clear" w:color="auto" w:fill="auto"/>
            <w:vAlign w:val="center"/>
          </w:tcPr>
          <w:p>
            <w:pPr>
              <w:jc w:val="center"/>
              <w:rPr>
                <w:rFonts w:hint="default" w:ascii="Helvetica" w:hAnsi="Helvetica" w:eastAsia="Helvetica" w:cs="Helvetica"/>
                <w:b w:val="0"/>
                <w:i w:val="0"/>
                <w:caps w:val="0"/>
                <w:color w:val="000000"/>
                <w:spacing w:val="0"/>
                <w:sz w:val="21"/>
                <w:szCs w:val="21"/>
              </w:rPr>
            </w:pPr>
          </w:p>
        </w:tc>
        <w:tc>
          <w:tcPr>
            <w:tcW w:w="3517" w:type="dxa"/>
            <w:gridSpan w:val="2"/>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（七）总计</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eastAsia" w:ascii="Helvetica" w:hAnsi="Helvetica" w:eastAsia="Helvetica" w:cs="Helvetica"/>
                <w:b w:val="0"/>
                <w:i w:val="0"/>
                <w:caps w:val="0"/>
                <w:color w:val="000000"/>
                <w:spacing w:val="0"/>
                <w:kern w:val="0"/>
                <w:sz w:val="21"/>
                <w:szCs w:val="21"/>
                <w:lang w:val="en-US" w:eastAsia="zh-CN" w:bidi="ar"/>
              </w:rPr>
              <w:t>0</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5067" w:type="dxa"/>
            <w:gridSpan w:val="3"/>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四、结转下年度继续办理</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3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69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91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70"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40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c>
          <w:tcPr>
            <w:tcW w:w="585" w:type="dxa"/>
            <w:tcBorders>
              <w:top w:val="nil"/>
              <w:left w:val="nil"/>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line="27" w:lineRule="atLeast"/>
              <w:ind w:left="0" w:right="0" w:firstLine="0"/>
              <w:jc w:val="center"/>
              <w:rPr>
                <w:rFonts w:hint="default" w:ascii="Helvetica" w:hAnsi="Helvetica" w:eastAsia="Helvetica" w:cs="Helvetica"/>
                <w:b w:val="0"/>
                <w:i w:val="0"/>
                <w:caps w:val="0"/>
                <w:color w:val="000000"/>
                <w:spacing w:val="0"/>
                <w:sz w:val="21"/>
                <w:szCs w:val="21"/>
              </w:rPr>
            </w:pPr>
            <w:r>
              <w:rPr>
                <w:rFonts w:hint="default" w:ascii="Helvetica" w:hAnsi="Helvetica" w:eastAsia="Helvetica" w:cs="Helvetica"/>
                <w:b w:val="0"/>
                <w:i w:val="0"/>
                <w:caps w:val="0"/>
                <w:color w:val="000000"/>
                <w:spacing w:val="0"/>
                <w:kern w:val="0"/>
                <w:sz w:val="21"/>
                <w:szCs w:val="21"/>
                <w:lang w:val="en-US" w:eastAsia="zh-CN" w:bidi="ar"/>
              </w:rPr>
              <w:t>0</w:t>
            </w:r>
          </w:p>
        </w:tc>
      </w:tr>
    </w:tbl>
    <w:p>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0"/>
        <w:jc w:val="left"/>
        <w:rPr>
          <w:rFonts w:hint="default" w:ascii="黑体" w:hAnsi="黑体" w:eastAsia="黑体" w:cs="黑体"/>
          <w:b/>
          <w:i w:val="0"/>
          <w:caps w:val="0"/>
          <w:color w:val="000000"/>
          <w:spacing w:val="0"/>
          <w:kern w:val="2"/>
          <w:sz w:val="32"/>
          <w:szCs w:val="32"/>
          <w:lang w:val="en-US" w:eastAsia="zh-CN" w:bidi="ar-SA"/>
        </w:rPr>
      </w:pPr>
      <w:r>
        <w:rPr>
          <w:rFonts w:hint="default" w:ascii="Helvetica" w:hAnsi="Helvetica" w:eastAsia="Helvetica" w:cs="Helvetica"/>
          <w:b/>
          <w:i w:val="0"/>
          <w:caps w:val="0"/>
          <w:color w:val="000000"/>
          <w:spacing w:val="0"/>
          <w:sz w:val="24"/>
          <w:szCs w:val="24"/>
          <w:lang w:val="en-US" w:eastAsia="zh-CN"/>
        </w:rPr>
        <w:t>政府信息公开行政复议、行政诉讼情况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568"/>
        <w:gridCol w:w="568"/>
        <w:gridCol w:w="568"/>
        <w:gridCol w:w="568"/>
        <w:gridCol w:w="568"/>
        <w:gridCol w:w="568"/>
        <w:gridCol w:w="568"/>
        <w:gridCol w:w="568"/>
        <w:gridCol w:w="568"/>
        <w:gridCol w:w="568"/>
        <w:gridCol w:w="568"/>
        <w:gridCol w:w="569"/>
        <w:gridCol w:w="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5"/>
          </w:tcPr>
          <w:p>
            <w:pPr>
              <w:numPr>
                <w:ilvl w:val="0"/>
                <w:numId w:val="0"/>
              </w:numPr>
              <w:ind w:firstLine="516" w:firstLineChars="0"/>
              <w:rPr>
                <w:rFonts w:hint="eastAsia" w:eastAsiaTheme="minorEastAsia"/>
                <w:vertAlign w:val="baseline"/>
                <w:lang w:val="en-US" w:eastAsia="zh-CN"/>
              </w:rPr>
            </w:pPr>
            <w:r>
              <w:rPr>
                <w:rFonts w:hint="eastAsia"/>
                <w:vertAlign w:val="baseline"/>
                <w:lang w:val="en-US" w:eastAsia="zh-CN"/>
              </w:rPr>
              <w:t>行政复议</w:t>
            </w:r>
          </w:p>
        </w:tc>
        <w:tc>
          <w:tcPr>
            <w:tcW w:w="5682" w:type="dxa"/>
            <w:gridSpan w:val="10"/>
          </w:tcPr>
          <w:p>
            <w:pPr>
              <w:numPr>
                <w:ilvl w:val="0"/>
                <w:numId w:val="0"/>
              </w:numPr>
              <w:jc w:val="center"/>
              <w:rPr>
                <w:rFonts w:hint="eastAsia" w:eastAsiaTheme="minorEastAsia"/>
                <w:vertAlign w:val="baseline"/>
                <w:lang w:eastAsia="zh-CN"/>
              </w:rPr>
            </w:pPr>
            <w:r>
              <w:rPr>
                <w:rFonts w:hint="eastAsia"/>
                <w:vertAlign w:val="baseline"/>
                <w:lang w:eastAsia="zh-CN"/>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尚未申结</w:t>
            </w:r>
          </w:p>
        </w:tc>
        <w:tc>
          <w:tcPr>
            <w:tcW w:w="568" w:type="dxa"/>
            <w:vMerge w:val="restart"/>
          </w:tcPr>
          <w:p>
            <w:pPr>
              <w:numPr>
                <w:ilvl w:val="0"/>
                <w:numId w:val="0"/>
              </w:numPr>
              <w:rPr>
                <w:rFonts w:hint="eastAsia" w:eastAsiaTheme="minorEastAsia"/>
                <w:vertAlign w:val="baseline"/>
                <w:lang w:eastAsia="zh-CN"/>
              </w:rPr>
            </w:pPr>
            <w:r>
              <w:rPr>
                <w:rFonts w:hint="eastAsia"/>
                <w:vertAlign w:val="baseline"/>
                <w:lang w:eastAsia="zh-CN"/>
              </w:rPr>
              <w:t>总计</w:t>
            </w:r>
          </w:p>
        </w:tc>
        <w:tc>
          <w:tcPr>
            <w:tcW w:w="2840"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未经复议直接起诉</w:t>
            </w:r>
          </w:p>
        </w:tc>
        <w:tc>
          <w:tcPr>
            <w:tcW w:w="2842" w:type="dxa"/>
            <w:gridSpan w:val="5"/>
          </w:tcPr>
          <w:p>
            <w:pPr>
              <w:numPr>
                <w:ilvl w:val="0"/>
                <w:numId w:val="0"/>
              </w:numPr>
              <w:jc w:val="center"/>
              <w:rPr>
                <w:rFonts w:hint="eastAsia" w:eastAsiaTheme="minorEastAsia"/>
                <w:vertAlign w:val="baseline"/>
                <w:lang w:eastAsia="zh-CN"/>
              </w:rPr>
            </w:pPr>
            <w:r>
              <w:rPr>
                <w:rFonts w:hint="eastAsia"/>
                <w:vertAlign w:val="baseline"/>
                <w:lang w:eastAsia="zh-CN"/>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vMerge w:val="continue"/>
          </w:tcPr>
          <w:p>
            <w:pPr>
              <w:numPr>
                <w:ilvl w:val="0"/>
                <w:numId w:val="0"/>
              </w:numPr>
              <w:rPr>
                <w:rFonts w:hint="default"/>
                <w:vertAlign w:val="baseline"/>
              </w:rPr>
            </w:pP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结果维持</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结果纠正</w:t>
            </w:r>
          </w:p>
        </w:tc>
        <w:tc>
          <w:tcPr>
            <w:tcW w:w="568" w:type="dxa"/>
          </w:tcPr>
          <w:p>
            <w:pPr>
              <w:numPr>
                <w:ilvl w:val="0"/>
                <w:numId w:val="0"/>
              </w:numPr>
              <w:rPr>
                <w:rFonts w:hint="eastAsia" w:eastAsiaTheme="minorEastAsia"/>
                <w:vertAlign w:val="baseline"/>
                <w:lang w:eastAsia="zh-CN"/>
              </w:rPr>
            </w:pPr>
            <w:r>
              <w:rPr>
                <w:rFonts w:hint="eastAsia"/>
                <w:vertAlign w:val="baseline"/>
                <w:lang w:eastAsia="zh-CN"/>
              </w:rPr>
              <w:t>其他结果</w:t>
            </w:r>
          </w:p>
        </w:tc>
        <w:tc>
          <w:tcPr>
            <w:tcW w:w="568" w:type="dxa"/>
          </w:tcPr>
          <w:p>
            <w:pPr>
              <w:numPr>
                <w:ilvl w:val="0"/>
                <w:numId w:val="0"/>
              </w:numPr>
              <w:rPr>
                <w:rFonts w:hint="default"/>
                <w:vertAlign w:val="baseline"/>
              </w:rPr>
            </w:pPr>
            <w:r>
              <w:rPr>
                <w:rFonts w:hint="eastAsia"/>
                <w:vertAlign w:val="baseline"/>
                <w:lang w:eastAsia="zh-CN"/>
              </w:rPr>
              <w:t>尚未申结</w:t>
            </w:r>
          </w:p>
        </w:tc>
        <w:tc>
          <w:tcPr>
            <w:tcW w:w="568" w:type="dxa"/>
          </w:tcPr>
          <w:p>
            <w:pPr>
              <w:numPr>
                <w:ilvl w:val="0"/>
                <w:numId w:val="0"/>
              </w:numPr>
              <w:rPr>
                <w:rFonts w:hint="default"/>
                <w:vertAlign w:val="baseline"/>
              </w:rPr>
            </w:pPr>
            <w:r>
              <w:rPr>
                <w:rFonts w:hint="eastAsia"/>
                <w:vertAlign w:val="baseline"/>
                <w:lang w:eastAsia="zh-CN"/>
              </w:rPr>
              <w:t>总计</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结果维持</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结果纠正</w:t>
            </w:r>
          </w:p>
        </w:tc>
        <w:tc>
          <w:tcPr>
            <w:tcW w:w="568"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其他结果</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尚未申结</w:t>
            </w:r>
          </w:p>
        </w:tc>
        <w:tc>
          <w:tcPr>
            <w:tcW w:w="569" w:type="dxa"/>
            <w:vAlign w:val="top"/>
          </w:tcPr>
          <w:p>
            <w:pPr>
              <w:numPr>
                <w:ilvl w:val="0"/>
                <w:numId w:val="0"/>
              </w:numPr>
              <w:ind w:left="0" w:leftChars="0" w:firstLine="0" w:firstLineChars="0"/>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eastAsia="zh-CN"/>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8" w:type="dxa"/>
          </w:tcPr>
          <w:p>
            <w:pPr>
              <w:numPr>
                <w:ilvl w:val="0"/>
                <w:numId w:val="0"/>
              </w:numPr>
              <w:rPr>
                <w:rFonts w:hint="eastAsia"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c>
          <w:tcPr>
            <w:tcW w:w="569" w:type="dxa"/>
          </w:tcPr>
          <w:p>
            <w:pPr>
              <w:numPr>
                <w:ilvl w:val="0"/>
                <w:numId w:val="0"/>
              </w:numPr>
              <w:rPr>
                <w:rFonts w:hint="default" w:eastAsiaTheme="minorEastAsia"/>
                <w:vertAlign w:val="baseline"/>
                <w:lang w:val="en-US" w:eastAsia="zh-CN"/>
              </w:rPr>
            </w:pPr>
            <w:r>
              <w:rPr>
                <w:rFonts w:hint="eastAsia"/>
                <w:vertAlign w:val="baseline"/>
                <w:lang w:val="en-US" w:eastAsia="zh-CN"/>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rPr>
          <w:b/>
          <w:sz w:val="24"/>
          <w:szCs w:val="24"/>
        </w:rPr>
      </w:pPr>
      <w:bookmarkStart w:id="0" w:name="_GoBack"/>
      <w:bookmarkEnd w:id="0"/>
      <w:r>
        <w:rPr>
          <w:b/>
          <w:sz w:val="24"/>
          <w:szCs w:val="24"/>
          <w:bdr w:val="none" w:color="auto" w:sz="0" w:space="0"/>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sz w:val="24"/>
          <w:szCs w:val="24"/>
          <w:bdr w:val="none" w:color="auto" w:sz="0" w:space="0"/>
        </w:rPr>
        <w:t>      2021年，该局的政务信息公开工作虽然取得了一点成绩，但仍存在一些问题和不足，比如：信息公开的内容深度拓展不够；有价值的信息没有得到很好的挖掘和上报等。2022年，淮滨县统计局将认真贯彻落实淮滨县政府信息公开有关规定和政府信息公开工作要点，采取有效措施，加大工作力度，狠抓工作落实，扎实做好政务信息公开工作，开创统计政务信息公开工作新局面。重点是抓好以下两个方面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sz w:val="24"/>
          <w:szCs w:val="24"/>
          <w:bdr w:val="none" w:color="auto" w:sz="0" w:space="0"/>
        </w:rPr>
        <w:t>    （一）进一步加强日常管理工作。继续强化专人负责信息公开工作，明确工作职责，以服务为目的，进一步加强政务信息公开，在规定的政务信息公开范围内，及时发布和更新依法应主动公开的政府信息，并做好答复依申请公开政府信息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sz w:val="24"/>
          <w:szCs w:val="24"/>
          <w:bdr w:val="none" w:color="auto" w:sz="0" w:space="0"/>
        </w:rPr>
        <w:t>    （二）进一步丰富政务信息公开方式。以社会需求为导向，在不断深化政府信息公开内容的同时，努力做到公开方式的灵活多样。本着规范、实用、简便、易行的原则，加强政务公开的基础设施建设，通过网站、会议、图板等多种便于公众知晓的方式进行公开，更好地为县域经济社会发展和人民群众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rPr>
          <w:b/>
          <w:sz w:val="24"/>
          <w:szCs w:val="24"/>
        </w:rPr>
      </w:pPr>
      <w:r>
        <w:rPr>
          <w:b/>
          <w:sz w:val="24"/>
          <w:szCs w:val="24"/>
          <w:bdr w:val="none" w:color="auto" w:sz="0" w:space="0"/>
        </w:rPr>
        <w:t>六、其他需要报告的事项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r>
        <w:rPr>
          <w:sz w:val="24"/>
          <w:szCs w:val="24"/>
          <w:bdr w:val="none" w:color="auto" w:sz="0" w:space="0"/>
        </w:rPr>
        <w:t>    严格按照县政府信息公开的要求，提高办事效率，优化办事结构，全面提升政务服务水平。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24C4B2"/>
    <w:multiLevelType w:val="singleLevel"/>
    <w:tmpl w:val="E824C4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20E44"/>
    <w:rsid w:val="16720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2022-02-17T02:28:00Z</dcterms:created>
  <dc:creator>一米阳光几度温暖</dc:creator>
  <cp:lastModifiedBy>一米阳光几度温暖</cp:lastModifiedBy>
  <dcterms:modified xsi:type="dcterms:W3CDTF">2022-02-17T02:29:00Z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