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应急管理局2021年政府信息公开工作年度报告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rFonts w:hint="default" w:ascii="Helvetica" w:hAnsi="Helvetica" w:eastAsia="Helvetica" w:cs="Helvetica"/>
          <w:i w:val="0"/>
          <w:caps w:val="0"/>
          <w:color w:val="000000"/>
          <w:spacing w:val="0"/>
          <w:sz w:val="21"/>
          <w:szCs w:val="21"/>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为进一步加强全局政府信息公开工作，我局成立了组织，由办公室负责此项工作，局分管办公室领导具体抓，专门有一名工作人员具体负责，保证了机构健全、组织有力、人员到位、工作落实。同时，我局还将政府信息公开工作纳入到局党政目标考核，制定了责任追究制度，推动了我局政府信息公开工作的整体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我局严格按照政府信息公开要求，确定了全年工作重点，细化工作任务，同时对推进政府信息公开、加强督查整改、严格责任追究等方面进行了安排部署。</w:t>
      </w:r>
      <w:r>
        <w:rPr>
          <w:rFonts w:hint="default" w:ascii="Helvetica" w:hAnsi="Helvetica" w:eastAsia="Helvetica" w:cs="Helvetica"/>
          <w:i w:val="0"/>
          <w:caps w:val="0"/>
          <w:color w:val="000000"/>
          <w:spacing w:val="0"/>
          <w:sz w:val="24"/>
          <w:szCs w:val="24"/>
          <w:bdr w:val="none" w:color="auto" w:sz="0" w:space="0"/>
        </w:rPr>
        <w:br w:type="textWrapping"/>
      </w:r>
      <w:r>
        <w:rPr>
          <w:rFonts w:hint="default" w:ascii="Helvetica" w:hAnsi="Helvetica" w:eastAsia="Helvetica" w:cs="Helvetica"/>
          <w:i w:val="0"/>
          <w:caps w:val="0"/>
          <w:color w:val="000000"/>
          <w:spacing w:val="0"/>
          <w:sz w:val="24"/>
          <w:szCs w:val="24"/>
          <w:bdr w:val="none" w:color="auto" w:sz="0" w:space="0"/>
        </w:rPr>
        <w:t>　　为进一步做好政府信息公开工作，我局着重做好了四个方面的工作：一是依法公开。在县政府门户网站按照《政府信息公开目录》，公开县政府安委会及办公室、县应急管理局各类文件信息30余份，其中编辑发布安全生产信息50条，在省、市应急管理局网站公开40余条，河南安全、信阳日报登载3条，方便群众时刻了解安全生产动态信息；二是及时主动公开。在安全生产领域，对不涉及国家秘密、商业秘密的政府信息及时发布；对各种生产安全事故，调查完毕后，经审定、批复，实行统一发布；对各类安全生产法律法规、制度以及涉及安全生产领域的重大决策等，及时通过报刊、标语等形式予以发布；三是及时清理变更行政审批项目，2020年我局对行政审批项目进行了再次清理，在办理程序上最大限度地简化，在办理速度上进一步提速；四是强化监督。我负责信息公开领导对行政决策、行政执行、行政监督等环节和发展环境建设中涉及政府信息公开问题进行监督检查，并设置了投诉举报电话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7</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4.7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7</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7</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7</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7</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7</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7</w:t>
            </w:r>
            <w:bookmarkStart w:id="0" w:name="_GoBack"/>
            <w:bookmarkEnd w:id="0"/>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我局在政府信息公开这方面还存在公开范围不广、公开形式不多、公开内容不甚详细等问题，在今年的工作中我局将进一步改善，提升我局的对外形象。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       改进措施：一是加强政务公开工作的组织领导，认真搞好宣传教育，提高思想认识，不断改进工作作风和方式方法；二是进一步完善政务公开制度和相关措施，严格按照《中华人民共和国政府信息公开条例》办事，进一步增强依法公开，主动公开意识，提高政务公开水平；三是加强督促检查，规范管理政务公开资料，进一步完善细化政务公开项目和内容，增强政务公开工作的针对性和有效性，做到以公开促廉政，以公开树形象，推动应急管理、安全生产工作任务的圆满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行政处罚7家企业，合计4.7万元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B2DC8"/>
    <w:rsid w:val="15A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2022-02-17T02:23:00Z</dcterms:created>
  <dc:creator>一米阳光几度温暖</dc:creator>
  <cp:lastModifiedBy>一米阳光几度温暖</cp:lastModifiedBy>
  <dcterms:modified xsi:type="dcterms:W3CDTF">2022-02-17T02:25:23Z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