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ind w:firstLine="480"/>
        <w:rPr>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widowControl/>
        <w:spacing w:line="560" w:lineRule="exact"/>
        <w:jc w:val="center"/>
        <w:rPr>
          <w:rFonts w:ascii="Times New Roman" w:hAnsi="Times New Roman" w:eastAsia="宋体" w:cs="Times New Roman"/>
          <w:color w:val="auto"/>
        </w:rPr>
      </w:pPr>
    </w:p>
    <w:p>
      <w:pPr>
        <w:widowControl/>
        <w:spacing w:line="560" w:lineRule="exact"/>
        <w:jc w:val="center"/>
        <w:rPr>
          <w:rFonts w:ascii="Times New Roman" w:hAnsi="Times New Roman" w:eastAsia="宋体" w:cs="Times New Roman"/>
          <w:color w:val="auto"/>
        </w:rPr>
      </w:pPr>
    </w:p>
    <w:p>
      <w:pPr>
        <w:widowControl/>
        <w:spacing w:line="560" w:lineRule="exact"/>
        <w:jc w:val="center"/>
        <w:rPr>
          <w:rFonts w:ascii="Times New Roman" w:hAnsi="Times New Roman" w:eastAsia="宋体" w:cs="Times New Roman"/>
          <w:color w:val="auto"/>
        </w:rPr>
      </w:pPr>
    </w:p>
    <w:p>
      <w:pPr>
        <w:widowControl/>
        <w:spacing w:line="560" w:lineRule="exact"/>
        <w:jc w:val="center"/>
        <w:rPr>
          <w:rFonts w:ascii="Times New Roman" w:hAnsi="Times New Roman" w:eastAsia="宋体" w:cs="Times New Roman"/>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widowControl/>
        <w:spacing w:line="560" w:lineRule="exact"/>
        <w:jc w:val="center"/>
        <w:rPr>
          <w:rFonts w:hint="default" w:ascii="Times New Roman" w:hAnsi="Times New Roman" w:eastAsia="方正小标宋简体" w:cs="Times New Roman"/>
          <w:bCs/>
          <w:color w:val="auto"/>
          <w:sz w:val="44"/>
          <w:szCs w:val="44"/>
        </w:rPr>
      </w:pPr>
      <w:r>
        <w:rPr>
          <w:rFonts w:hint="default" w:ascii="Times New Roman" w:hAnsi="Times New Roman" w:eastAsia="方正小标宋简体" w:cs="Times New Roman"/>
          <w:bCs/>
          <w:color w:val="auto"/>
          <w:sz w:val="44"/>
          <w:szCs w:val="44"/>
        </w:rPr>
        <w:t>2020年度中共</w:t>
      </w:r>
      <w:r>
        <w:rPr>
          <w:rFonts w:hint="eastAsia" w:ascii="Times New Roman" w:hAnsi="Times New Roman" w:eastAsia="方正小标宋简体" w:cs="Times New Roman"/>
          <w:bCs/>
          <w:color w:val="auto"/>
          <w:sz w:val="44"/>
          <w:szCs w:val="44"/>
          <w:lang w:val="en-US" w:eastAsia="zh-CN"/>
        </w:rPr>
        <w:t>淮滨</w:t>
      </w:r>
      <w:r>
        <w:rPr>
          <w:rFonts w:hint="default" w:ascii="Times New Roman" w:hAnsi="Times New Roman" w:eastAsia="方正小标宋简体" w:cs="Times New Roman"/>
          <w:bCs/>
          <w:color w:val="auto"/>
          <w:sz w:val="44"/>
          <w:szCs w:val="44"/>
        </w:rPr>
        <w:t>县委党校部门整体</w:t>
      </w:r>
    </w:p>
    <w:p>
      <w:pPr>
        <w:widowControl/>
        <w:spacing w:line="560" w:lineRule="exact"/>
        <w:jc w:val="center"/>
        <w:rPr>
          <w:rFonts w:hint="default" w:ascii="Times New Roman" w:hAnsi="Times New Roman" w:eastAsia="方正小标宋简体" w:cs="Times New Roman"/>
          <w:bCs/>
          <w:color w:val="auto"/>
          <w:sz w:val="44"/>
          <w:szCs w:val="44"/>
        </w:rPr>
      </w:pPr>
    </w:p>
    <w:p>
      <w:pPr>
        <w:widowControl/>
        <w:spacing w:line="560" w:lineRule="exact"/>
        <w:jc w:val="center"/>
        <w:rPr>
          <w:rFonts w:hint="default" w:ascii="Times New Roman" w:hAnsi="Times New Roman" w:eastAsia="方正小标宋简体" w:cs="Times New Roman"/>
          <w:color w:val="auto"/>
          <w:sz w:val="44"/>
          <w:szCs w:val="44"/>
          <w:lang w:eastAsia="zh-CN"/>
        </w:rPr>
      </w:pPr>
      <w:r>
        <w:rPr>
          <w:rFonts w:hint="default" w:ascii="Times New Roman" w:hAnsi="Times New Roman" w:eastAsia="方正小标宋简体" w:cs="Times New Roman"/>
          <w:bCs/>
          <w:color w:val="auto"/>
          <w:sz w:val="44"/>
          <w:szCs w:val="44"/>
        </w:rPr>
        <w:t>绩效评价报告</w:t>
      </w:r>
    </w:p>
    <w:p>
      <w:pPr>
        <w:pStyle w:val="47"/>
        <w:rPr>
          <w:rFonts w:hint="default" w:ascii="Times New Roman" w:hAnsi="Times New Roman" w:eastAsia="宋体" w:cs="Times New Roman"/>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jc w:val="both"/>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7"/>
        <w:rPr>
          <w:rFonts w:eastAsia="宋体"/>
          <w:color w:val="auto"/>
        </w:rPr>
      </w:pPr>
    </w:p>
    <w:p>
      <w:pPr>
        <w:pStyle w:val="45"/>
        <w:ind w:left="1680"/>
        <w:rPr>
          <w:color w:val="auto"/>
        </w:rPr>
      </w:pPr>
    </w:p>
    <w:p>
      <w:pPr>
        <w:pStyle w:val="45"/>
        <w:ind w:left="1680"/>
        <w:rPr>
          <w:color w:val="auto"/>
        </w:rPr>
      </w:pPr>
    </w:p>
    <w:p>
      <w:pPr>
        <w:pStyle w:val="45"/>
        <w:ind w:left="1680"/>
        <w:rPr>
          <w:color w:val="auto"/>
        </w:rPr>
      </w:pPr>
    </w:p>
    <w:p>
      <w:pPr>
        <w:pStyle w:val="46"/>
        <w:spacing w:before="0"/>
        <w:rPr>
          <w:b w:val="0"/>
          <w:bCs/>
          <w:color w:val="auto"/>
          <w:sz w:val="32"/>
          <w:szCs w:val="32"/>
        </w:rPr>
      </w:pPr>
    </w:p>
    <w:p>
      <w:pPr>
        <w:pStyle w:val="46"/>
        <w:spacing w:before="0"/>
        <w:rPr>
          <w:b w:val="0"/>
          <w:bCs/>
          <w:color w:val="auto"/>
          <w:sz w:val="32"/>
          <w:szCs w:val="32"/>
        </w:rPr>
      </w:pPr>
      <w:r>
        <w:rPr>
          <w:rFonts w:hint="eastAsia"/>
          <w:b w:val="0"/>
          <w:bCs/>
          <w:color w:val="auto"/>
          <w:sz w:val="32"/>
          <w:szCs w:val="32"/>
          <w:lang w:val="en-US" w:eastAsia="zh-CN"/>
        </w:rPr>
        <w:t>二〇二一</w:t>
      </w:r>
      <w:r>
        <w:rPr>
          <w:b w:val="0"/>
          <w:bCs/>
          <w:color w:val="auto"/>
          <w:sz w:val="32"/>
          <w:szCs w:val="32"/>
        </w:rPr>
        <w:t>年</w:t>
      </w:r>
      <w:r>
        <w:rPr>
          <w:rFonts w:hint="eastAsia"/>
          <w:b w:val="0"/>
          <w:bCs/>
          <w:color w:val="auto"/>
          <w:sz w:val="32"/>
          <w:szCs w:val="32"/>
          <w:lang w:val="en-US" w:eastAsia="zh-CN"/>
        </w:rPr>
        <w:t>十二</w:t>
      </w:r>
      <w:r>
        <w:rPr>
          <w:b w:val="0"/>
          <w:bCs/>
          <w:color w:val="auto"/>
          <w:sz w:val="32"/>
          <w:szCs w:val="32"/>
        </w:rPr>
        <w:t>月</w:t>
      </w:r>
    </w:p>
    <w:p>
      <w:pPr>
        <w:pStyle w:val="46"/>
        <w:rPr>
          <w:color w:val="auto"/>
        </w:rPr>
        <w:sectPr>
          <w:footerReference r:id="rId4" w:type="default"/>
          <w:footnotePr>
            <w:numRestart w:val="eachPage"/>
          </w:footnotePr>
          <w:pgSz w:w="11906" w:h="16838"/>
          <w:pgMar w:top="1440" w:right="1531" w:bottom="1440" w:left="1531" w:header="851" w:footer="992" w:gutter="0"/>
          <w:pgNumType w:start="1"/>
          <w:cols w:space="720" w:num="1"/>
          <w:docGrid w:linePitch="312" w:charSpace="0"/>
        </w:sectPr>
      </w:pPr>
    </w:p>
    <w:p>
      <w:pPr>
        <w:pStyle w:val="7"/>
        <w:ind w:firstLine="723"/>
        <w:jc w:val="center"/>
        <w:rPr>
          <w:rFonts w:ascii="黑体" w:hAnsi="黑体" w:eastAsia="黑体" w:cs="黑体"/>
          <w:b/>
          <w:color w:val="auto"/>
          <w:sz w:val="36"/>
          <w:szCs w:val="32"/>
        </w:rPr>
      </w:pPr>
      <w:r>
        <w:rPr>
          <w:rFonts w:hint="eastAsia" w:ascii="黑体" w:hAnsi="黑体" w:eastAsia="黑体" w:cs="黑体"/>
          <w:b/>
          <w:color w:val="auto"/>
          <w:sz w:val="36"/>
          <w:szCs w:val="32"/>
        </w:rPr>
        <w:t>目录</w:t>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 w:val="28"/>
          <w:szCs w:val="28"/>
        </w:rPr>
        <w:fldChar w:fldCharType="begin"/>
      </w:r>
      <w:r>
        <w:rPr>
          <w:rFonts w:ascii="黑体" w:hAnsi="黑体" w:eastAsia="黑体" w:cs="黑体"/>
          <w:color w:val="auto"/>
          <w:sz w:val="28"/>
          <w:szCs w:val="28"/>
        </w:rPr>
        <w:instrText xml:space="preserve">TOC \o "1-2" \h \u </w:instrText>
      </w:r>
      <w:r>
        <w:rPr>
          <w:rFonts w:ascii="黑体" w:hAnsi="黑体" w:eastAsia="黑体" w:cs="黑体"/>
          <w:color w:val="auto"/>
          <w:sz w:val="28"/>
          <w:szCs w:val="28"/>
        </w:rPr>
        <w:fldChar w:fldCharType="separate"/>
      </w:r>
      <w:r>
        <w:rPr>
          <w:rFonts w:ascii="黑体" w:hAnsi="黑体" w:eastAsia="黑体" w:cs="黑体"/>
          <w:color w:val="auto"/>
          <w:szCs w:val="28"/>
        </w:rPr>
        <w:fldChar w:fldCharType="begin"/>
      </w:r>
      <w:r>
        <w:rPr>
          <w:rFonts w:ascii="黑体" w:hAnsi="黑体" w:eastAsia="黑体" w:cs="黑体"/>
          <w:szCs w:val="28"/>
        </w:rPr>
        <w:instrText xml:space="preserve"> HYPERLINK \l _Toc18980 </w:instrText>
      </w:r>
      <w:r>
        <w:rPr>
          <w:rFonts w:ascii="黑体" w:hAnsi="黑体" w:eastAsia="黑体" w:cs="黑体"/>
          <w:szCs w:val="28"/>
        </w:rPr>
        <w:fldChar w:fldCharType="separate"/>
      </w:r>
      <w:r>
        <w:t>一、部门基本情况</w:t>
      </w:r>
      <w:r>
        <w:tab/>
      </w:r>
      <w:r>
        <w:fldChar w:fldCharType="begin"/>
      </w:r>
      <w:r>
        <w:instrText xml:space="preserve"> PAGEREF _Toc18980 \h </w:instrText>
      </w:r>
      <w:r>
        <w:fldChar w:fldCharType="separate"/>
      </w:r>
      <w:r>
        <w:t>1</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_Toc13205 </w:instrText>
      </w:r>
      <w:r>
        <w:rPr>
          <w:rFonts w:ascii="黑体" w:hAnsi="黑体" w:eastAsia="黑体" w:cs="黑体"/>
          <w:szCs w:val="28"/>
        </w:rPr>
        <w:fldChar w:fldCharType="separate"/>
      </w:r>
      <w:r>
        <w:t>（一）部门概况</w:t>
      </w:r>
      <w:r>
        <w:tab/>
      </w:r>
      <w:r>
        <w:fldChar w:fldCharType="begin"/>
      </w:r>
      <w:r>
        <w:instrText xml:space="preserve"> PAGEREF _Toc13205 \h </w:instrText>
      </w:r>
      <w:r>
        <w:fldChar w:fldCharType="separate"/>
      </w:r>
      <w:r>
        <w:t>1</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_Toc4594 </w:instrText>
      </w:r>
      <w:r>
        <w:rPr>
          <w:rFonts w:ascii="黑体" w:hAnsi="黑体" w:eastAsia="黑体" w:cs="黑体"/>
          <w:szCs w:val="28"/>
        </w:rPr>
        <w:fldChar w:fldCharType="separate"/>
      </w:r>
      <w:r>
        <w:rPr>
          <w:rFonts w:hint="eastAsia"/>
        </w:rPr>
        <w:t>（二）</w:t>
      </w:r>
      <w:r>
        <w:t>部门预算安排及执行情况</w:t>
      </w:r>
      <w:r>
        <w:tab/>
      </w:r>
      <w:r>
        <w:fldChar w:fldCharType="begin"/>
      </w:r>
      <w:r>
        <w:instrText xml:space="preserve"> PAGEREF _Toc4594 \h </w:instrText>
      </w:r>
      <w:r>
        <w:fldChar w:fldCharType="separate"/>
      </w:r>
      <w:r>
        <w:t>3</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_Toc16957 </w:instrText>
      </w:r>
      <w:r>
        <w:rPr>
          <w:rFonts w:ascii="黑体" w:hAnsi="黑体" w:eastAsia="黑体" w:cs="黑体"/>
          <w:szCs w:val="28"/>
        </w:rPr>
        <w:fldChar w:fldCharType="separate"/>
      </w:r>
      <w:r>
        <w:rPr>
          <w:rFonts w:hint="eastAsia"/>
        </w:rPr>
        <w:t>（三）部门管理情况</w:t>
      </w:r>
      <w:r>
        <w:tab/>
      </w:r>
      <w:r>
        <w:fldChar w:fldCharType="begin"/>
      </w:r>
      <w:r>
        <w:instrText xml:space="preserve"> PAGEREF _Toc16957 \h </w:instrText>
      </w:r>
      <w:r>
        <w:fldChar w:fldCharType="separate"/>
      </w:r>
      <w:r>
        <w:t>4</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_Toc15596 </w:instrText>
      </w:r>
      <w:r>
        <w:rPr>
          <w:rFonts w:ascii="黑体" w:hAnsi="黑体" w:eastAsia="黑体" w:cs="黑体"/>
          <w:szCs w:val="28"/>
        </w:rPr>
        <w:fldChar w:fldCharType="separate"/>
      </w:r>
      <w:r>
        <w:rPr>
          <w:rFonts w:hint="eastAsia"/>
        </w:rPr>
        <w:t>（四）部门年度重点工作</w:t>
      </w:r>
      <w:r>
        <w:tab/>
      </w:r>
      <w:r>
        <w:fldChar w:fldCharType="begin"/>
      </w:r>
      <w:r>
        <w:instrText xml:space="preserve"> PAGEREF _Toc15596 \h </w:instrText>
      </w:r>
      <w:r>
        <w:fldChar w:fldCharType="separate"/>
      </w:r>
      <w:r>
        <w:t>5</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_Toc8476 </w:instrText>
      </w:r>
      <w:r>
        <w:rPr>
          <w:rFonts w:ascii="黑体" w:hAnsi="黑体" w:eastAsia="黑体" w:cs="黑体"/>
          <w:szCs w:val="28"/>
        </w:rPr>
        <w:fldChar w:fldCharType="separate"/>
      </w:r>
      <w:r>
        <w:rPr>
          <w:rFonts w:hint="eastAsia"/>
        </w:rPr>
        <w:t>（五）部门目标</w:t>
      </w:r>
      <w:r>
        <w:tab/>
      </w:r>
      <w:r>
        <w:fldChar w:fldCharType="begin"/>
      </w:r>
      <w:r>
        <w:instrText xml:space="preserve"> PAGEREF _Toc8476 \h </w:instrText>
      </w:r>
      <w:r>
        <w:fldChar w:fldCharType="separate"/>
      </w:r>
      <w:r>
        <w:t>6</w:t>
      </w:r>
      <w:r>
        <w:fldChar w:fldCharType="end"/>
      </w:r>
      <w:r>
        <w:rPr>
          <w:rFonts w:ascii="黑体" w:hAnsi="黑体" w:eastAsia="黑体" w:cs="黑体"/>
          <w:color w:val="auto"/>
          <w:szCs w:val="28"/>
        </w:rPr>
        <w:fldChar w:fldCharType="end"/>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_Toc21252 </w:instrText>
      </w:r>
      <w:r>
        <w:rPr>
          <w:rFonts w:ascii="黑体" w:hAnsi="黑体" w:eastAsia="黑体" w:cs="黑体"/>
          <w:szCs w:val="28"/>
        </w:rPr>
        <w:fldChar w:fldCharType="separate"/>
      </w:r>
      <w:r>
        <w:rPr>
          <w:rFonts w:hint="eastAsia"/>
        </w:rPr>
        <w:t>二、绩效评价工作开展情况</w:t>
      </w:r>
      <w:r>
        <w:tab/>
      </w:r>
      <w:r>
        <w:fldChar w:fldCharType="begin"/>
      </w:r>
      <w:r>
        <w:instrText xml:space="preserve"> PAGEREF _Toc21252 \h </w:instrText>
      </w:r>
      <w:r>
        <w:fldChar w:fldCharType="separate"/>
      </w:r>
      <w:r>
        <w:t>7</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_Toc20561 </w:instrText>
      </w:r>
      <w:r>
        <w:rPr>
          <w:rFonts w:ascii="黑体" w:hAnsi="黑体" w:eastAsia="黑体" w:cs="黑体"/>
          <w:szCs w:val="28"/>
        </w:rPr>
        <w:fldChar w:fldCharType="separate"/>
      </w:r>
      <w:r>
        <w:rPr>
          <w:rFonts w:hint="eastAsia"/>
        </w:rPr>
        <w:t>（一）评价目的、对象和范围</w:t>
      </w:r>
      <w:r>
        <w:tab/>
      </w:r>
      <w:r>
        <w:fldChar w:fldCharType="begin"/>
      </w:r>
      <w:r>
        <w:instrText xml:space="preserve"> PAGEREF _Toc20561 \h </w:instrText>
      </w:r>
      <w:r>
        <w:fldChar w:fldCharType="separate"/>
      </w:r>
      <w:r>
        <w:t>7</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_Toc21515 </w:instrText>
      </w:r>
      <w:r>
        <w:rPr>
          <w:rFonts w:ascii="黑体" w:hAnsi="黑体" w:eastAsia="黑体" w:cs="黑体"/>
          <w:szCs w:val="28"/>
        </w:rPr>
        <w:fldChar w:fldCharType="separate"/>
      </w:r>
      <w:r>
        <w:rPr>
          <w:rFonts w:hint="eastAsia"/>
        </w:rPr>
        <w:t>（二）评价原则及过程</w:t>
      </w:r>
      <w:r>
        <w:tab/>
      </w:r>
      <w:r>
        <w:fldChar w:fldCharType="begin"/>
      </w:r>
      <w:r>
        <w:instrText xml:space="preserve"> PAGEREF _Toc21515 \h </w:instrText>
      </w:r>
      <w:r>
        <w:fldChar w:fldCharType="separate"/>
      </w:r>
      <w:r>
        <w:t>8</w:t>
      </w:r>
      <w:r>
        <w:fldChar w:fldCharType="end"/>
      </w:r>
      <w:r>
        <w:rPr>
          <w:rFonts w:ascii="黑体" w:hAnsi="黑体" w:eastAsia="黑体" w:cs="黑体"/>
          <w:color w:val="auto"/>
          <w:szCs w:val="28"/>
        </w:rPr>
        <w:fldChar w:fldCharType="end"/>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_Toc30702 </w:instrText>
      </w:r>
      <w:r>
        <w:rPr>
          <w:rFonts w:ascii="黑体" w:hAnsi="黑体" w:eastAsia="黑体" w:cs="黑体"/>
          <w:szCs w:val="28"/>
        </w:rPr>
        <w:fldChar w:fldCharType="separate"/>
      </w:r>
      <w:r>
        <w:rPr>
          <w:rFonts w:hint="eastAsia"/>
        </w:rPr>
        <w:t>三、综合评价情况及评价结论</w:t>
      </w:r>
      <w:r>
        <w:tab/>
      </w:r>
      <w:r>
        <w:fldChar w:fldCharType="begin"/>
      </w:r>
      <w:r>
        <w:instrText xml:space="preserve"> PAGEREF _Toc30702 \h </w:instrText>
      </w:r>
      <w:r>
        <w:fldChar w:fldCharType="separate"/>
      </w:r>
      <w:r>
        <w:t>10</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_Toc22851 </w:instrText>
      </w:r>
      <w:r>
        <w:rPr>
          <w:rFonts w:ascii="黑体" w:hAnsi="黑体" w:eastAsia="黑体" w:cs="黑体"/>
          <w:szCs w:val="28"/>
        </w:rPr>
        <w:fldChar w:fldCharType="separate"/>
      </w:r>
      <w:r>
        <w:rPr>
          <w:rFonts w:hint="eastAsia"/>
        </w:rPr>
        <w:t>（一）总体评价得分</w:t>
      </w:r>
      <w:r>
        <w:tab/>
      </w:r>
      <w:r>
        <w:fldChar w:fldCharType="begin"/>
      </w:r>
      <w:r>
        <w:instrText xml:space="preserve"> PAGEREF _Toc22851 \h </w:instrText>
      </w:r>
      <w:r>
        <w:fldChar w:fldCharType="separate"/>
      </w:r>
      <w:r>
        <w:t>10</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_Toc32697 </w:instrText>
      </w:r>
      <w:r>
        <w:rPr>
          <w:rFonts w:ascii="黑体" w:hAnsi="黑体" w:eastAsia="黑体" w:cs="黑体"/>
          <w:szCs w:val="28"/>
        </w:rPr>
        <w:fldChar w:fldCharType="separate"/>
      </w:r>
      <w:r>
        <w:rPr>
          <w:rFonts w:hint="eastAsia"/>
          <w:highlight w:val="none"/>
        </w:rPr>
        <w:t>（二）综合评价结论</w:t>
      </w:r>
      <w:r>
        <w:tab/>
      </w:r>
      <w:r>
        <w:fldChar w:fldCharType="begin"/>
      </w:r>
      <w:r>
        <w:instrText xml:space="preserve"> PAGEREF _Toc32697 \h </w:instrText>
      </w:r>
      <w:r>
        <w:fldChar w:fldCharType="separate"/>
      </w:r>
      <w:r>
        <w:t>11</w:t>
      </w:r>
      <w:r>
        <w:fldChar w:fldCharType="end"/>
      </w:r>
      <w:r>
        <w:rPr>
          <w:rFonts w:ascii="黑体" w:hAnsi="黑体" w:eastAsia="黑体" w:cs="黑体"/>
          <w:color w:val="auto"/>
          <w:szCs w:val="28"/>
        </w:rPr>
        <w:fldChar w:fldCharType="end"/>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_Toc22692 </w:instrText>
      </w:r>
      <w:r>
        <w:rPr>
          <w:rFonts w:ascii="黑体" w:hAnsi="黑体" w:eastAsia="黑体" w:cs="黑体"/>
          <w:szCs w:val="28"/>
        </w:rPr>
        <w:fldChar w:fldCharType="separate"/>
      </w:r>
      <w:r>
        <w:rPr>
          <w:rFonts w:hint="eastAsia"/>
        </w:rPr>
        <w:t>四、绩效目标实现情况及指标分析</w:t>
      </w:r>
      <w:r>
        <w:tab/>
      </w:r>
      <w:r>
        <w:fldChar w:fldCharType="begin"/>
      </w:r>
      <w:r>
        <w:instrText xml:space="preserve"> PAGEREF _Toc22692 \h </w:instrText>
      </w:r>
      <w:r>
        <w:fldChar w:fldCharType="separate"/>
      </w:r>
      <w:r>
        <w:t>11</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_Toc9716 </w:instrText>
      </w:r>
      <w:r>
        <w:rPr>
          <w:rFonts w:ascii="黑体" w:hAnsi="黑体" w:eastAsia="黑体" w:cs="黑体"/>
          <w:szCs w:val="28"/>
        </w:rPr>
        <w:fldChar w:fldCharType="separate"/>
      </w:r>
      <w:r>
        <w:rPr>
          <w:rFonts w:hint="eastAsia"/>
          <w:bCs/>
          <w:highlight w:val="none"/>
        </w:rPr>
        <w:t>（一）部门决策类</w:t>
      </w:r>
      <w:r>
        <w:tab/>
      </w:r>
      <w:r>
        <w:fldChar w:fldCharType="begin"/>
      </w:r>
      <w:r>
        <w:instrText xml:space="preserve"> PAGEREF _Toc9716 \h </w:instrText>
      </w:r>
      <w:r>
        <w:fldChar w:fldCharType="separate"/>
      </w:r>
      <w:r>
        <w:t>12</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_Toc16130 </w:instrText>
      </w:r>
      <w:r>
        <w:rPr>
          <w:rFonts w:ascii="黑体" w:hAnsi="黑体" w:eastAsia="黑体" w:cs="黑体"/>
          <w:szCs w:val="28"/>
        </w:rPr>
        <w:fldChar w:fldCharType="separate"/>
      </w:r>
      <w:r>
        <w:rPr>
          <w:rFonts w:hint="eastAsia"/>
          <w:highlight w:val="none"/>
        </w:rPr>
        <w:t>（二）部门管理类</w:t>
      </w:r>
      <w:r>
        <w:tab/>
      </w:r>
      <w:r>
        <w:fldChar w:fldCharType="begin"/>
      </w:r>
      <w:r>
        <w:instrText xml:space="preserve"> PAGEREF _Toc16130 \h </w:instrText>
      </w:r>
      <w:r>
        <w:fldChar w:fldCharType="separate"/>
      </w:r>
      <w:r>
        <w:t>13</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_Toc5452 </w:instrText>
      </w:r>
      <w:r>
        <w:rPr>
          <w:rFonts w:ascii="黑体" w:hAnsi="黑体" w:eastAsia="黑体" w:cs="黑体"/>
          <w:szCs w:val="28"/>
        </w:rPr>
        <w:fldChar w:fldCharType="separate"/>
      </w:r>
      <w:r>
        <w:rPr>
          <w:rFonts w:hint="eastAsia"/>
          <w:highlight w:val="none"/>
        </w:rPr>
        <w:t>（三）履职效能类</w:t>
      </w:r>
      <w:r>
        <w:tab/>
      </w:r>
      <w:r>
        <w:fldChar w:fldCharType="begin"/>
      </w:r>
      <w:r>
        <w:instrText xml:space="preserve"> PAGEREF _Toc5452 \h </w:instrText>
      </w:r>
      <w:r>
        <w:fldChar w:fldCharType="separate"/>
      </w:r>
      <w:r>
        <w:t>15</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_Toc190 </w:instrText>
      </w:r>
      <w:r>
        <w:rPr>
          <w:rFonts w:ascii="黑体" w:hAnsi="黑体" w:eastAsia="黑体" w:cs="黑体"/>
          <w:szCs w:val="28"/>
        </w:rPr>
        <w:fldChar w:fldCharType="separate"/>
      </w:r>
      <w:r>
        <w:rPr>
          <w:rFonts w:hint="eastAsia"/>
        </w:rPr>
        <w:t>（四）履职效益类</w:t>
      </w:r>
      <w:r>
        <w:tab/>
      </w:r>
      <w:r>
        <w:fldChar w:fldCharType="begin"/>
      </w:r>
      <w:r>
        <w:instrText xml:space="preserve"> PAGEREF _Toc190 \h </w:instrText>
      </w:r>
      <w:r>
        <w:fldChar w:fldCharType="separate"/>
      </w:r>
      <w:r>
        <w:t>17</w:t>
      </w:r>
      <w:r>
        <w:fldChar w:fldCharType="end"/>
      </w:r>
      <w:r>
        <w:rPr>
          <w:rFonts w:ascii="黑体" w:hAnsi="黑体" w:eastAsia="黑体" w:cs="黑体"/>
          <w:color w:val="auto"/>
          <w:szCs w:val="28"/>
        </w:rPr>
        <w:fldChar w:fldCharType="end"/>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_Toc15205 </w:instrText>
      </w:r>
      <w:r>
        <w:rPr>
          <w:rFonts w:ascii="黑体" w:hAnsi="黑体" w:eastAsia="黑体" w:cs="黑体"/>
          <w:szCs w:val="28"/>
        </w:rPr>
        <w:fldChar w:fldCharType="separate"/>
      </w:r>
      <w:r>
        <w:rPr>
          <w:rFonts w:hint="eastAsia"/>
          <w:lang w:val="en-US" w:eastAsia="zh-CN"/>
        </w:rPr>
        <w:t>五、主要成绩和经验做法</w:t>
      </w:r>
      <w:r>
        <w:tab/>
      </w:r>
      <w:r>
        <w:fldChar w:fldCharType="begin"/>
      </w:r>
      <w:r>
        <w:instrText xml:space="preserve"> PAGEREF _Toc15205 \h </w:instrText>
      </w:r>
      <w:r>
        <w:fldChar w:fldCharType="separate"/>
      </w:r>
      <w:r>
        <w:t>18</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_Toc31914 </w:instrText>
      </w:r>
      <w:r>
        <w:rPr>
          <w:rFonts w:ascii="黑体" w:hAnsi="黑体" w:eastAsia="黑体" w:cs="黑体"/>
          <w:szCs w:val="28"/>
        </w:rPr>
        <w:fldChar w:fldCharType="separate"/>
      </w:r>
      <w:r>
        <w:rPr>
          <w:rFonts w:hint="eastAsia"/>
          <w:lang w:val="en-US" w:eastAsia="zh-CN"/>
        </w:rPr>
        <w:t>（一）</w:t>
      </w:r>
      <w:r>
        <w:rPr>
          <w:rFonts w:hint="default"/>
          <w:lang w:val="en-US" w:eastAsia="zh-CN"/>
        </w:rPr>
        <w:t>高度重视政治理论学习，做政治理论学习的表率</w:t>
      </w:r>
      <w:r>
        <w:tab/>
      </w:r>
      <w:r>
        <w:fldChar w:fldCharType="begin"/>
      </w:r>
      <w:r>
        <w:instrText xml:space="preserve"> PAGEREF _Toc31914 \h </w:instrText>
      </w:r>
      <w:r>
        <w:fldChar w:fldCharType="separate"/>
      </w:r>
      <w:r>
        <w:t>18</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_Toc27803 </w:instrText>
      </w:r>
      <w:r>
        <w:rPr>
          <w:rFonts w:ascii="黑体" w:hAnsi="黑体" w:eastAsia="黑体" w:cs="黑体"/>
          <w:szCs w:val="28"/>
        </w:rPr>
        <w:fldChar w:fldCharType="separate"/>
      </w:r>
      <w:r>
        <w:rPr>
          <w:rFonts w:hint="eastAsia"/>
          <w:lang w:val="en-US" w:eastAsia="zh-CN"/>
        </w:rPr>
        <w:t>（二）</w:t>
      </w:r>
      <w:r>
        <w:rPr>
          <w:rFonts w:hint="default"/>
          <w:lang w:val="en-US" w:eastAsia="zh-CN"/>
        </w:rPr>
        <w:t>科研工作深入开展，为提升教学水平奠定了基础</w:t>
      </w:r>
      <w:r>
        <w:tab/>
      </w:r>
      <w:r>
        <w:fldChar w:fldCharType="begin"/>
      </w:r>
      <w:r>
        <w:instrText xml:space="preserve"> PAGEREF _Toc27803 \h </w:instrText>
      </w:r>
      <w:r>
        <w:fldChar w:fldCharType="separate"/>
      </w:r>
      <w:r>
        <w:t>19</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_Toc11069 </w:instrText>
      </w:r>
      <w:r>
        <w:rPr>
          <w:rFonts w:ascii="黑体" w:hAnsi="黑体" w:eastAsia="黑体" w:cs="黑体"/>
          <w:szCs w:val="28"/>
        </w:rPr>
        <w:fldChar w:fldCharType="separate"/>
      </w:r>
      <w:r>
        <w:rPr>
          <w:rFonts w:hint="eastAsia"/>
          <w:lang w:val="en-US" w:eastAsia="zh-CN"/>
        </w:rPr>
        <w:t>（三）发挥两个远程教学站作用，共享优质教学资源</w:t>
      </w:r>
      <w:r>
        <w:tab/>
      </w:r>
      <w:r>
        <w:fldChar w:fldCharType="begin"/>
      </w:r>
      <w:r>
        <w:instrText xml:space="preserve"> PAGEREF _Toc11069 \h </w:instrText>
      </w:r>
      <w:r>
        <w:fldChar w:fldCharType="separate"/>
      </w:r>
      <w:r>
        <w:t>19</w:t>
      </w:r>
      <w:r>
        <w:fldChar w:fldCharType="end"/>
      </w:r>
      <w:r>
        <w:rPr>
          <w:rFonts w:ascii="黑体" w:hAnsi="黑体" w:eastAsia="黑体" w:cs="黑体"/>
          <w:color w:val="auto"/>
          <w:szCs w:val="28"/>
        </w:rPr>
        <w:fldChar w:fldCharType="end"/>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_Toc1771 </w:instrText>
      </w:r>
      <w:r>
        <w:rPr>
          <w:rFonts w:ascii="黑体" w:hAnsi="黑体" w:eastAsia="黑体" w:cs="黑体"/>
          <w:szCs w:val="28"/>
        </w:rPr>
        <w:fldChar w:fldCharType="separate"/>
      </w:r>
      <w:r>
        <w:rPr>
          <w:rFonts w:hint="eastAsia"/>
          <w:lang w:val="en-US" w:eastAsia="zh-CN"/>
        </w:rPr>
        <w:t>六、</w:t>
      </w:r>
      <w:r>
        <w:rPr>
          <w:rFonts w:hint="eastAsia"/>
        </w:rPr>
        <w:t>存在的问题及原因分析</w:t>
      </w:r>
      <w:r>
        <w:tab/>
      </w:r>
      <w:r>
        <w:fldChar w:fldCharType="begin"/>
      </w:r>
      <w:r>
        <w:instrText xml:space="preserve"> PAGEREF _Toc1771 \h </w:instrText>
      </w:r>
      <w:r>
        <w:fldChar w:fldCharType="separate"/>
      </w:r>
      <w:r>
        <w:t>20</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_Toc9300 </w:instrText>
      </w:r>
      <w:r>
        <w:rPr>
          <w:rFonts w:ascii="黑体" w:hAnsi="黑体" w:eastAsia="黑体" w:cs="黑体"/>
          <w:szCs w:val="28"/>
        </w:rPr>
        <w:fldChar w:fldCharType="separate"/>
      </w:r>
      <w:r>
        <w:rPr>
          <w:rFonts w:hint="eastAsia"/>
        </w:rPr>
        <w:t>（</w:t>
      </w:r>
      <w:r>
        <w:rPr>
          <w:rFonts w:hint="eastAsia"/>
          <w:lang w:val="en-US" w:eastAsia="zh-CN"/>
        </w:rPr>
        <w:t>一</w:t>
      </w:r>
      <w:r>
        <w:rPr>
          <w:rFonts w:hint="eastAsia"/>
        </w:rPr>
        <w:t>）</w:t>
      </w:r>
      <w:r>
        <w:rPr>
          <w:rFonts w:hint="eastAsia"/>
          <w:lang w:val="en-US" w:eastAsia="zh-CN"/>
        </w:rPr>
        <w:t>教学队伍人员配备较为不足</w:t>
      </w:r>
      <w:r>
        <w:rPr>
          <w:rFonts w:hint="eastAsia"/>
        </w:rPr>
        <w:t>，部门履职效果</w:t>
      </w:r>
      <w:r>
        <w:rPr>
          <w:rFonts w:hint="eastAsia"/>
          <w:lang w:val="en-US" w:eastAsia="zh-CN"/>
        </w:rPr>
        <w:t>相对</w:t>
      </w:r>
      <w:r>
        <w:rPr>
          <w:rFonts w:hint="eastAsia"/>
        </w:rPr>
        <w:t>不佳</w:t>
      </w:r>
      <w:r>
        <w:tab/>
      </w:r>
      <w:r>
        <w:fldChar w:fldCharType="begin"/>
      </w:r>
      <w:r>
        <w:instrText xml:space="preserve"> PAGEREF _Toc9300 \h </w:instrText>
      </w:r>
      <w:r>
        <w:fldChar w:fldCharType="separate"/>
      </w:r>
      <w:r>
        <w:t>20</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_Toc5422 </w:instrText>
      </w:r>
      <w:r>
        <w:rPr>
          <w:rFonts w:ascii="黑体" w:hAnsi="黑体" w:eastAsia="黑体" w:cs="黑体"/>
          <w:szCs w:val="28"/>
        </w:rPr>
        <w:fldChar w:fldCharType="separate"/>
      </w:r>
      <w:r>
        <w:rPr>
          <w:rFonts w:hint="eastAsia"/>
          <w:highlight w:val="none"/>
        </w:rPr>
        <w:t>（</w:t>
      </w:r>
      <w:r>
        <w:rPr>
          <w:rFonts w:hint="eastAsia"/>
          <w:highlight w:val="none"/>
          <w:lang w:val="en-US" w:eastAsia="zh-CN"/>
        </w:rPr>
        <w:t>二</w:t>
      </w:r>
      <w:r>
        <w:rPr>
          <w:rFonts w:hint="eastAsia"/>
          <w:highlight w:val="none"/>
        </w:rPr>
        <w:t>）预算</w:t>
      </w:r>
      <w:r>
        <w:rPr>
          <w:rFonts w:hint="eastAsia"/>
          <w:highlight w:val="none"/>
          <w:lang w:val="en-US" w:eastAsia="zh-CN"/>
        </w:rPr>
        <w:t>支出完成率较低</w:t>
      </w:r>
      <w:r>
        <w:rPr>
          <w:rFonts w:hint="eastAsia"/>
          <w:highlight w:val="none"/>
        </w:rPr>
        <w:t>，部门</w:t>
      </w:r>
      <w:r>
        <w:rPr>
          <w:rFonts w:hint="eastAsia"/>
          <w:highlight w:val="none"/>
          <w:lang w:val="en-US" w:eastAsia="zh-CN"/>
        </w:rPr>
        <w:t>预算编制</w:t>
      </w:r>
      <w:r>
        <w:rPr>
          <w:rFonts w:hint="eastAsia"/>
          <w:highlight w:val="none"/>
        </w:rPr>
        <w:t>不规范</w:t>
      </w:r>
      <w:r>
        <w:tab/>
      </w:r>
      <w:r>
        <w:fldChar w:fldCharType="begin"/>
      </w:r>
      <w:r>
        <w:instrText xml:space="preserve"> PAGEREF _Toc5422 \h </w:instrText>
      </w:r>
      <w:r>
        <w:fldChar w:fldCharType="separate"/>
      </w:r>
      <w:r>
        <w:t>20</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_Toc6161 </w:instrText>
      </w:r>
      <w:r>
        <w:rPr>
          <w:rFonts w:ascii="黑体" w:hAnsi="黑体" w:eastAsia="黑体" w:cs="黑体"/>
          <w:szCs w:val="28"/>
        </w:rPr>
        <w:fldChar w:fldCharType="separate"/>
      </w:r>
      <w:r>
        <w:rPr>
          <w:rFonts w:hint="eastAsia" w:ascii="Times New Roman" w:hAnsi="Times New Roman"/>
          <w:highlight w:val="none"/>
        </w:rPr>
        <w:t>（</w:t>
      </w:r>
      <w:r>
        <w:rPr>
          <w:rFonts w:hint="eastAsia" w:ascii="Times New Roman" w:hAnsi="Times New Roman"/>
          <w:highlight w:val="none"/>
          <w:lang w:val="en-US" w:eastAsia="zh-CN"/>
        </w:rPr>
        <w:t>三</w:t>
      </w:r>
      <w:r>
        <w:rPr>
          <w:rFonts w:hint="eastAsia" w:ascii="Times New Roman" w:hAnsi="Times New Roman"/>
          <w:highlight w:val="none"/>
        </w:rPr>
        <w:t>）</w:t>
      </w:r>
      <w:r>
        <w:rPr>
          <w:rFonts w:hint="eastAsia" w:ascii="Times New Roman" w:hAnsi="Times New Roman"/>
          <w:highlight w:val="none"/>
          <w:lang w:val="en-US" w:eastAsia="zh-CN"/>
        </w:rPr>
        <w:t>未制订中长期规划，部门整体发展统筹水平较差</w:t>
      </w:r>
      <w:r>
        <w:tab/>
      </w:r>
      <w:r>
        <w:fldChar w:fldCharType="begin"/>
      </w:r>
      <w:r>
        <w:instrText xml:space="preserve"> PAGEREF _Toc6161 \h </w:instrText>
      </w:r>
      <w:r>
        <w:fldChar w:fldCharType="separate"/>
      </w:r>
      <w:r>
        <w:t>20</w:t>
      </w:r>
      <w:r>
        <w:fldChar w:fldCharType="end"/>
      </w:r>
      <w:r>
        <w:rPr>
          <w:rFonts w:ascii="黑体" w:hAnsi="黑体" w:eastAsia="黑体" w:cs="黑体"/>
          <w:color w:val="auto"/>
          <w:szCs w:val="28"/>
        </w:rPr>
        <w:fldChar w:fldCharType="end"/>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_Toc15618 </w:instrText>
      </w:r>
      <w:r>
        <w:rPr>
          <w:rFonts w:ascii="黑体" w:hAnsi="黑体" w:eastAsia="黑体" w:cs="黑体"/>
          <w:szCs w:val="28"/>
        </w:rPr>
        <w:fldChar w:fldCharType="separate"/>
      </w:r>
      <w:r>
        <w:rPr>
          <w:rFonts w:hint="eastAsia"/>
          <w:lang w:val="en-US" w:eastAsia="zh-CN"/>
        </w:rPr>
        <w:t>七、</w:t>
      </w:r>
      <w:r>
        <w:rPr>
          <w:rFonts w:hint="eastAsia"/>
        </w:rPr>
        <w:t>有关建议</w:t>
      </w:r>
      <w:r>
        <w:tab/>
      </w:r>
      <w:r>
        <w:fldChar w:fldCharType="begin"/>
      </w:r>
      <w:r>
        <w:instrText xml:space="preserve"> PAGEREF _Toc15618 \h </w:instrText>
      </w:r>
      <w:r>
        <w:fldChar w:fldCharType="separate"/>
      </w:r>
      <w:r>
        <w:t>20</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_Toc31638 </w:instrText>
      </w:r>
      <w:r>
        <w:rPr>
          <w:rFonts w:ascii="黑体" w:hAnsi="黑体" w:eastAsia="黑体" w:cs="黑体"/>
          <w:szCs w:val="28"/>
        </w:rPr>
        <w:fldChar w:fldCharType="separate"/>
      </w:r>
      <w:r>
        <w:rPr>
          <w:rFonts w:hint="eastAsia"/>
        </w:rPr>
        <w:t>（</w:t>
      </w:r>
      <w:r>
        <w:rPr>
          <w:rFonts w:hint="eastAsia"/>
          <w:lang w:val="en-US" w:eastAsia="zh-CN"/>
        </w:rPr>
        <w:t>一</w:t>
      </w:r>
      <w:r>
        <w:rPr>
          <w:rFonts w:hint="eastAsia"/>
        </w:rPr>
        <w:t>）根据</w:t>
      </w:r>
      <w:r>
        <w:rPr>
          <w:rFonts w:hint="eastAsia"/>
          <w:lang w:val="en-US" w:eastAsia="zh-CN"/>
        </w:rPr>
        <w:t>实际教学</w:t>
      </w:r>
      <w:r>
        <w:rPr>
          <w:rFonts w:hint="eastAsia"/>
        </w:rPr>
        <w:t>需求做好</w:t>
      </w:r>
      <w:r>
        <w:rPr>
          <w:rFonts w:hint="eastAsia"/>
          <w:lang w:val="en-US" w:eastAsia="zh-CN"/>
        </w:rPr>
        <w:t>教员培训工作</w:t>
      </w:r>
      <w:r>
        <w:rPr>
          <w:rFonts w:hint="eastAsia"/>
        </w:rPr>
        <w:t>，</w:t>
      </w:r>
      <w:r>
        <w:rPr>
          <w:rFonts w:hint="eastAsia"/>
          <w:lang w:val="en-US" w:eastAsia="zh-CN"/>
        </w:rPr>
        <w:t>强化教员能力</w:t>
      </w:r>
      <w:r>
        <w:tab/>
      </w:r>
      <w:r>
        <w:fldChar w:fldCharType="begin"/>
      </w:r>
      <w:r>
        <w:instrText xml:space="preserve"> PAGEREF _Toc31638 \h </w:instrText>
      </w:r>
      <w:r>
        <w:fldChar w:fldCharType="separate"/>
      </w:r>
      <w:r>
        <w:t>20</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_Toc21777 </w:instrText>
      </w:r>
      <w:r>
        <w:rPr>
          <w:rFonts w:ascii="黑体" w:hAnsi="黑体" w:eastAsia="黑体" w:cs="黑体"/>
          <w:szCs w:val="28"/>
        </w:rPr>
        <w:fldChar w:fldCharType="separate"/>
      </w:r>
      <w:r>
        <w:rPr>
          <w:rFonts w:hint="eastAsia" w:ascii="Times New Roman" w:hAnsi="Times New Roman" w:eastAsia="楷体" w:cstheme="majorBidi"/>
          <w:bCs/>
          <w:kern w:val="2"/>
          <w:szCs w:val="32"/>
          <w:lang w:val="en-US" w:eastAsia="zh-CN" w:bidi="ar-SA"/>
        </w:rPr>
        <w:t>（二）科学编制预算方案，提升资金使用效果</w:t>
      </w:r>
      <w:r>
        <w:tab/>
      </w:r>
      <w:r>
        <w:fldChar w:fldCharType="begin"/>
      </w:r>
      <w:r>
        <w:instrText xml:space="preserve"> PAGEREF _Toc21777 \h </w:instrText>
      </w:r>
      <w:r>
        <w:fldChar w:fldCharType="separate"/>
      </w:r>
      <w:r>
        <w:t>21</w:t>
      </w:r>
      <w:r>
        <w:fldChar w:fldCharType="end"/>
      </w:r>
      <w:r>
        <w:rPr>
          <w:rFonts w:ascii="黑体" w:hAnsi="黑体" w:eastAsia="黑体" w:cs="黑体"/>
          <w:color w:val="auto"/>
          <w:szCs w:val="28"/>
        </w:rPr>
        <w:fldChar w:fldCharType="end"/>
      </w:r>
    </w:p>
    <w:p>
      <w:pPr>
        <w:pStyle w:val="19"/>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_Toc28845 </w:instrText>
      </w:r>
      <w:r>
        <w:rPr>
          <w:rFonts w:ascii="黑体" w:hAnsi="黑体" w:eastAsia="黑体" w:cs="黑体"/>
          <w:szCs w:val="28"/>
        </w:rPr>
        <w:fldChar w:fldCharType="separate"/>
      </w:r>
      <w:r>
        <w:rPr>
          <w:rFonts w:hint="eastAsia"/>
          <w:highlight w:val="none"/>
        </w:rPr>
        <w:t>（</w:t>
      </w:r>
      <w:r>
        <w:rPr>
          <w:rFonts w:hint="eastAsia"/>
          <w:highlight w:val="none"/>
          <w:lang w:val="en-US" w:eastAsia="zh-CN"/>
        </w:rPr>
        <w:t>三</w:t>
      </w:r>
      <w:r>
        <w:rPr>
          <w:rFonts w:hint="eastAsia"/>
          <w:highlight w:val="none"/>
        </w:rPr>
        <w:t>）</w:t>
      </w:r>
      <w:r>
        <w:rPr>
          <w:rFonts w:hint="eastAsia"/>
          <w:highlight w:val="none"/>
          <w:lang w:val="en-US" w:eastAsia="zh-CN"/>
        </w:rPr>
        <w:t>制订部门中长期规划，</w:t>
      </w:r>
      <w:r>
        <w:rPr>
          <w:rFonts w:hint="default"/>
          <w:lang w:val="en-US" w:eastAsia="zh-CN"/>
        </w:rPr>
        <w:t>提高部门履职效率</w:t>
      </w:r>
      <w:r>
        <w:tab/>
      </w:r>
      <w:r>
        <w:fldChar w:fldCharType="begin"/>
      </w:r>
      <w:r>
        <w:instrText xml:space="preserve"> PAGEREF _Toc28845 \h </w:instrText>
      </w:r>
      <w:r>
        <w:fldChar w:fldCharType="separate"/>
      </w:r>
      <w:r>
        <w:t>21</w:t>
      </w:r>
      <w:r>
        <w:fldChar w:fldCharType="end"/>
      </w:r>
      <w:r>
        <w:rPr>
          <w:rFonts w:ascii="黑体" w:hAnsi="黑体" w:eastAsia="黑体" w:cs="黑体"/>
          <w:color w:val="auto"/>
          <w:szCs w:val="28"/>
        </w:rPr>
        <w:fldChar w:fldCharType="end"/>
      </w:r>
    </w:p>
    <w:p>
      <w:pPr>
        <w:pStyle w:val="17"/>
        <w:keepNext w:val="0"/>
        <w:keepLines w:val="0"/>
        <w:pageBreakBefore w:val="0"/>
        <w:widowControl w:val="0"/>
        <w:tabs>
          <w:tab w:val="right" w:leader="dot" w:pos="8844"/>
          <w:tab w:val="clear" w:pos="8296"/>
        </w:tabs>
        <w:kinsoku/>
        <w:wordWrap/>
        <w:overflowPunct/>
        <w:topLinePunct w:val="0"/>
        <w:autoSpaceDE/>
        <w:autoSpaceDN/>
        <w:bidi w:val="0"/>
        <w:adjustRightInd w:val="0"/>
        <w:snapToGrid w:val="0"/>
        <w:spacing w:line="400" w:lineRule="exact"/>
        <w:textAlignment w:val="auto"/>
      </w:pPr>
      <w:r>
        <w:rPr>
          <w:rFonts w:ascii="黑体" w:hAnsi="黑体" w:eastAsia="黑体" w:cs="黑体"/>
          <w:color w:val="auto"/>
          <w:szCs w:val="28"/>
        </w:rPr>
        <w:fldChar w:fldCharType="begin"/>
      </w:r>
      <w:r>
        <w:rPr>
          <w:rFonts w:ascii="黑体" w:hAnsi="黑体" w:eastAsia="黑体" w:cs="黑体"/>
          <w:szCs w:val="28"/>
        </w:rPr>
        <w:instrText xml:space="preserve"> HYPERLINK \l _Toc11937 </w:instrText>
      </w:r>
      <w:r>
        <w:rPr>
          <w:rFonts w:ascii="黑体" w:hAnsi="黑体" w:eastAsia="黑体" w:cs="黑体"/>
          <w:szCs w:val="28"/>
        </w:rPr>
        <w:fldChar w:fldCharType="separate"/>
      </w:r>
      <w:r>
        <w:rPr>
          <w:rFonts w:hint="eastAsia"/>
          <w:szCs w:val="32"/>
        </w:rPr>
        <w:t>附件</w:t>
      </w:r>
      <w:r>
        <w:rPr>
          <w:rFonts w:hint="eastAsia"/>
          <w:szCs w:val="32"/>
          <w:lang w:val="en-US" w:eastAsia="zh-CN"/>
        </w:rPr>
        <w:t xml:space="preserve"> </w:t>
      </w:r>
      <w:r>
        <w:rPr>
          <w:rFonts w:hint="eastAsia"/>
          <w:szCs w:val="32"/>
        </w:rPr>
        <w:t>绩效评价指标体</w:t>
      </w:r>
      <w:r>
        <w:rPr>
          <w:rFonts w:hint="eastAsia"/>
          <w:szCs w:val="32"/>
          <w:lang w:val="en-US" w:eastAsia="zh-CN"/>
        </w:rPr>
        <w:t>综合评分</w:t>
      </w:r>
      <w:r>
        <w:rPr>
          <w:rFonts w:hint="eastAsia"/>
          <w:szCs w:val="32"/>
        </w:rPr>
        <w:t>表</w:t>
      </w:r>
      <w:r>
        <w:tab/>
      </w:r>
      <w:r>
        <w:fldChar w:fldCharType="begin"/>
      </w:r>
      <w:r>
        <w:instrText xml:space="preserve"> PAGEREF _Toc11937 \h </w:instrText>
      </w:r>
      <w:r>
        <w:fldChar w:fldCharType="separate"/>
      </w:r>
      <w:r>
        <w:t>22</w:t>
      </w:r>
      <w:r>
        <w:fldChar w:fldCharType="end"/>
      </w:r>
      <w:r>
        <w:rPr>
          <w:rFonts w:ascii="黑体" w:hAnsi="黑体" w:eastAsia="黑体" w:cs="黑体"/>
          <w:color w:val="auto"/>
          <w:szCs w:val="28"/>
        </w:rPr>
        <w:fldChar w:fldCharType="end"/>
      </w:r>
    </w:p>
    <w:p>
      <w:pPr>
        <w:pStyle w:val="7"/>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color w:val="auto"/>
          <w:lang w:val="en-US" w:eastAsia="zh-CN"/>
        </w:rPr>
        <w:sectPr>
          <w:footerReference r:id="rId5" w:type="default"/>
          <w:footnotePr>
            <w:numRestart w:val="eachPage"/>
          </w:footnotePr>
          <w:pgSz w:w="11906" w:h="16838"/>
          <w:pgMar w:top="1440" w:right="1531" w:bottom="1440" w:left="1531" w:header="851" w:footer="992" w:gutter="0"/>
          <w:pgNumType w:fmt="upperRoman" w:start="1"/>
          <w:cols w:space="0" w:num="1"/>
          <w:docGrid w:type="lines" w:linePitch="317" w:charSpace="0"/>
        </w:sectPr>
      </w:pPr>
      <w:r>
        <w:rPr>
          <w:rFonts w:ascii="黑体" w:hAnsi="黑体" w:eastAsia="黑体" w:cs="黑体"/>
          <w:color w:val="auto"/>
          <w:szCs w:val="28"/>
        </w:rPr>
        <w:fldChar w:fldCharType="end"/>
      </w:r>
      <w:bookmarkStart w:id="68" w:name="_GoBack"/>
      <w:bookmarkEnd w:id="68"/>
    </w:p>
    <w:p>
      <w:pPr>
        <w:widowControl/>
        <w:spacing w:line="560" w:lineRule="exact"/>
        <w:jc w:val="center"/>
        <w:rPr>
          <w:rFonts w:hint="default" w:ascii="Times New Roman" w:hAnsi="Times New Roman" w:eastAsia="方正小标宋简体" w:cs="Times New Roman"/>
          <w:bCs/>
          <w:color w:val="auto"/>
          <w:sz w:val="44"/>
          <w:szCs w:val="44"/>
        </w:rPr>
      </w:pPr>
      <w:bookmarkStart w:id="0" w:name="_Toc48914509"/>
      <w:bookmarkStart w:id="1" w:name="_Toc4933"/>
      <w:bookmarkStart w:id="2" w:name="_Toc6725"/>
      <w:bookmarkStart w:id="3" w:name="_Toc32302"/>
      <w:r>
        <w:rPr>
          <w:rFonts w:hint="default" w:ascii="Times New Roman" w:hAnsi="Times New Roman" w:eastAsia="方正小标宋简体" w:cs="Times New Roman"/>
          <w:bCs/>
          <w:color w:val="auto"/>
          <w:sz w:val="44"/>
          <w:szCs w:val="44"/>
        </w:rPr>
        <w:t>2020年度中共</w:t>
      </w:r>
      <w:r>
        <w:rPr>
          <w:rFonts w:hint="eastAsia" w:ascii="Times New Roman" w:hAnsi="Times New Roman" w:eastAsia="方正小标宋简体" w:cs="Times New Roman"/>
          <w:bCs/>
          <w:color w:val="auto"/>
          <w:sz w:val="44"/>
          <w:szCs w:val="44"/>
          <w:lang w:val="en-US" w:eastAsia="zh-CN"/>
        </w:rPr>
        <w:t>淮滨</w:t>
      </w:r>
      <w:r>
        <w:rPr>
          <w:rFonts w:hint="default" w:ascii="Times New Roman" w:hAnsi="Times New Roman" w:eastAsia="方正小标宋简体" w:cs="Times New Roman"/>
          <w:bCs/>
          <w:color w:val="auto"/>
          <w:sz w:val="44"/>
          <w:szCs w:val="44"/>
        </w:rPr>
        <w:t>县委党校部门整体</w:t>
      </w:r>
    </w:p>
    <w:p>
      <w:pPr>
        <w:widowControl/>
        <w:spacing w:line="560" w:lineRule="exact"/>
        <w:jc w:val="center"/>
        <w:rPr>
          <w:rFonts w:hint="default" w:ascii="Times New Roman" w:hAnsi="Times New Roman" w:eastAsia="方正小标宋简体" w:cs="Times New Roman"/>
          <w:color w:val="auto"/>
          <w:sz w:val="44"/>
          <w:szCs w:val="44"/>
          <w:lang w:eastAsia="zh-CN"/>
        </w:rPr>
      </w:pPr>
      <w:r>
        <w:rPr>
          <w:rFonts w:hint="default" w:ascii="Times New Roman" w:hAnsi="Times New Roman" w:eastAsia="方正小标宋简体" w:cs="Times New Roman"/>
          <w:bCs/>
          <w:color w:val="auto"/>
          <w:sz w:val="44"/>
          <w:szCs w:val="44"/>
        </w:rPr>
        <w:t>绩效评价报告</w:t>
      </w:r>
    </w:p>
    <w:p>
      <w:pPr>
        <w:pStyle w:val="7"/>
        <w:bidi w:val="0"/>
        <w:rPr>
          <w:color w:val="auto"/>
        </w:rPr>
      </w:pPr>
      <w:r>
        <w:rPr>
          <w:color w:val="auto"/>
        </w:rPr>
        <w:t>为深入贯彻落实《中共中央</w:t>
      </w:r>
      <w:r>
        <w:rPr>
          <w:rFonts w:hint="eastAsia"/>
          <w:color w:val="auto"/>
          <w:lang w:val="en-US" w:eastAsia="zh-CN"/>
        </w:rPr>
        <w:t xml:space="preserve"> </w:t>
      </w:r>
      <w:r>
        <w:rPr>
          <w:color w:val="auto"/>
        </w:rPr>
        <w:t>国务院关于全面实施预算绩效管理的意见》《中共河南省委</w:t>
      </w:r>
      <w:r>
        <w:rPr>
          <w:rFonts w:hint="eastAsia"/>
          <w:color w:val="auto"/>
          <w:lang w:val="en-US" w:eastAsia="zh-CN"/>
        </w:rPr>
        <w:t xml:space="preserve"> </w:t>
      </w:r>
      <w:r>
        <w:rPr>
          <w:color w:val="auto"/>
        </w:rPr>
        <w:t>河南省人民政府关于全面实施预算绩效管理的实施意见》有关要求，健全绩效评价常态化机制，切实加强部门整体预算绩效管理，按照</w:t>
      </w:r>
      <w:r>
        <w:rPr>
          <w:rFonts w:hint="eastAsia"/>
          <w:color w:val="auto"/>
          <w:lang w:val="en-US" w:eastAsia="zh-CN"/>
        </w:rPr>
        <w:t>淮滨</w:t>
      </w:r>
      <w:r>
        <w:rPr>
          <w:rFonts w:hint="eastAsia"/>
          <w:color w:val="auto"/>
        </w:rPr>
        <w:t>县财政局</w:t>
      </w:r>
      <w:r>
        <w:rPr>
          <w:color w:val="auto"/>
        </w:rPr>
        <w:t>工作部署，开展2020年度</w:t>
      </w:r>
      <w:r>
        <w:rPr>
          <w:rFonts w:hint="eastAsia"/>
          <w:color w:val="auto"/>
        </w:rPr>
        <w:t>中共</w:t>
      </w:r>
      <w:r>
        <w:rPr>
          <w:rFonts w:hint="eastAsia"/>
          <w:color w:val="auto"/>
          <w:lang w:val="en-US" w:eastAsia="zh-CN"/>
        </w:rPr>
        <w:t>淮滨</w:t>
      </w:r>
      <w:r>
        <w:rPr>
          <w:rFonts w:hint="eastAsia"/>
          <w:color w:val="auto"/>
        </w:rPr>
        <w:t>县委党校</w:t>
      </w:r>
      <w:r>
        <w:rPr>
          <w:color w:val="auto"/>
        </w:rPr>
        <w:t>部门整体绩效评价工作</w:t>
      </w:r>
      <w:r>
        <w:rPr>
          <w:rFonts w:hint="eastAsia"/>
          <w:color w:val="auto"/>
        </w:rPr>
        <w:t>，经过资料收集整理、数据分析、现场调研、问卷调查等必要的工作程序，现出具如下评价意见</w:t>
      </w:r>
      <w:r>
        <w:rPr>
          <w:color w:val="auto"/>
        </w:rPr>
        <w:t>。</w:t>
      </w:r>
    </w:p>
    <w:p>
      <w:pPr>
        <w:pStyle w:val="4"/>
        <w:bidi w:val="0"/>
        <w:rPr>
          <w:color w:val="auto"/>
        </w:rPr>
      </w:pPr>
      <w:bookmarkStart w:id="4" w:name="_Toc18980"/>
      <w:r>
        <w:rPr>
          <w:color w:val="auto"/>
        </w:rPr>
        <w:t>一、部门基本情况</w:t>
      </w:r>
      <w:bookmarkEnd w:id="0"/>
      <w:bookmarkEnd w:id="1"/>
      <w:bookmarkEnd w:id="2"/>
      <w:bookmarkEnd w:id="4"/>
    </w:p>
    <w:p>
      <w:pPr>
        <w:pStyle w:val="5"/>
        <w:ind w:firstLine="643"/>
        <w:rPr>
          <w:color w:val="auto"/>
        </w:rPr>
      </w:pPr>
      <w:bookmarkStart w:id="5" w:name="_Toc48914510"/>
      <w:bookmarkStart w:id="6" w:name="_Toc4832"/>
      <w:bookmarkStart w:id="7" w:name="_Toc13205"/>
      <w:r>
        <w:rPr>
          <w:color w:val="auto"/>
        </w:rPr>
        <w:t>（一）部门概况</w:t>
      </w:r>
      <w:bookmarkEnd w:id="3"/>
      <w:bookmarkEnd w:id="5"/>
      <w:bookmarkEnd w:id="6"/>
      <w:bookmarkEnd w:id="7"/>
    </w:p>
    <w:p>
      <w:pPr>
        <w:pStyle w:val="6"/>
        <w:rPr>
          <w:color w:val="auto"/>
        </w:rPr>
      </w:pPr>
      <w:bookmarkStart w:id="8" w:name="_Toc8357"/>
      <w:bookmarkStart w:id="9" w:name="_Toc5932"/>
      <w:r>
        <w:rPr>
          <w:color w:val="auto"/>
        </w:rPr>
        <w:t>1.部门职能及机构设置</w:t>
      </w:r>
      <w:bookmarkEnd w:id="8"/>
      <w:bookmarkEnd w:id="9"/>
    </w:p>
    <w:p>
      <w:pPr>
        <w:pStyle w:val="7"/>
        <w:rPr>
          <w:color w:val="auto"/>
          <w:highlight w:val="none"/>
        </w:rPr>
      </w:pPr>
      <w:r>
        <w:rPr>
          <w:rFonts w:hint="eastAsia"/>
          <w:color w:val="auto"/>
        </w:rPr>
        <w:t>根据</w:t>
      </w:r>
      <w:r>
        <w:rPr>
          <w:rFonts w:hint="eastAsia"/>
          <w:color w:val="auto"/>
          <w:lang w:val="en-US" w:eastAsia="zh-CN"/>
        </w:rPr>
        <w:t>中共淮滨县委、淮滨县人民政府</w:t>
      </w:r>
      <w:r>
        <w:rPr>
          <w:rFonts w:hint="eastAsia"/>
          <w:color w:val="auto"/>
          <w:highlight w:val="none"/>
        </w:rPr>
        <w:t>《</w:t>
      </w:r>
      <w:r>
        <w:rPr>
          <w:rFonts w:hint="eastAsia"/>
          <w:color w:val="auto"/>
          <w:highlight w:val="none"/>
          <w:lang w:val="en-US" w:eastAsia="zh-CN"/>
        </w:rPr>
        <w:t>关于印发〈淮滨县县乡机构改革实施意见〉的通知</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淮发</w:t>
      </w:r>
      <w:r>
        <w:rPr>
          <w:color w:val="auto"/>
          <w:highlight w:val="none"/>
        </w:rPr>
        <w:t>〔20</w:t>
      </w:r>
      <w:r>
        <w:rPr>
          <w:rFonts w:hint="eastAsia"/>
          <w:color w:val="auto"/>
          <w:highlight w:val="none"/>
          <w:lang w:val="en-US" w:eastAsia="zh-CN"/>
        </w:rPr>
        <w:t>0</w:t>
      </w:r>
      <w:r>
        <w:rPr>
          <w:color w:val="auto"/>
          <w:highlight w:val="none"/>
        </w:rPr>
        <w:t>2〕</w:t>
      </w:r>
      <w:r>
        <w:rPr>
          <w:rFonts w:hint="eastAsia"/>
          <w:color w:val="auto"/>
          <w:highlight w:val="none"/>
          <w:lang w:val="en-US" w:eastAsia="zh-CN"/>
        </w:rPr>
        <w:t>3</w:t>
      </w:r>
      <w:r>
        <w:rPr>
          <w:color w:val="auto"/>
          <w:highlight w:val="none"/>
        </w:rPr>
        <w:t>号</w:t>
      </w:r>
      <w:r>
        <w:rPr>
          <w:rFonts w:hint="eastAsia"/>
          <w:color w:val="auto"/>
          <w:highlight w:val="none"/>
          <w:lang w:eastAsia="zh-CN"/>
        </w:rPr>
        <w:t>）</w:t>
      </w:r>
      <w:r>
        <w:rPr>
          <w:rFonts w:hint="eastAsia"/>
          <w:color w:val="auto"/>
          <w:highlight w:val="none"/>
        </w:rPr>
        <w:t>，</w:t>
      </w:r>
      <w:r>
        <w:rPr>
          <w:rFonts w:hint="eastAsia"/>
          <w:color w:val="auto"/>
        </w:rPr>
        <w:t>中国共产党</w:t>
      </w:r>
      <w:r>
        <w:rPr>
          <w:rFonts w:hint="eastAsia"/>
          <w:color w:val="auto"/>
          <w:lang w:val="en-US" w:eastAsia="zh-CN"/>
        </w:rPr>
        <w:t>淮滨</w:t>
      </w:r>
      <w:r>
        <w:rPr>
          <w:rFonts w:hint="eastAsia"/>
          <w:color w:val="auto"/>
        </w:rPr>
        <w:t>县委党校（以下简称“</w:t>
      </w:r>
      <w:r>
        <w:rPr>
          <w:rFonts w:hint="eastAsia"/>
          <w:color w:val="auto"/>
          <w:lang w:eastAsia="zh-CN"/>
        </w:rPr>
        <w:t>淮滨</w:t>
      </w:r>
      <w:r>
        <w:rPr>
          <w:rFonts w:hint="eastAsia"/>
          <w:color w:val="auto"/>
        </w:rPr>
        <w:t>县委党校”），挂中国共产党</w:t>
      </w:r>
      <w:r>
        <w:rPr>
          <w:rFonts w:hint="eastAsia"/>
          <w:color w:val="auto"/>
          <w:highlight w:val="none"/>
          <w:lang w:val="en-US" w:eastAsia="zh-CN"/>
        </w:rPr>
        <w:t>信阳</w:t>
      </w:r>
      <w:r>
        <w:rPr>
          <w:rFonts w:hint="eastAsia"/>
          <w:color w:val="auto"/>
          <w:highlight w:val="none"/>
        </w:rPr>
        <w:t>市委员会党校分校、</w:t>
      </w:r>
      <w:r>
        <w:rPr>
          <w:rFonts w:hint="eastAsia"/>
          <w:color w:val="auto"/>
          <w:highlight w:val="none"/>
          <w:lang w:eastAsia="zh-CN"/>
        </w:rPr>
        <w:t>淮滨</w:t>
      </w:r>
      <w:r>
        <w:rPr>
          <w:rFonts w:hint="eastAsia"/>
          <w:color w:val="auto"/>
          <w:highlight w:val="none"/>
        </w:rPr>
        <w:t>县行政干部学校牌子</w:t>
      </w:r>
      <w:r>
        <w:rPr>
          <w:color w:val="auto"/>
          <w:highlight w:val="none"/>
        </w:rPr>
        <w:t>，为县委直属事业单位，规格相当于正科级，实行校务委员会负责制的领导体制</w:t>
      </w:r>
      <w:r>
        <w:rPr>
          <w:rFonts w:hint="eastAsia"/>
          <w:color w:val="auto"/>
          <w:highlight w:val="none"/>
        </w:rPr>
        <w:t>。</w:t>
      </w:r>
      <w:r>
        <w:rPr>
          <w:color w:val="auto"/>
          <w:highlight w:val="none"/>
        </w:rPr>
        <w:t>经费形式实行县财政全额预算管理，隶属于中共</w:t>
      </w:r>
      <w:r>
        <w:rPr>
          <w:rFonts w:hint="eastAsia"/>
          <w:color w:val="auto"/>
          <w:highlight w:val="none"/>
          <w:lang w:eastAsia="zh-CN"/>
        </w:rPr>
        <w:t>淮滨</w:t>
      </w:r>
      <w:r>
        <w:rPr>
          <w:color w:val="auto"/>
          <w:highlight w:val="none"/>
        </w:rPr>
        <w:t>县委。主要职责</w:t>
      </w:r>
      <w:r>
        <w:rPr>
          <w:rFonts w:hint="eastAsia"/>
          <w:color w:val="auto"/>
          <w:highlight w:val="none"/>
        </w:rPr>
        <w:t>包括</w:t>
      </w:r>
      <w:r>
        <w:rPr>
          <w:color w:val="auto"/>
          <w:highlight w:val="none"/>
        </w:rPr>
        <w:t>：</w:t>
      </w:r>
    </w:p>
    <w:p>
      <w:pPr>
        <w:pStyle w:val="7"/>
        <w:jc w:val="left"/>
        <w:rPr>
          <w:rFonts w:hint="eastAsia"/>
          <w:color w:val="auto"/>
          <w:lang w:val="en-US" w:eastAsia="zh-CN"/>
        </w:rPr>
      </w:pPr>
      <w:r>
        <w:rPr>
          <w:rFonts w:hint="eastAsia"/>
          <w:color w:val="auto"/>
          <w:lang w:val="en-US" w:eastAsia="zh-CN"/>
        </w:rPr>
        <w:t>主要职责宣传马克思列宁主义、毛泽东思想、邓小平理论和党的路线、方针、政策培训中青年后备干部；培训意识形态部门的领导干部和理论骨干；培训全县党外副科级以上领导干部和县级拔尖人才；同县直有关部门联合培训行业干部。协同组织部门和其他有关部门对学员在校期间的表现进行考核、考完成县委、县政府安排的其他培训任务。</w:t>
      </w:r>
    </w:p>
    <w:p>
      <w:pPr>
        <w:pStyle w:val="7"/>
        <w:jc w:val="left"/>
        <w:rPr>
          <w:color w:val="auto"/>
        </w:rPr>
      </w:pPr>
      <w:r>
        <w:rPr>
          <w:color w:val="auto"/>
        </w:rPr>
        <w:t>为更好地对</w:t>
      </w:r>
      <w:r>
        <w:rPr>
          <w:rFonts w:hint="eastAsia"/>
          <w:color w:val="auto"/>
          <w:lang w:eastAsia="zh-CN"/>
        </w:rPr>
        <w:t>淮滨</w:t>
      </w:r>
      <w:r>
        <w:rPr>
          <w:rFonts w:hint="eastAsia"/>
          <w:color w:val="auto"/>
        </w:rPr>
        <w:t>县委党校</w:t>
      </w:r>
      <w:r>
        <w:rPr>
          <w:color w:val="auto"/>
        </w:rPr>
        <w:t>进行全面解析，明确科室职能定位，评价组对各责任</w:t>
      </w:r>
      <w:r>
        <w:rPr>
          <w:rFonts w:hint="eastAsia"/>
          <w:color w:val="auto"/>
          <w:lang w:val="en-US" w:eastAsia="zh-CN"/>
        </w:rPr>
        <w:t>科室</w:t>
      </w:r>
      <w:r>
        <w:rPr>
          <w:color w:val="auto"/>
        </w:rPr>
        <w:t>主要职能进行了梳理。</w:t>
      </w:r>
      <w:r>
        <w:rPr>
          <w:rFonts w:hint="eastAsia"/>
          <w:color w:val="auto"/>
        </w:rPr>
        <w:t>主要包括教学培训、科学研究、师资队伍建设、服务保障四个方面。</w:t>
      </w:r>
      <w:r>
        <w:rPr>
          <w:rFonts w:hint="eastAsia"/>
          <w:color w:val="auto"/>
          <w:lang w:eastAsia="zh-CN"/>
        </w:rPr>
        <w:t>淮滨</w:t>
      </w:r>
      <w:r>
        <w:rPr>
          <w:rFonts w:hint="eastAsia"/>
          <w:color w:val="auto"/>
        </w:rPr>
        <w:t>县委党校现有内设科室</w:t>
      </w:r>
      <w:r>
        <w:rPr>
          <w:rFonts w:hint="eastAsia"/>
          <w:color w:val="auto"/>
          <w:lang w:val="en-US" w:eastAsia="zh-CN"/>
        </w:rPr>
        <w:t>4</w:t>
      </w:r>
      <w:r>
        <w:rPr>
          <w:rFonts w:hint="eastAsia"/>
          <w:color w:val="auto"/>
        </w:rPr>
        <w:t>个，分别是办公室</w:t>
      </w:r>
      <w:r>
        <w:rPr>
          <w:rFonts w:hint="eastAsia"/>
          <w:color w:val="auto"/>
          <w:lang w:eastAsia="zh-CN"/>
        </w:rPr>
        <w:t>、</w:t>
      </w:r>
      <w:r>
        <w:rPr>
          <w:rFonts w:hint="eastAsia"/>
          <w:color w:val="auto"/>
        </w:rPr>
        <w:t>总务处</w:t>
      </w:r>
      <w:r>
        <w:rPr>
          <w:rFonts w:hint="eastAsia"/>
          <w:color w:val="auto"/>
          <w:lang w:eastAsia="zh-CN"/>
        </w:rPr>
        <w:t>、</w:t>
      </w:r>
      <w:r>
        <w:rPr>
          <w:rFonts w:hint="eastAsia"/>
          <w:color w:val="auto"/>
        </w:rPr>
        <w:t>教务处</w:t>
      </w:r>
      <w:r>
        <w:rPr>
          <w:rFonts w:hint="eastAsia"/>
          <w:color w:val="auto"/>
          <w:lang w:eastAsia="zh-CN"/>
        </w:rPr>
        <w:t>、</w:t>
      </w:r>
      <w:r>
        <w:rPr>
          <w:rFonts w:hint="eastAsia"/>
          <w:color w:val="auto"/>
        </w:rPr>
        <w:t>党员教育科</w:t>
      </w:r>
      <w:r>
        <w:rPr>
          <w:rFonts w:hint="eastAsia"/>
          <w:color w:val="auto"/>
          <w:lang w:eastAsia="zh-CN"/>
        </w:rPr>
        <w:t>，</w:t>
      </w:r>
      <w:r>
        <w:rPr>
          <w:rFonts w:hint="eastAsia"/>
          <w:color w:val="auto"/>
        </w:rPr>
        <w:t>各科室2020年度工作目标</w:t>
      </w:r>
      <w:r>
        <w:rPr>
          <w:color w:val="auto"/>
        </w:rPr>
        <w:t>详见表1-1。</w:t>
      </w:r>
    </w:p>
    <w:p>
      <w:pPr>
        <w:pStyle w:val="7"/>
        <w:ind w:firstLine="482"/>
        <w:jc w:val="center"/>
        <w:rPr>
          <w:b/>
          <w:bCs/>
          <w:color w:val="auto"/>
          <w:sz w:val="24"/>
          <w:szCs w:val="24"/>
        </w:rPr>
      </w:pPr>
      <w:r>
        <w:rPr>
          <w:b/>
          <w:bCs/>
          <w:color w:val="auto"/>
          <w:sz w:val="24"/>
          <w:szCs w:val="24"/>
        </w:rPr>
        <w:t>表1-1</w:t>
      </w:r>
      <w:r>
        <w:rPr>
          <w:rFonts w:hint="eastAsia"/>
          <w:b/>
          <w:bCs/>
          <w:color w:val="auto"/>
          <w:sz w:val="24"/>
          <w:szCs w:val="24"/>
          <w:lang w:eastAsia="zh-CN"/>
        </w:rPr>
        <w:t>淮滨</w:t>
      </w:r>
      <w:r>
        <w:rPr>
          <w:rFonts w:hint="eastAsia"/>
          <w:b/>
          <w:bCs/>
          <w:color w:val="auto"/>
          <w:sz w:val="24"/>
          <w:szCs w:val="24"/>
        </w:rPr>
        <w:t>县委党校2020年度各科室工作目标</w:t>
      </w:r>
    </w:p>
    <w:tbl>
      <w:tblPr>
        <w:tblStyle w:val="22"/>
        <w:tblW w:w="4999" w:type="pct"/>
        <w:jc w:val="center"/>
        <w:tblLayout w:type="autofit"/>
        <w:tblCellMar>
          <w:top w:w="0" w:type="dxa"/>
          <w:left w:w="108" w:type="dxa"/>
          <w:bottom w:w="0" w:type="dxa"/>
          <w:right w:w="108" w:type="dxa"/>
        </w:tblCellMar>
      </w:tblPr>
      <w:tblGrid>
        <w:gridCol w:w="796"/>
        <w:gridCol w:w="1118"/>
        <w:gridCol w:w="6606"/>
      </w:tblGrid>
      <w:tr>
        <w:tblPrEx>
          <w:tblCellMar>
            <w:top w:w="0" w:type="dxa"/>
            <w:left w:w="108" w:type="dxa"/>
            <w:bottom w:w="0" w:type="dxa"/>
            <w:right w:w="108" w:type="dxa"/>
          </w:tblCellMar>
        </w:tblPrEx>
        <w:trPr>
          <w:trHeight w:val="425" w:hRule="atLeast"/>
          <w:tblHeader/>
          <w:jc w:val="center"/>
        </w:trPr>
        <w:tc>
          <w:tcPr>
            <w:tcW w:w="467"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序号</w:t>
            </w:r>
          </w:p>
        </w:tc>
        <w:tc>
          <w:tcPr>
            <w:tcW w:w="656"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科室</w:t>
            </w:r>
          </w:p>
        </w:tc>
        <w:tc>
          <w:tcPr>
            <w:tcW w:w="3876"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工作目标</w:t>
            </w:r>
          </w:p>
        </w:tc>
      </w:tr>
      <w:tr>
        <w:tblPrEx>
          <w:tblCellMar>
            <w:top w:w="0" w:type="dxa"/>
            <w:left w:w="108" w:type="dxa"/>
            <w:bottom w:w="0" w:type="dxa"/>
            <w:right w:w="108" w:type="dxa"/>
          </w:tblCellMar>
        </w:tblPrEx>
        <w:trPr>
          <w:trHeight w:val="425" w:hRule="atLeast"/>
          <w:jc w:val="center"/>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1</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办公室</w:t>
            </w:r>
          </w:p>
        </w:tc>
        <w:tc>
          <w:tcPr>
            <w:tcW w:w="3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负责落实党委的决议、决定；负责组织重大活动和会议；负责上传下达，文件收发，立卷归档、保密、安全保卫工作；负责对内外联系，协调工作</w:t>
            </w:r>
          </w:p>
        </w:tc>
      </w:tr>
      <w:tr>
        <w:tblPrEx>
          <w:tblCellMar>
            <w:top w:w="0" w:type="dxa"/>
            <w:left w:w="108" w:type="dxa"/>
            <w:bottom w:w="0" w:type="dxa"/>
            <w:right w:w="108" w:type="dxa"/>
          </w:tblCellMar>
        </w:tblPrEx>
        <w:trPr>
          <w:trHeight w:val="425" w:hRule="atLeast"/>
          <w:jc w:val="center"/>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kern w:val="0"/>
                <w:sz w:val="21"/>
                <w:szCs w:val="21"/>
                <w:lang w:val="en-US" w:eastAsia="zh-CN" w:bidi="ar"/>
              </w:rPr>
              <w:t>总务处</w:t>
            </w:r>
          </w:p>
        </w:tc>
        <w:tc>
          <w:tcPr>
            <w:tcW w:w="3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负责校物资供给及财产管理；负责基本建设及校园建设；负责车辆、水电管理、使用和维修工作；负责校各项经费的收支预算、结算、分配和使用。</w:t>
            </w:r>
          </w:p>
        </w:tc>
      </w:tr>
      <w:tr>
        <w:tblPrEx>
          <w:tblCellMar>
            <w:top w:w="0" w:type="dxa"/>
            <w:left w:w="108" w:type="dxa"/>
            <w:bottom w:w="0" w:type="dxa"/>
            <w:right w:w="108" w:type="dxa"/>
          </w:tblCellMar>
        </w:tblPrEx>
        <w:trPr>
          <w:trHeight w:val="425" w:hRule="atLeast"/>
          <w:jc w:val="center"/>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3</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kern w:val="0"/>
                <w:sz w:val="21"/>
                <w:szCs w:val="21"/>
                <w:lang w:bidi="ar"/>
              </w:rPr>
              <w:t>教务</w:t>
            </w:r>
            <w:r>
              <w:rPr>
                <w:rFonts w:hint="default" w:ascii="Times New Roman" w:hAnsi="Times New Roman" w:eastAsia="仿宋_GB2312" w:cs="Times New Roman"/>
                <w:color w:val="auto"/>
                <w:kern w:val="0"/>
                <w:sz w:val="21"/>
                <w:szCs w:val="21"/>
                <w:lang w:val="en-US" w:eastAsia="zh-CN" w:bidi="ar"/>
              </w:rPr>
              <w:t>处</w:t>
            </w:r>
          </w:p>
        </w:tc>
        <w:tc>
          <w:tcPr>
            <w:tcW w:w="3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sz w:val="21"/>
                <w:szCs w:val="21"/>
              </w:rPr>
              <w:t>负责全校的教学行政管理、主体班、函授班次的教务、考务学籍管理等方面的工作</w:t>
            </w:r>
            <w:r>
              <w:rPr>
                <w:rFonts w:hint="default" w:ascii="Times New Roman" w:hAnsi="Times New Roman" w:eastAsia="仿宋_GB2312" w:cs="Times New Roman"/>
                <w:sz w:val="21"/>
                <w:szCs w:val="21"/>
                <w:lang w:eastAsia="zh-CN"/>
              </w:rPr>
              <w:t>。</w:t>
            </w:r>
          </w:p>
        </w:tc>
      </w:tr>
      <w:tr>
        <w:tblPrEx>
          <w:tblCellMar>
            <w:top w:w="0" w:type="dxa"/>
            <w:left w:w="108" w:type="dxa"/>
            <w:bottom w:w="0" w:type="dxa"/>
            <w:right w:w="108" w:type="dxa"/>
          </w:tblCellMar>
        </w:tblPrEx>
        <w:trPr>
          <w:trHeight w:val="425" w:hRule="atLeast"/>
          <w:jc w:val="center"/>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4</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kern w:val="0"/>
                <w:sz w:val="21"/>
                <w:szCs w:val="21"/>
                <w:lang w:val="en-US" w:eastAsia="zh-CN" w:bidi="ar"/>
              </w:rPr>
              <w:t>党员教育科</w:t>
            </w:r>
          </w:p>
        </w:tc>
        <w:tc>
          <w:tcPr>
            <w:tcW w:w="3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负责全县党员教研室以邓小平理论和党的基本路线为指导，以研究社会主义现代化建设中实际问题和有关方面的学术问题为中心，理论联系实际，提供有价值的学术论文和调查报告。</w:t>
            </w:r>
          </w:p>
        </w:tc>
      </w:tr>
    </w:tbl>
    <w:p>
      <w:pPr>
        <w:pStyle w:val="6"/>
        <w:rPr>
          <w:color w:val="auto"/>
        </w:rPr>
      </w:pPr>
      <w:bookmarkStart w:id="10" w:name="_Toc31366"/>
      <w:bookmarkStart w:id="11" w:name="_Toc24152"/>
      <w:r>
        <w:rPr>
          <w:rFonts w:hint="eastAsia"/>
          <w:color w:val="auto"/>
        </w:rPr>
        <w:t>2.</w:t>
      </w:r>
      <w:r>
        <w:rPr>
          <w:color w:val="auto"/>
        </w:rPr>
        <w:t>部门人员及资产情况</w:t>
      </w:r>
      <w:bookmarkEnd w:id="10"/>
      <w:bookmarkEnd w:id="11"/>
    </w:p>
    <w:p>
      <w:pPr>
        <w:pStyle w:val="7"/>
        <w:rPr>
          <w:b/>
          <w:bCs/>
          <w:color w:val="auto"/>
        </w:rPr>
      </w:pPr>
      <w:r>
        <w:rPr>
          <w:rFonts w:hint="eastAsia"/>
          <w:b/>
          <w:bCs/>
          <w:color w:val="auto"/>
        </w:rPr>
        <w:t>（1）部门人员情况</w:t>
      </w:r>
    </w:p>
    <w:p>
      <w:pPr>
        <w:pStyle w:val="7"/>
        <w:rPr>
          <w:color w:val="auto"/>
          <w:szCs w:val="32"/>
        </w:rPr>
      </w:pPr>
      <w:r>
        <w:rPr>
          <w:color w:val="auto"/>
        </w:rPr>
        <w:t>截至202</w:t>
      </w:r>
      <w:r>
        <w:rPr>
          <w:rFonts w:hint="eastAsia"/>
          <w:color w:val="auto"/>
        </w:rPr>
        <w:t>0</w:t>
      </w:r>
      <w:r>
        <w:rPr>
          <w:color w:val="auto"/>
        </w:rPr>
        <w:t>年</w:t>
      </w:r>
      <w:r>
        <w:rPr>
          <w:rFonts w:hint="eastAsia"/>
          <w:color w:val="auto"/>
        </w:rPr>
        <w:t>12</w:t>
      </w:r>
      <w:r>
        <w:rPr>
          <w:color w:val="auto"/>
        </w:rPr>
        <w:t>月</w:t>
      </w:r>
      <w:r>
        <w:rPr>
          <w:rFonts w:hint="eastAsia"/>
          <w:color w:val="auto"/>
        </w:rPr>
        <w:t>31</w:t>
      </w:r>
      <w:r>
        <w:rPr>
          <w:color w:val="auto"/>
        </w:rPr>
        <w:t>日</w:t>
      </w:r>
      <w:r>
        <w:rPr>
          <w:rFonts w:hint="eastAsia"/>
          <w:color w:val="auto"/>
        </w:rPr>
        <w:t>，</w:t>
      </w:r>
      <w:r>
        <w:rPr>
          <w:rFonts w:hint="eastAsia"/>
          <w:color w:val="auto"/>
          <w:lang w:eastAsia="zh-CN"/>
        </w:rPr>
        <w:t>淮滨</w:t>
      </w:r>
      <w:r>
        <w:rPr>
          <w:rFonts w:hint="eastAsia"/>
          <w:color w:val="auto"/>
        </w:rPr>
        <w:t>县委党校核定事业编制</w:t>
      </w:r>
      <w:r>
        <w:rPr>
          <w:rFonts w:hint="eastAsia"/>
          <w:color w:val="auto"/>
          <w:lang w:val="en-US" w:eastAsia="zh-CN"/>
        </w:rPr>
        <w:t>2</w:t>
      </w:r>
      <w:r>
        <w:rPr>
          <w:rFonts w:hint="eastAsia"/>
          <w:color w:val="auto"/>
        </w:rPr>
        <w:t>4名，实行校务委员会负责制的领导体制，设副校长2名，现有在编人员2</w:t>
      </w:r>
      <w:r>
        <w:rPr>
          <w:rFonts w:hint="eastAsia"/>
          <w:color w:val="auto"/>
          <w:lang w:val="en-US" w:eastAsia="zh-CN"/>
        </w:rPr>
        <w:t>4</w:t>
      </w:r>
      <w:r>
        <w:rPr>
          <w:rFonts w:hint="eastAsia"/>
          <w:color w:val="auto"/>
        </w:rPr>
        <w:t>人</w:t>
      </w:r>
      <w:r>
        <w:rPr>
          <w:rFonts w:hint="eastAsia"/>
          <w:color w:val="auto"/>
          <w:lang w:eastAsia="zh-CN"/>
        </w:rPr>
        <w:t>，</w:t>
      </w:r>
      <w:r>
        <w:rPr>
          <w:rFonts w:hint="eastAsia"/>
          <w:color w:val="auto"/>
          <w:lang w:val="en-US" w:eastAsia="zh-CN"/>
        </w:rPr>
        <w:t>人员在编率为100%</w:t>
      </w:r>
      <w:r>
        <w:rPr>
          <w:rFonts w:hint="eastAsia"/>
          <w:color w:val="auto"/>
        </w:rPr>
        <w:t>。</w:t>
      </w:r>
    </w:p>
    <w:p>
      <w:pPr>
        <w:pStyle w:val="7"/>
        <w:rPr>
          <w:b/>
          <w:bCs/>
          <w:color w:val="auto"/>
        </w:rPr>
      </w:pPr>
      <w:r>
        <w:rPr>
          <w:rFonts w:hint="eastAsia"/>
          <w:b/>
          <w:bCs/>
          <w:color w:val="auto"/>
        </w:rPr>
        <w:t>（2）部门固定资产情况</w:t>
      </w:r>
    </w:p>
    <w:p>
      <w:pPr>
        <w:pStyle w:val="7"/>
        <w:rPr>
          <w:color w:val="auto"/>
          <w:highlight w:val="none"/>
        </w:rPr>
      </w:pPr>
      <w:r>
        <w:rPr>
          <w:rFonts w:hint="eastAsia"/>
          <w:color w:val="auto"/>
          <w:highlight w:val="none"/>
        </w:rPr>
        <w:t>根据部门固定资产卡片列表，截至2020年12月31日，</w:t>
      </w:r>
      <w:r>
        <w:rPr>
          <w:rFonts w:hint="eastAsia"/>
          <w:color w:val="auto"/>
          <w:highlight w:val="none"/>
          <w:lang w:eastAsia="zh-CN"/>
        </w:rPr>
        <w:t>淮滨</w:t>
      </w:r>
      <w:r>
        <w:rPr>
          <w:rFonts w:hint="eastAsia"/>
          <w:color w:val="auto"/>
          <w:highlight w:val="none"/>
        </w:rPr>
        <w:t>县委党校固定资产主要包括</w:t>
      </w:r>
      <w:r>
        <w:rPr>
          <w:rFonts w:hint="eastAsia"/>
          <w:color w:val="auto"/>
          <w:highlight w:val="none"/>
          <w:lang w:val="en-US" w:eastAsia="zh-CN"/>
        </w:rPr>
        <w:t>3</w:t>
      </w:r>
      <w:r>
        <w:rPr>
          <w:rFonts w:hint="eastAsia"/>
          <w:color w:val="auto"/>
          <w:highlight w:val="none"/>
        </w:rPr>
        <w:t>类：家具、用具、装具及动植物，通用设备</w:t>
      </w:r>
      <w:r>
        <w:rPr>
          <w:rFonts w:hint="eastAsia"/>
          <w:color w:val="auto"/>
          <w:highlight w:val="none"/>
          <w:lang w:eastAsia="zh-CN"/>
        </w:rPr>
        <w:t>，</w:t>
      </w:r>
      <w:r>
        <w:rPr>
          <w:rFonts w:hint="eastAsia"/>
          <w:color w:val="auto"/>
          <w:highlight w:val="none"/>
        </w:rPr>
        <w:t>土地、房屋及构筑物。固定资产总值</w:t>
      </w:r>
      <w:r>
        <w:rPr>
          <w:rFonts w:hint="eastAsia"/>
          <w:color w:val="auto"/>
          <w:highlight w:val="none"/>
          <w:lang w:val="en-US" w:eastAsia="zh-CN"/>
        </w:rPr>
        <w:t>1,718,773</w:t>
      </w:r>
      <w:r>
        <w:rPr>
          <w:rFonts w:hint="eastAsia"/>
          <w:color w:val="auto"/>
          <w:highlight w:val="none"/>
        </w:rPr>
        <w:t>元，在用资产总值</w:t>
      </w:r>
      <w:r>
        <w:rPr>
          <w:rFonts w:hint="eastAsia"/>
          <w:color w:val="auto"/>
          <w:highlight w:val="none"/>
          <w:lang w:val="en-US" w:eastAsia="zh-CN"/>
        </w:rPr>
        <w:t>1,718,773</w:t>
      </w:r>
      <w:r>
        <w:rPr>
          <w:rFonts w:hint="eastAsia"/>
          <w:color w:val="auto"/>
          <w:highlight w:val="none"/>
        </w:rPr>
        <w:t>元，固定资产利用率为100%。各类固定资产及账面价值详见表1-2。</w:t>
      </w:r>
    </w:p>
    <w:p>
      <w:pPr>
        <w:pStyle w:val="52"/>
        <w:keepNext w:val="0"/>
        <w:keepLines w:val="0"/>
        <w:pageBreakBefore w:val="0"/>
        <w:widowControl w:val="0"/>
        <w:kinsoku/>
        <w:wordWrap/>
        <w:overflowPunct/>
        <w:topLinePunct w:val="0"/>
        <w:autoSpaceDE/>
        <w:autoSpaceDN/>
        <w:bidi w:val="0"/>
        <w:adjustRightInd/>
        <w:snapToGrid/>
        <w:spacing w:before="0" w:after="0" w:line="320" w:lineRule="exact"/>
        <w:textAlignment w:val="auto"/>
        <w:rPr>
          <w:color w:val="auto"/>
        </w:rPr>
      </w:pPr>
      <w:r>
        <w:rPr>
          <w:color w:val="auto"/>
        </w:rPr>
        <w:t>表1-</w:t>
      </w:r>
      <w:r>
        <w:rPr>
          <w:rFonts w:hint="eastAsia"/>
          <w:color w:val="auto"/>
        </w:rPr>
        <w:t>2</w:t>
      </w:r>
      <w:r>
        <w:rPr>
          <w:color w:val="auto"/>
        </w:rPr>
        <w:t>20</w:t>
      </w:r>
      <w:r>
        <w:rPr>
          <w:rFonts w:hint="eastAsia"/>
          <w:color w:val="auto"/>
        </w:rPr>
        <w:t>20年</w:t>
      </w:r>
      <w:r>
        <w:rPr>
          <w:rFonts w:hint="eastAsia"/>
          <w:color w:val="auto"/>
          <w:lang w:val="en-US" w:eastAsia="zh-CN"/>
        </w:rPr>
        <w:t>度</w:t>
      </w:r>
      <w:r>
        <w:rPr>
          <w:rFonts w:hint="eastAsia"/>
          <w:color w:val="auto"/>
          <w:lang w:eastAsia="zh-CN"/>
        </w:rPr>
        <w:t>淮滨</w:t>
      </w:r>
      <w:r>
        <w:rPr>
          <w:rFonts w:hint="eastAsia"/>
          <w:color w:val="auto"/>
        </w:rPr>
        <w:t>县委党校</w:t>
      </w:r>
      <w:r>
        <w:rPr>
          <w:color w:val="auto"/>
        </w:rPr>
        <w:t>固定资产</w:t>
      </w:r>
      <w:r>
        <w:rPr>
          <w:rFonts w:hint="eastAsia"/>
          <w:color w:val="auto"/>
        </w:rPr>
        <w:t>汇总表</w:t>
      </w:r>
    </w:p>
    <w:p>
      <w:pPr>
        <w:pStyle w:val="52"/>
        <w:keepNext w:val="0"/>
        <w:keepLines w:val="0"/>
        <w:pageBreakBefore w:val="0"/>
        <w:widowControl w:val="0"/>
        <w:kinsoku/>
        <w:wordWrap/>
        <w:overflowPunct/>
        <w:topLinePunct w:val="0"/>
        <w:autoSpaceDE/>
        <w:autoSpaceDN/>
        <w:bidi w:val="0"/>
        <w:adjustRightInd/>
        <w:snapToGrid/>
        <w:spacing w:before="0" w:after="0" w:line="320" w:lineRule="exact"/>
        <w:jc w:val="right"/>
        <w:textAlignment w:val="auto"/>
        <w:rPr>
          <w:color w:val="auto"/>
        </w:rPr>
      </w:pPr>
      <w:r>
        <w:rPr>
          <w:rFonts w:hint="eastAsia"/>
          <w:color w:val="auto"/>
        </w:rPr>
        <w:t>单位：万元</w:t>
      </w:r>
    </w:p>
    <w:tbl>
      <w:tblPr>
        <w:tblStyle w:val="22"/>
        <w:tblW w:w="4998" w:type="pct"/>
        <w:tblInd w:w="0" w:type="dxa"/>
        <w:tblLayout w:type="autofit"/>
        <w:tblCellMar>
          <w:top w:w="0" w:type="dxa"/>
          <w:left w:w="108" w:type="dxa"/>
          <w:bottom w:w="0" w:type="dxa"/>
          <w:right w:w="108" w:type="dxa"/>
        </w:tblCellMar>
      </w:tblPr>
      <w:tblGrid>
        <w:gridCol w:w="2850"/>
        <w:gridCol w:w="1406"/>
        <w:gridCol w:w="2504"/>
        <w:gridCol w:w="1759"/>
      </w:tblGrid>
      <w:tr>
        <w:tblPrEx>
          <w:tblCellMar>
            <w:top w:w="0" w:type="dxa"/>
            <w:left w:w="108" w:type="dxa"/>
            <w:bottom w:w="0" w:type="dxa"/>
            <w:right w:w="108" w:type="dxa"/>
          </w:tblCellMar>
        </w:tblPrEx>
        <w:trPr>
          <w:trHeight w:val="425" w:hRule="atLeast"/>
          <w:tblHeader/>
        </w:trPr>
        <w:tc>
          <w:tcPr>
            <w:tcW w:w="1672"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资产类别</w:t>
            </w:r>
          </w:p>
        </w:tc>
        <w:tc>
          <w:tcPr>
            <w:tcW w:w="825"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资产价值</w:t>
            </w:r>
          </w:p>
        </w:tc>
        <w:tc>
          <w:tcPr>
            <w:tcW w:w="1469"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在用资产价值</w:t>
            </w:r>
          </w:p>
        </w:tc>
        <w:tc>
          <w:tcPr>
            <w:tcW w:w="1032"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资产利用率</w:t>
            </w:r>
          </w:p>
        </w:tc>
      </w:tr>
      <w:tr>
        <w:tblPrEx>
          <w:tblCellMar>
            <w:top w:w="0" w:type="dxa"/>
            <w:left w:w="108" w:type="dxa"/>
            <w:bottom w:w="0" w:type="dxa"/>
            <w:right w:w="108" w:type="dxa"/>
          </w:tblCellMar>
        </w:tblPrEx>
        <w:trPr>
          <w:trHeight w:val="425" w:hRule="atLeast"/>
        </w:trPr>
        <w:tc>
          <w:tcPr>
            <w:tcW w:w="16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家具、用具、装具及动植物</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658910.95</w:t>
            </w:r>
          </w:p>
        </w:tc>
        <w:tc>
          <w:tcPr>
            <w:tcW w:w="2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lang w:val="en-US" w:eastAsia="zh-CN"/>
              </w:rPr>
              <w:t>658910.95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highlight w:val="none"/>
              </w:rPr>
              <w:t>100%</w:t>
            </w:r>
          </w:p>
        </w:tc>
      </w:tr>
      <w:tr>
        <w:tblPrEx>
          <w:tblCellMar>
            <w:top w:w="0" w:type="dxa"/>
            <w:left w:w="108" w:type="dxa"/>
            <w:bottom w:w="0" w:type="dxa"/>
            <w:right w:w="108" w:type="dxa"/>
          </w:tblCellMar>
        </w:tblPrEx>
        <w:trPr>
          <w:trHeight w:val="425" w:hRule="atLeast"/>
        </w:trPr>
        <w:tc>
          <w:tcPr>
            <w:tcW w:w="16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通用设备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396912.05</w:t>
            </w:r>
          </w:p>
        </w:tc>
        <w:tc>
          <w:tcPr>
            <w:tcW w:w="2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lang w:val="en-US" w:eastAsia="zh-CN"/>
              </w:rPr>
              <w:t>396912.05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highlight w:val="none"/>
              </w:rPr>
              <w:t>100%</w:t>
            </w:r>
          </w:p>
        </w:tc>
      </w:tr>
      <w:tr>
        <w:tblPrEx>
          <w:tblCellMar>
            <w:top w:w="0" w:type="dxa"/>
            <w:left w:w="108" w:type="dxa"/>
            <w:bottom w:w="0" w:type="dxa"/>
            <w:right w:w="108" w:type="dxa"/>
          </w:tblCellMar>
        </w:tblPrEx>
        <w:trPr>
          <w:trHeight w:val="425" w:hRule="atLeast"/>
        </w:trPr>
        <w:tc>
          <w:tcPr>
            <w:tcW w:w="16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土地、房屋及构筑物</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rPr>
              <w:t>662950</w:t>
            </w:r>
            <w:r>
              <w:rPr>
                <w:rFonts w:hint="default" w:ascii="Times New Roman" w:hAnsi="Times New Roman" w:eastAsia="仿宋_GB2312" w:cs="Times New Roman"/>
                <w:color w:val="auto"/>
                <w:sz w:val="21"/>
                <w:szCs w:val="21"/>
                <w:lang w:eastAsia="zh-CN"/>
              </w:rPr>
              <w:t>.</w:t>
            </w:r>
            <w:r>
              <w:rPr>
                <w:rFonts w:hint="default" w:ascii="Times New Roman" w:hAnsi="Times New Roman" w:eastAsia="仿宋_GB2312" w:cs="Times New Roman"/>
                <w:color w:val="auto"/>
                <w:sz w:val="21"/>
                <w:szCs w:val="21"/>
                <w:lang w:val="en-US" w:eastAsia="zh-CN"/>
              </w:rPr>
              <w:t>00</w:t>
            </w:r>
          </w:p>
        </w:tc>
        <w:tc>
          <w:tcPr>
            <w:tcW w:w="2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662950</w:t>
            </w:r>
            <w:r>
              <w:rPr>
                <w:rFonts w:hint="default" w:ascii="Times New Roman" w:hAnsi="Times New Roman" w:eastAsia="仿宋_GB2312" w:cs="Times New Roman"/>
                <w:color w:val="auto"/>
                <w:sz w:val="21"/>
                <w:szCs w:val="21"/>
                <w:lang w:eastAsia="zh-CN"/>
              </w:rPr>
              <w:t>.</w:t>
            </w:r>
            <w:r>
              <w:rPr>
                <w:rFonts w:hint="default" w:ascii="Times New Roman" w:hAnsi="Times New Roman" w:eastAsia="仿宋_GB2312" w:cs="Times New Roman"/>
                <w:color w:val="auto"/>
                <w:sz w:val="21"/>
                <w:szCs w:val="21"/>
                <w:lang w:val="en-US" w:eastAsia="zh-CN"/>
              </w:rPr>
              <w:t>00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highlight w:val="none"/>
              </w:rPr>
              <w:t>100%</w:t>
            </w:r>
          </w:p>
        </w:tc>
      </w:tr>
      <w:tr>
        <w:tblPrEx>
          <w:tblCellMar>
            <w:top w:w="0" w:type="dxa"/>
            <w:left w:w="108" w:type="dxa"/>
            <w:bottom w:w="0" w:type="dxa"/>
            <w:right w:w="108" w:type="dxa"/>
          </w:tblCellMar>
        </w:tblPrEx>
        <w:trPr>
          <w:trHeight w:val="425" w:hRule="atLeast"/>
        </w:trPr>
        <w:tc>
          <w:tcPr>
            <w:tcW w:w="16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合计</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1718773.00</w:t>
            </w:r>
          </w:p>
        </w:tc>
        <w:tc>
          <w:tcPr>
            <w:tcW w:w="2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lang w:val="en-US" w:eastAsia="zh-CN"/>
              </w:rPr>
              <w:t>1718773.00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highlight w:val="none"/>
              </w:rPr>
              <w:t>100%</w:t>
            </w:r>
          </w:p>
        </w:tc>
      </w:tr>
    </w:tbl>
    <w:p>
      <w:pPr>
        <w:pStyle w:val="5"/>
        <w:ind w:firstLine="643"/>
        <w:rPr>
          <w:color w:val="auto"/>
        </w:rPr>
      </w:pPr>
      <w:bookmarkStart w:id="12" w:name="_Toc10374"/>
      <w:bookmarkStart w:id="13" w:name="_Toc48914511"/>
      <w:bookmarkStart w:id="14" w:name="_Toc4594"/>
      <w:r>
        <w:rPr>
          <w:rFonts w:hint="eastAsia"/>
          <w:color w:val="auto"/>
        </w:rPr>
        <w:t>（二）</w:t>
      </w:r>
      <w:r>
        <w:rPr>
          <w:color w:val="auto"/>
        </w:rPr>
        <w:t>部门预算安排及执行情况</w:t>
      </w:r>
      <w:bookmarkEnd w:id="12"/>
      <w:bookmarkEnd w:id="13"/>
      <w:bookmarkEnd w:id="14"/>
    </w:p>
    <w:p>
      <w:pPr>
        <w:pStyle w:val="6"/>
        <w:rPr>
          <w:color w:val="auto"/>
        </w:rPr>
      </w:pPr>
      <w:r>
        <w:rPr>
          <w:rFonts w:hint="eastAsia"/>
          <w:color w:val="auto"/>
        </w:rPr>
        <w:t>1</w:t>
      </w:r>
      <w:r>
        <w:rPr>
          <w:color w:val="auto"/>
        </w:rPr>
        <w:t>.预算收入安排及执行情况</w:t>
      </w:r>
    </w:p>
    <w:p>
      <w:pPr>
        <w:pStyle w:val="7"/>
        <w:rPr>
          <w:color w:val="auto"/>
          <w:highlight w:val="none"/>
        </w:rPr>
      </w:pPr>
      <w:r>
        <w:rPr>
          <w:color w:val="auto"/>
        </w:rPr>
        <w:t>根据</w:t>
      </w:r>
      <w:r>
        <w:rPr>
          <w:rFonts w:hint="eastAsia"/>
          <w:color w:val="auto"/>
          <w:lang w:eastAsia="zh-CN"/>
        </w:rPr>
        <w:t>淮滨</w:t>
      </w:r>
      <w:r>
        <w:rPr>
          <w:rFonts w:hint="eastAsia"/>
          <w:color w:val="auto"/>
        </w:rPr>
        <w:t>县委党校</w:t>
      </w:r>
      <w:r>
        <w:rPr>
          <w:color w:val="auto"/>
        </w:rPr>
        <w:t>部门决算报表，2020年度，</w:t>
      </w:r>
      <w:r>
        <w:rPr>
          <w:rFonts w:hint="eastAsia"/>
          <w:color w:val="auto"/>
          <w:highlight w:val="none"/>
          <w:lang w:eastAsia="zh-CN"/>
        </w:rPr>
        <w:t>淮滨</w:t>
      </w:r>
      <w:r>
        <w:rPr>
          <w:rFonts w:hint="eastAsia"/>
          <w:color w:val="auto"/>
          <w:highlight w:val="none"/>
        </w:rPr>
        <w:t>县委党校</w:t>
      </w:r>
      <w:r>
        <w:rPr>
          <w:color w:val="auto"/>
          <w:highlight w:val="none"/>
        </w:rPr>
        <w:t>年初收入预算</w:t>
      </w:r>
      <w:r>
        <w:rPr>
          <w:rFonts w:hint="eastAsia"/>
          <w:color w:val="auto"/>
          <w:highlight w:val="none"/>
        </w:rPr>
        <w:t>2</w:t>
      </w:r>
      <w:r>
        <w:rPr>
          <w:rFonts w:hint="eastAsia"/>
          <w:color w:val="auto"/>
          <w:highlight w:val="none"/>
          <w:lang w:val="en-US" w:eastAsia="zh-CN"/>
        </w:rPr>
        <w:t>,</w:t>
      </w:r>
      <w:r>
        <w:rPr>
          <w:rFonts w:hint="eastAsia"/>
          <w:color w:val="auto"/>
          <w:highlight w:val="none"/>
        </w:rPr>
        <w:t>485</w:t>
      </w:r>
      <w:r>
        <w:rPr>
          <w:rFonts w:hint="eastAsia"/>
          <w:color w:val="auto"/>
          <w:highlight w:val="none"/>
          <w:lang w:val="en-US" w:eastAsia="zh-CN"/>
        </w:rPr>
        <w:t>,</w:t>
      </w:r>
      <w:r>
        <w:rPr>
          <w:rFonts w:hint="eastAsia"/>
          <w:color w:val="auto"/>
          <w:highlight w:val="none"/>
        </w:rPr>
        <w:t>396.8</w:t>
      </w:r>
      <w:r>
        <w:rPr>
          <w:color w:val="auto"/>
          <w:highlight w:val="none"/>
        </w:rPr>
        <w:t>万元，</w:t>
      </w:r>
      <w:r>
        <w:rPr>
          <w:rFonts w:hint="eastAsia"/>
          <w:color w:val="auto"/>
          <w:highlight w:val="none"/>
          <w:lang w:val="en-US" w:eastAsia="zh-CN"/>
        </w:rPr>
        <w:t>全部为</w:t>
      </w:r>
      <w:r>
        <w:rPr>
          <w:rFonts w:ascii="Times New Roman" w:hAnsi="Times New Roman" w:eastAsia="FangSong_GB2312" w:cs="Times New Roman"/>
          <w:color w:val="auto"/>
          <w:kern w:val="0"/>
          <w:highlight w:val="none"/>
          <w:lang w:bidi="ar"/>
        </w:rPr>
        <w:t>一般公共预算财政拨款收入</w:t>
      </w:r>
      <w:r>
        <w:rPr>
          <w:rFonts w:hint="eastAsia" w:eastAsia="FangSong_GB2312" w:cs="Times New Roman"/>
          <w:color w:val="auto"/>
          <w:kern w:val="0"/>
          <w:highlight w:val="none"/>
          <w:lang w:eastAsia="zh-CN" w:bidi="ar"/>
        </w:rPr>
        <w:t>；</w:t>
      </w:r>
      <w:r>
        <w:rPr>
          <w:color w:val="auto"/>
          <w:highlight w:val="none"/>
        </w:rPr>
        <w:t>调整预算数</w:t>
      </w:r>
      <w:r>
        <w:rPr>
          <w:rFonts w:hint="eastAsia"/>
          <w:color w:val="auto"/>
          <w:highlight w:val="none"/>
        </w:rPr>
        <w:t>2</w:t>
      </w:r>
      <w:r>
        <w:rPr>
          <w:rFonts w:hint="eastAsia"/>
          <w:color w:val="auto"/>
          <w:highlight w:val="none"/>
          <w:lang w:val="en-US" w:eastAsia="zh-CN"/>
        </w:rPr>
        <w:t>,</w:t>
      </w:r>
      <w:r>
        <w:rPr>
          <w:rFonts w:hint="eastAsia"/>
          <w:color w:val="auto"/>
          <w:highlight w:val="none"/>
        </w:rPr>
        <w:t>485</w:t>
      </w:r>
      <w:r>
        <w:rPr>
          <w:rFonts w:hint="eastAsia"/>
          <w:color w:val="auto"/>
          <w:highlight w:val="none"/>
          <w:lang w:val="en-US" w:eastAsia="zh-CN"/>
        </w:rPr>
        <w:t>,</w:t>
      </w:r>
      <w:r>
        <w:rPr>
          <w:rFonts w:hint="eastAsia"/>
          <w:color w:val="auto"/>
          <w:highlight w:val="none"/>
        </w:rPr>
        <w:t>396.8</w:t>
      </w:r>
      <w:r>
        <w:rPr>
          <w:color w:val="auto"/>
          <w:highlight w:val="none"/>
        </w:rPr>
        <w:t>万元，预算调整率为</w:t>
      </w:r>
      <w:r>
        <w:rPr>
          <w:rFonts w:hint="eastAsia"/>
          <w:color w:val="auto"/>
          <w:highlight w:val="none"/>
          <w:lang w:val="en-US" w:eastAsia="zh-CN"/>
        </w:rPr>
        <w:t>0</w:t>
      </w:r>
      <w:r>
        <w:rPr>
          <w:color w:val="auto"/>
          <w:highlight w:val="none"/>
        </w:rPr>
        <w:t>；收入决算数为</w:t>
      </w:r>
      <w:r>
        <w:rPr>
          <w:rFonts w:hint="eastAsia"/>
          <w:color w:val="auto"/>
          <w:highlight w:val="none"/>
        </w:rPr>
        <w:t>2</w:t>
      </w:r>
      <w:r>
        <w:rPr>
          <w:rFonts w:hint="eastAsia"/>
          <w:color w:val="auto"/>
          <w:highlight w:val="none"/>
          <w:lang w:val="en-US" w:eastAsia="zh-CN"/>
        </w:rPr>
        <w:t>,</w:t>
      </w:r>
      <w:r>
        <w:rPr>
          <w:rFonts w:hint="eastAsia"/>
          <w:color w:val="auto"/>
          <w:highlight w:val="none"/>
        </w:rPr>
        <w:t>485</w:t>
      </w:r>
      <w:r>
        <w:rPr>
          <w:rFonts w:hint="eastAsia"/>
          <w:color w:val="auto"/>
          <w:highlight w:val="none"/>
          <w:lang w:val="en-US" w:eastAsia="zh-CN"/>
        </w:rPr>
        <w:t>,</w:t>
      </w:r>
      <w:r>
        <w:rPr>
          <w:rFonts w:hint="eastAsia"/>
          <w:color w:val="auto"/>
          <w:highlight w:val="none"/>
        </w:rPr>
        <w:t>396.8</w:t>
      </w:r>
      <w:r>
        <w:rPr>
          <w:color w:val="auto"/>
          <w:highlight w:val="none"/>
        </w:rPr>
        <w:t>元，</w:t>
      </w:r>
      <w:r>
        <w:rPr>
          <w:rFonts w:hint="eastAsia"/>
          <w:color w:val="auto"/>
          <w:highlight w:val="none"/>
          <w:lang w:val="en-US" w:eastAsia="zh-CN"/>
        </w:rPr>
        <w:t>完成年初预算的</w:t>
      </w:r>
      <w:r>
        <w:rPr>
          <w:rFonts w:hint="eastAsia"/>
          <w:color w:val="auto"/>
          <w:highlight w:val="none"/>
        </w:rPr>
        <w:t>100</w:t>
      </w:r>
      <w:r>
        <w:rPr>
          <w:color w:val="auto"/>
          <w:highlight w:val="none"/>
        </w:rPr>
        <w:t>%。各项收入完成情况详见表1-3：</w:t>
      </w:r>
    </w:p>
    <w:p>
      <w:pPr>
        <w:pStyle w:val="28"/>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Times New Roman" w:hAnsi="Times New Roman" w:eastAsia="FangSong_GB2312" w:cs="Times New Roman"/>
          <w:b/>
          <w:bCs/>
          <w:color w:val="auto"/>
          <w:sz w:val="24"/>
          <w:szCs w:val="24"/>
        </w:rPr>
      </w:pPr>
      <w:r>
        <w:rPr>
          <w:rFonts w:ascii="Times New Roman" w:hAnsi="Times New Roman" w:eastAsia="FangSong_GB2312" w:cs="Times New Roman"/>
          <w:b/>
          <w:bCs/>
          <w:color w:val="auto"/>
          <w:sz w:val="24"/>
          <w:szCs w:val="24"/>
        </w:rPr>
        <w:t>表1-32020年度</w:t>
      </w:r>
      <w:r>
        <w:rPr>
          <w:rFonts w:hint="eastAsia" w:ascii="Times New Roman" w:hAnsi="Times New Roman" w:eastAsia="FangSong_GB2312" w:cs="Times New Roman"/>
          <w:b/>
          <w:bCs/>
          <w:color w:val="auto"/>
          <w:sz w:val="24"/>
          <w:szCs w:val="24"/>
          <w:lang w:eastAsia="zh-CN"/>
        </w:rPr>
        <w:t>淮滨</w:t>
      </w:r>
      <w:r>
        <w:rPr>
          <w:rFonts w:hint="eastAsia" w:ascii="Times New Roman" w:hAnsi="Times New Roman" w:eastAsia="FangSong_GB2312" w:cs="Times New Roman"/>
          <w:b/>
          <w:bCs/>
          <w:color w:val="auto"/>
          <w:sz w:val="24"/>
          <w:szCs w:val="24"/>
        </w:rPr>
        <w:t>县委党校</w:t>
      </w:r>
      <w:r>
        <w:rPr>
          <w:rFonts w:ascii="Times New Roman" w:hAnsi="Times New Roman" w:eastAsia="FangSong_GB2312" w:cs="Times New Roman"/>
          <w:b/>
          <w:bCs/>
          <w:color w:val="auto"/>
          <w:sz w:val="24"/>
          <w:szCs w:val="24"/>
        </w:rPr>
        <w:t>收入预算执行情况表</w:t>
      </w:r>
    </w:p>
    <w:p>
      <w:pPr>
        <w:pStyle w:val="28"/>
        <w:keepNext w:val="0"/>
        <w:keepLines w:val="0"/>
        <w:pageBreakBefore w:val="0"/>
        <w:widowControl w:val="0"/>
        <w:kinsoku/>
        <w:wordWrap/>
        <w:overflowPunct/>
        <w:topLinePunct w:val="0"/>
        <w:autoSpaceDE/>
        <w:autoSpaceDN/>
        <w:bidi w:val="0"/>
        <w:adjustRightInd/>
        <w:snapToGrid/>
        <w:spacing w:line="320" w:lineRule="exact"/>
        <w:jc w:val="right"/>
        <w:textAlignment w:val="auto"/>
        <w:rPr>
          <w:rFonts w:ascii="Times New Roman" w:hAnsi="Times New Roman" w:eastAsia="FangSong_GB2312" w:cs="Times New Roman"/>
          <w:b/>
          <w:bCs/>
          <w:color w:val="auto"/>
          <w:sz w:val="24"/>
          <w:szCs w:val="24"/>
        </w:rPr>
      </w:pPr>
      <w:r>
        <w:rPr>
          <w:rFonts w:ascii="Times New Roman" w:hAnsi="Times New Roman" w:eastAsia="FangSong_GB2312" w:cs="Times New Roman"/>
          <w:b/>
          <w:bCs/>
          <w:color w:val="auto"/>
          <w:sz w:val="24"/>
          <w:szCs w:val="24"/>
        </w:rPr>
        <w:t>单位：元</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09"/>
        <w:gridCol w:w="1359"/>
        <w:gridCol w:w="1360"/>
        <w:gridCol w:w="1010"/>
        <w:gridCol w:w="1381"/>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blHeader/>
        </w:trPr>
        <w:tc>
          <w:tcPr>
            <w:tcW w:w="1384" w:type="pct"/>
            <w:shd w:val="clear" w:color="auto" w:fill="C0C0C0"/>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项目</w:t>
            </w:r>
          </w:p>
        </w:tc>
        <w:tc>
          <w:tcPr>
            <w:tcW w:w="815" w:type="pct"/>
            <w:shd w:val="clear" w:color="auto" w:fill="C0C0C0"/>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年初预算数</w:t>
            </w:r>
          </w:p>
        </w:tc>
        <w:tc>
          <w:tcPr>
            <w:tcW w:w="815" w:type="pct"/>
            <w:shd w:val="clear" w:color="auto" w:fill="C0C0C0"/>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调整预算数</w:t>
            </w:r>
          </w:p>
        </w:tc>
        <w:tc>
          <w:tcPr>
            <w:tcW w:w="605" w:type="pct"/>
            <w:shd w:val="clear" w:color="auto" w:fill="C0C0C0"/>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预算调整率</w:t>
            </w:r>
          </w:p>
        </w:tc>
        <w:tc>
          <w:tcPr>
            <w:tcW w:w="828" w:type="pct"/>
            <w:shd w:val="clear" w:color="auto" w:fill="C0C0C0"/>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决算数</w:t>
            </w:r>
          </w:p>
        </w:tc>
        <w:tc>
          <w:tcPr>
            <w:tcW w:w="550" w:type="pct"/>
            <w:shd w:val="clear" w:color="auto" w:fill="C0C0C0"/>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决算完成率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kern w:val="0"/>
                <w:sz w:val="21"/>
                <w:szCs w:val="21"/>
                <w:lang w:bidi="ar"/>
              </w:rPr>
            </w:pPr>
            <w:r>
              <w:rPr>
                <w:rFonts w:hint="default" w:ascii="Times New Roman" w:hAnsi="Times New Roman" w:eastAsia="仿宋_GB2312" w:cs="Times New Roman"/>
                <w:color w:val="auto"/>
                <w:kern w:val="0"/>
                <w:sz w:val="21"/>
                <w:szCs w:val="21"/>
                <w:lang w:bidi="ar"/>
              </w:rPr>
              <w:t>一、一般公共预算财政拨款收入</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rPr>
              <w:t>2485396.8</w:t>
            </w:r>
            <w:r>
              <w:rPr>
                <w:rFonts w:hint="eastAsia" w:ascii="Times New Roman" w:hAnsi="Times New Roman" w:eastAsia="仿宋_GB2312" w:cs="Times New Roman"/>
                <w:color w:val="auto"/>
                <w:sz w:val="21"/>
                <w:szCs w:val="21"/>
                <w:lang w:val="en-US" w:eastAsia="zh-CN"/>
              </w:rPr>
              <w:t>0</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rPr>
              <w:t>2485396.8</w:t>
            </w:r>
            <w:r>
              <w:rPr>
                <w:rFonts w:hint="eastAsia" w:ascii="Times New Roman" w:hAnsi="Times New Roman" w:eastAsia="仿宋_GB2312" w:cs="Times New Roman"/>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rPr>
              <w:t>2485396.8</w:t>
            </w:r>
            <w:r>
              <w:rPr>
                <w:rFonts w:hint="eastAsia" w:ascii="Times New Roman" w:hAnsi="Times New Roman" w:eastAsia="仿宋_GB2312" w:cs="Times New Roman"/>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二、政府性基金预算财政拨款收入</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三、国有资本经营预算财政拨款收入</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四、上级补助收入</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五、事业收入</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六、经营收入</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1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jc w:val="center"/>
              <w:rPr>
                <w:rFonts w:hint="eastAsia"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七、附属单位上缴收入</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60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28"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55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八、其他收入</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60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28"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55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kern w:val="0"/>
                <w:sz w:val="21"/>
                <w:szCs w:val="21"/>
                <w:lang w:bidi="ar"/>
              </w:rPr>
            </w:pPr>
            <w:r>
              <w:rPr>
                <w:rFonts w:hint="default" w:ascii="Times New Roman" w:hAnsi="Times New Roman" w:eastAsia="仿宋_GB2312" w:cs="Times New Roman"/>
                <w:color w:val="auto"/>
                <w:kern w:val="0"/>
                <w:sz w:val="21"/>
                <w:szCs w:val="21"/>
                <w:lang w:bidi="ar"/>
              </w:rPr>
              <w:t>本年收入合计</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default" w:ascii="Times New Roman" w:hAnsi="Times New Roman" w:eastAsia="仿宋_GB2312" w:cs="Times New Roman"/>
                <w:bCs/>
                <w:color w:val="auto"/>
                <w:kern w:val="0"/>
                <w:sz w:val="21"/>
                <w:szCs w:val="21"/>
                <w:lang w:bidi="ar"/>
              </w:rPr>
              <w:t>2485396.8</w:t>
            </w:r>
            <w:r>
              <w:rPr>
                <w:rFonts w:hint="eastAsia" w:ascii="Times New Roman" w:hAnsi="Times New Roman" w:eastAsia="仿宋_GB2312" w:cs="Times New Roman"/>
                <w:bCs/>
                <w:color w:val="auto"/>
                <w:kern w:val="0"/>
                <w:sz w:val="21"/>
                <w:szCs w:val="21"/>
                <w:lang w:val="en-US" w:eastAsia="zh-CN" w:bidi="ar"/>
              </w:rPr>
              <w:t>0</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default" w:ascii="Times New Roman" w:hAnsi="Times New Roman" w:eastAsia="仿宋_GB2312" w:cs="Times New Roman"/>
                <w:color w:val="auto"/>
                <w:sz w:val="21"/>
                <w:szCs w:val="21"/>
              </w:rPr>
              <w:t>2485396.8</w:t>
            </w:r>
            <w:r>
              <w:rPr>
                <w:rFonts w:hint="eastAsia" w:ascii="Times New Roman" w:hAnsi="Times New Roman" w:eastAsia="仿宋_GB2312" w:cs="Times New Roman"/>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rightChars="0"/>
              <w:jc w:val="center"/>
              <w:rPr>
                <w:rFonts w:hint="eastAsia" w:ascii="Times New Roman" w:hAnsi="Times New Roman" w:eastAsia="仿宋_GB2312" w:cs="Times New Roman"/>
                <w:bCs/>
                <w:color w:val="auto"/>
                <w:kern w:val="0"/>
                <w:sz w:val="21"/>
                <w:szCs w:val="21"/>
                <w:lang w:val="en-US" w:eastAsia="zh-CN" w:bidi="ar"/>
              </w:rPr>
            </w:pPr>
            <w:r>
              <w:rPr>
                <w:rFonts w:hint="default" w:ascii="Times New Roman" w:hAnsi="Times New Roman" w:eastAsia="仿宋_GB2312" w:cs="Times New Roman"/>
                <w:color w:val="auto"/>
                <w:sz w:val="21"/>
                <w:szCs w:val="21"/>
              </w:rPr>
              <w:t>2485396.8</w:t>
            </w:r>
            <w:r>
              <w:rPr>
                <w:rFonts w:hint="eastAsia" w:ascii="Times New Roman" w:hAnsi="Times New Roman" w:eastAsia="仿宋_GB2312" w:cs="Times New Roman"/>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rightChars="0"/>
              <w:jc w:val="center"/>
              <w:rPr>
                <w:rFonts w:hint="default" w:ascii="Times New Roman" w:hAnsi="Times New Roman" w:eastAsia="仿宋_GB2312" w:cs="Times New Roman"/>
                <w:bCs/>
                <w:color w:val="auto"/>
                <w:kern w:val="0"/>
                <w:sz w:val="21"/>
                <w:szCs w:val="21"/>
                <w:lang w:bidi="ar"/>
              </w:rPr>
            </w:pPr>
            <w:r>
              <w:rPr>
                <w:rFonts w:hint="eastAsia" w:ascii="Times New Roman" w:hAnsi="Times New Roman" w:eastAsia="仿宋_GB2312" w:cs="Times New Roman"/>
                <w:color w:val="auto"/>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使用非财政拨款结余</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60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28"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55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年初结转和结余</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60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828"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0</w:t>
            </w:r>
          </w:p>
        </w:tc>
        <w:tc>
          <w:tcPr>
            <w:tcW w:w="55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Cs/>
                <w:color w:val="auto"/>
                <w:kern w:val="0"/>
                <w:sz w:val="21"/>
                <w:szCs w:val="21"/>
                <w:lang w:val="en-US" w:eastAsia="zh-CN" w:bidi="ar"/>
              </w:rPr>
            </w:pPr>
            <w:r>
              <w:rPr>
                <w:rFonts w:hint="eastAsia" w:ascii="Times New Roman" w:hAnsi="Times New Roman" w:eastAsia="仿宋_GB2312" w:cs="Times New Roman"/>
                <w:bCs/>
                <w:color w:val="auto"/>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1384"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
                <w:bCs/>
                <w:color w:val="auto"/>
                <w:kern w:val="0"/>
                <w:sz w:val="21"/>
                <w:szCs w:val="21"/>
                <w:lang w:val="en-US" w:eastAsia="zh-CN" w:bidi="ar"/>
              </w:rPr>
            </w:pPr>
            <w:r>
              <w:rPr>
                <w:rFonts w:hint="eastAsia" w:ascii="Times New Roman" w:hAnsi="Times New Roman" w:eastAsia="仿宋_GB2312" w:cs="Times New Roman"/>
                <w:b/>
                <w:bCs/>
                <w:color w:val="auto"/>
                <w:kern w:val="0"/>
                <w:sz w:val="21"/>
                <w:szCs w:val="21"/>
                <w:lang w:val="en-US" w:eastAsia="zh-CN" w:bidi="ar"/>
              </w:rPr>
              <w:t>总计</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default" w:ascii="Times New Roman" w:hAnsi="Times New Roman" w:eastAsia="仿宋_GB2312" w:cs="Times New Roman"/>
                <w:b/>
                <w:bCs/>
                <w:color w:val="auto"/>
                <w:kern w:val="0"/>
                <w:sz w:val="21"/>
                <w:szCs w:val="21"/>
                <w:lang w:val="en-US" w:eastAsia="zh-CN" w:bidi="ar"/>
              </w:rPr>
            </w:pPr>
            <w:r>
              <w:rPr>
                <w:rFonts w:hint="eastAsia" w:ascii="Times New Roman" w:hAnsi="Times New Roman" w:eastAsia="仿宋_GB2312" w:cs="Times New Roman"/>
                <w:b/>
                <w:bCs/>
                <w:color w:val="auto"/>
                <w:kern w:val="0"/>
                <w:sz w:val="21"/>
                <w:szCs w:val="21"/>
                <w:lang w:val="en-US" w:eastAsia="zh-CN" w:bidi="ar"/>
              </w:rPr>
              <w:t>2485396.80</w:t>
            </w:r>
          </w:p>
        </w:tc>
        <w:tc>
          <w:tcPr>
            <w:tcW w:w="8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
                <w:bCs/>
                <w:color w:val="auto"/>
                <w:kern w:val="0"/>
                <w:sz w:val="21"/>
                <w:szCs w:val="21"/>
                <w:lang w:val="en-US" w:eastAsia="zh-CN" w:bidi="ar"/>
              </w:rPr>
            </w:pPr>
            <w:r>
              <w:rPr>
                <w:rFonts w:hint="default" w:ascii="Times New Roman" w:hAnsi="Times New Roman" w:eastAsia="仿宋_GB2312" w:cs="Times New Roman"/>
                <w:b/>
                <w:bCs/>
                <w:color w:val="auto"/>
                <w:sz w:val="21"/>
                <w:szCs w:val="21"/>
              </w:rPr>
              <w:t>2485396.8</w:t>
            </w:r>
            <w:r>
              <w:rPr>
                <w:rFonts w:hint="eastAsia" w:ascii="Times New Roman" w:hAnsi="Times New Roman" w:eastAsia="仿宋_GB2312" w:cs="Times New Roman"/>
                <w:b/>
                <w:bCs/>
                <w:color w:val="auto"/>
                <w:sz w:val="21"/>
                <w:szCs w:val="21"/>
                <w:lang w:val="en-US" w:eastAsia="zh-CN"/>
              </w:rPr>
              <w:t>0</w:t>
            </w:r>
          </w:p>
        </w:tc>
        <w:tc>
          <w:tcPr>
            <w:tcW w:w="60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right="0"/>
              <w:jc w:val="center"/>
              <w:textAlignment w:val="center"/>
              <w:rPr>
                <w:rFonts w:hint="eastAsia" w:ascii="Times New Roman" w:hAnsi="Times New Roman" w:eastAsia="仿宋_GB2312" w:cs="Times New Roman"/>
                <w:b/>
                <w:bCs/>
                <w:color w:val="auto"/>
                <w:kern w:val="0"/>
                <w:sz w:val="21"/>
                <w:szCs w:val="21"/>
                <w:lang w:val="en-US" w:eastAsia="zh-CN" w:bidi="ar"/>
              </w:rPr>
            </w:pPr>
            <w:r>
              <w:rPr>
                <w:rFonts w:hint="eastAsia" w:ascii="Times New Roman" w:hAnsi="Times New Roman" w:eastAsia="仿宋_GB2312" w:cs="Times New Roman"/>
                <w:b/>
                <w:bCs/>
                <w:color w:val="auto"/>
                <w:kern w:val="0"/>
                <w:sz w:val="21"/>
                <w:szCs w:val="21"/>
                <w:lang w:val="en-US" w:eastAsia="zh-CN" w:bidi="ar"/>
              </w:rPr>
              <w:t>0</w:t>
            </w:r>
          </w:p>
        </w:tc>
        <w:tc>
          <w:tcPr>
            <w:tcW w:w="828"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rightChars="0"/>
              <w:jc w:val="center"/>
              <w:rPr>
                <w:rFonts w:hint="eastAsia" w:ascii="Times New Roman" w:hAnsi="Times New Roman" w:eastAsia="仿宋_GB2312" w:cs="Times New Roman"/>
                <w:b/>
                <w:bCs/>
                <w:color w:val="auto"/>
                <w:kern w:val="0"/>
                <w:sz w:val="21"/>
                <w:szCs w:val="21"/>
                <w:lang w:val="en-US" w:eastAsia="zh-CN" w:bidi="ar"/>
              </w:rPr>
            </w:pPr>
            <w:r>
              <w:rPr>
                <w:rFonts w:hint="default" w:ascii="Times New Roman" w:hAnsi="Times New Roman" w:eastAsia="仿宋_GB2312" w:cs="Times New Roman"/>
                <w:b/>
                <w:bCs/>
                <w:color w:val="auto"/>
                <w:sz w:val="21"/>
                <w:szCs w:val="21"/>
              </w:rPr>
              <w:t>2485396.8</w:t>
            </w:r>
            <w:r>
              <w:rPr>
                <w:rFonts w:hint="eastAsia" w:ascii="Times New Roman" w:hAnsi="Times New Roman" w:eastAsia="仿宋_GB2312" w:cs="Times New Roman"/>
                <w:b/>
                <w:bCs/>
                <w:color w:val="auto"/>
                <w:sz w:val="21"/>
                <w:szCs w:val="21"/>
                <w:lang w:val="en-US" w:eastAsia="zh-CN"/>
              </w:rPr>
              <w:t>0</w:t>
            </w:r>
          </w:p>
        </w:tc>
        <w:tc>
          <w:tcPr>
            <w:tcW w:w="550"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ind w:right="0" w:rightChars="0"/>
              <w:jc w:val="center"/>
              <w:rPr>
                <w:rFonts w:hint="default" w:ascii="Times New Roman" w:hAnsi="Times New Roman" w:eastAsia="仿宋_GB2312" w:cs="Times New Roman"/>
                <w:b/>
                <w:bCs/>
                <w:color w:val="auto"/>
                <w:kern w:val="0"/>
                <w:sz w:val="21"/>
                <w:szCs w:val="21"/>
                <w:lang w:bidi="ar"/>
              </w:rPr>
            </w:pPr>
            <w:r>
              <w:rPr>
                <w:rFonts w:hint="eastAsia" w:ascii="Times New Roman" w:hAnsi="Times New Roman" w:eastAsia="仿宋_GB2312" w:cs="Times New Roman"/>
                <w:b/>
                <w:bCs/>
                <w:color w:val="auto"/>
                <w:sz w:val="21"/>
                <w:szCs w:val="21"/>
                <w:lang w:val="en-US" w:eastAsia="zh-CN"/>
              </w:rPr>
              <w:t>100%</w:t>
            </w:r>
          </w:p>
        </w:tc>
      </w:tr>
    </w:tbl>
    <w:p>
      <w:pPr>
        <w:pStyle w:val="6"/>
        <w:rPr>
          <w:color w:val="auto"/>
        </w:rPr>
      </w:pPr>
      <w:r>
        <w:rPr>
          <w:rFonts w:hint="eastAsia"/>
          <w:color w:val="auto"/>
        </w:rPr>
        <w:t>2</w:t>
      </w:r>
      <w:r>
        <w:rPr>
          <w:color w:val="auto"/>
        </w:rPr>
        <w:t>.预算支出安排及执行情况</w:t>
      </w:r>
    </w:p>
    <w:p>
      <w:pPr>
        <w:pStyle w:val="7"/>
        <w:rPr>
          <w:color w:val="auto"/>
        </w:rPr>
      </w:pPr>
      <w:r>
        <w:rPr>
          <w:color w:val="auto"/>
        </w:rPr>
        <w:t>2020年度，</w:t>
      </w:r>
      <w:r>
        <w:rPr>
          <w:rFonts w:hint="eastAsia"/>
          <w:color w:val="auto"/>
          <w:lang w:eastAsia="zh-CN"/>
        </w:rPr>
        <w:t>淮滨</w:t>
      </w:r>
      <w:r>
        <w:rPr>
          <w:rFonts w:hint="eastAsia"/>
          <w:color w:val="auto"/>
        </w:rPr>
        <w:t>县委党校</w:t>
      </w:r>
      <w:r>
        <w:rPr>
          <w:color w:val="auto"/>
        </w:rPr>
        <w:t>支出预算</w:t>
      </w:r>
      <w:r>
        <w:rPr>
          <w:rFonts w:hint="default" w:ascii="Times New Roman" w:hAnsi="Times New Roman" w:eastAsia="仿宋_GB2312" w:cs="Times New Roman"/>
          <w:kern w:val="2"/>
          <w:sz w:val="32"/>
          <w:szCs w:val="32"/>
        </w:rPr>
        <w:t>2</w:t>
      </w:r>
      <w:r>
        <w:rPr>
          <w:rFonts w:hint="eastAsia" w:eastAsia="仿宋_GB2312" w:cs="Times New Roman"/>
          <w:kern w:val="2"/>
          <w:sz w:val="32"/>
          <w:szCs w:val="32"/>
          <w:lang w:val="en-US" w:eastAsia="zh-CN"/>
        </w:rPr>
        <w:t>,</w:t>
      </w:r>
      <w:r>
        <w:rPr>
          <w:rFonts w:hint="default" w:ascii="Times New Roman" w:hAnsi="Times New Roman" w:eastAsia="仿宋_GB2312" w:cs="Times New Roman"/>
          <w:kern w:val="2"/>
          <w:sz w:val="32"/>
          <w:szCs w:val="32"/>
        </w:rPr>
        <w:t>485</w:t>
      </w:r>
      <w:r>
        <w:rPr>
          <w:rFonts w:hint="eastAsia" w:eastAsia="仿宋_GB2312" w:cs="Times New Roman"/>
          <w:kern w:val="2"/>
          <w:sz w:val="32"/>
          <w:szCs w:val="32"/>
          <w:lang w:val="en-US" w:eastAsia="zh-CN"/>
        </w:rPr>
        <w:t>,</w:t>
      </w:r>
      <w:r>
        <w:rPr>
          <w:rFonts w:hint="default" w:ascii="Times New Roman" w:hAnsi="Times New Roman" w:eastAsia="仿宋_GB2312" w:cs="Times New Roman"/>
          <w:kern w:val="2"/>
          <w:sz w:val="32"/>
          <w:szCs w:val="32"/>
        </w:rPr>
        <w:t>396.8</w:t>
      </w:r>
      <w:r>
        <w:rPr>
          <w:color w:val="auto"/>
        </w:rPr>
        <w:t>元</w:t>
      </w:r>
      <w:r>
        <w:rPr>
          <w:rFonts w:hint="eastAsia"/>
          <w:color w:val="auto"/>
          <w:lang w:eastAsia="zh-CN"/>
        </w:rPr>
        <w:t>，</w:t>
      </w:r>
      <w:r>
        <w:rPr>
          <w:color w:val="auto"/>
        </w:rPr>
        <w:t>支出决算</w:t>
      </w:r>
      <w:r>
        <w:rPr>
          <w:rFonts w:hint="eastAsia"/>
          <w:color w:val="auto"/>
        </w:rPr>
        <w:t>1</w:t>
      </w:r>
      <w:r>
        <w:rPr>
          <w:rFonts w:hint="eastAsia"/>
          <w:color w:val="auto"/>
          <w:lang w:val="en-US" w:eastAsia="zh-CN"/>
        </w:rPr>
        <w:t>,</w:t>
      </w:r>
      <w:r>
        <w:rPr>
          <w:rFonts w:hint="eastAsia"/>
          <w:color w:val="auto"/>
        </w:rPr>
        <w:t>778</w:t>
      </w:r>
      <w:r>
        <w:rPr>
          <w:rFonts w:hint="eastAsia"/>
          <w:color w:val="auto"/>
          <w:lang w:val="en-US" w:eastAsia="zh-CN"/>
        </w:rPr>
        <w:t>,</w:t>
      </w:r>
      <w:r>
        <w:rPr>
          <w:rFonts w:hint="eastAsia"/>
          <w:color w:val="auto"/>
        </w:rPr>
        <w:t>678.21</w:t>
      </w:r>
      <w:r>
        <w:rPr>
          <w:color w:val="auto"/>
        </w:rPr>
        <w:t>元，其中本年</w:t>
      </w:r>
      <w:r>
        <w:rPr>
          <w:rFonts w:hint="eastAsia"/>
          <w:color w:val="auto"/>
          <w:lang w:val="en-US" w:eastAsia="zh-CN"/>
        </w:rPr>
        <w:t>支出</w:t>
      </w:r>
      <w:r>
        <w:rPr>
          <w:rFonts w:hint="eastAsia"/>
          <w:color w:val="auto"/>
        </w:rPr>
        <w:t>1</w:t>
      </w:r>
      <w:r>
        <w:rPr>
          <w:rFonts w:hint="eastAsia"/>
          <w:color w:val="auto"/>
          <w:lang w:val="en-US" w:eastAsia="zh-CN"/>
        </w:rPr>
        <w:t>,</w:t>
      </w:r>
      <w:r>
        <w:rPr>
          <w:rFonts w:hint="eastAsia"/>
          <w:color w:val="auto"/>
        </w:rPr>
        <w:t>778</w:t>
      </w:r>
      <w:r>
        <w:rPr>
          <w:rFonts w:hint="eastAsia"/>
          <w:color w:val="auto"/>
          <w:lang w:val="en-US" w:eastAsia="zh-CN"/>
        </w:rPr>
        <w:t>,</w:t>
      </w:r>
      <w:r>
        <w:rPr>
          <w:rFonts w:hint="eastAsia"/>
          <w:color w:val="auto"/>
        </w:rPr>
        <w:t>678.21</w:t>
      </w:r>
      <w:r>
        <w:rPr>
          <w:color w:val="auto"/>
        </w:rPr>
        <w:t>元，</w:t>
      </w:r>
      <w:r>
        <w:rPr>
          <w:rFonts w:hint="eastAsia"/>
          <w:color w:val="auto"/>
          <w:lang w:val="en-US" w:eastAsia="zh-CN"/>
        </w:rPr>
        <w:t>剩余资金全部结转至下年，完成年初预算的</w:t>
      </w:r>
      <w:r>
        <w:rPr>
          <w:rFonts w:hint="eastAsia"/>
          <w:color w:val="auto"/>
          <w:highlight w:val="none"/>
          <w:lang w:val="en-US" w:eastAsia="zh-CN"/>
        </w:rPr>
        <w:t>71.57</w:t>
      </w:r>
      <w:r>
        <w:rPr>
          <w:color w:val="auto"/>
          <w:highlight w:val="none"/>
        </w:rPr>
        <w:t>%</w:t>
      </w:r>
      <w:r>
        <w:rPr>
          <w:color w:val="auto"/>
        </w:rPr>
        <w:t>。</w:t>
      </w:r>
    </w:p>
    <w:p>
      <w:pPr>
        <w:pStyle w:val="7"/>
        <w:rPr>
          <w:rFonts w:hint="eastAsia"/>
          <w:color w:val="auto"/>
        </w:rPr>
      </w:pPr>
      <w:r>
        <w:rPr>
          <w:rFonts w:hint="eastAsia"/>
          <w:color w:val="auto"/>
        </w:rPr>
        <w:t>由于党校在决算中将项目支出全部在基本支出中统计，无法区分基本支出和项目支出，因此基本支出和项目支出决算数以及预算执行率无法统计和计算。</w:t>
      </w:r>
    </w:p>
    <w:p>
      <w:pPr>
        <w:pStyle w:val="6"/>
        <w:rPr>
          <w:color w:val="auto"/>
        </w:rPr>
      </w:pPr>
      <w:r>
        <w:rPr>
          <w:color w:val="auto"/>
        </w:rPr>
        <w:t>3.“三公经费”预算安排及执行情况</w:t>
      </w:r>
    </w:p>
    <w:p>
      <w:pPr>
        <w:pStyle w:val="28"/>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Style w:val="48"/>
          <w:color w:val="auto"/>
        </w:rPr>
      </w:pPr>
      <w:r>
        <w:rPr>
          <w:rStyle w:val="48"/>
          <w:color w:val="auto"/>
        </w:rPr>
        <w:t>2020年度，</w:t>
      </w:r>
      <w:r>
        <w:rPr>
          <w:rStyle w:val="48"/>
          <w:rFonts w:hint="eastAsia" w:eastAsia="仿宋"/>
          <w:color w:val="auto"/>
          <w:lang w:eastAsia="zh-CN"/>
        </w:rPr>
        <w:t>淮滨</w:t>
      </w:r>
      <w:r>
        <w:rPr>
          <w:rStyle w:val="48"/>
          <w:rFonts w:hint="eastAsia"/>
          <w:color w:val="auto"/>
        </w:rPr>
        <w:t>县委党校</w:t>
      </w:r>
      <w:r>
        <w:rPr>
          <w:rStyle w:val="48"/>
          <w:color w:val="auto"/>
        </w:rPr>
        <w:t>“三公经费”预算安排</w:t>
      </w:r>
      <w:r>
        <w:rPr>
          <w:rStyle w:val="48"/>
          <w:rFonts w:hint="eastAsia" w:eastAsia="仿宋"/>
          <w:color w:val="auto"/>
          <w:lang w:val="en-US" w:eastAsia="zh-CN"/>
        </w:rPr>
        <w:t>3.1</w:t>
      </w:r>
      <w:r>
        <w:rPr>
          <w:rStyle w:val="48"/>
          <w:color w:val="auto"/>
        </w:rPr>
        <w:t>万元，决算数</w:t>
      </w:r>
      <w:r>
        <w:rPr>
          <w:rStyle w:val="48"/>
          <w:rFonts w:hint="eastAsia" w:eastAsia="仿宋"/>
          <w:color w:val="auto"/>
          <w:lang w:val="en-US" w:eastAsia="zh-CN"/>
        </w:rPr>
        <w:t>3.1</w:t>
      </w:r>
      <w:r>
        <w:rPr>
          <w:rStyle w:val="48"/>
          <w:color w:val="auto"/>
        </w:rPr>
        <w:t>万元</w:t>
      </w:r>
      <w:r>
        <w:rPr>
          <w:rStyle w:val="48"/>
          <w:rFonts w:hint="eastAsia"/>
          <w:color w:val="auto"/>
        </w:rPr>
        <w:t>，</w:t>
      </w:r>
      <w:r>
        <w:rPr>
          <w:rStyle w:val="48"/>
          <w:rFonts w:hint="eastAsia" w:eastAsia="仿宋"/>
          <w:color w:val="auto"/>
          <w:lang w:val="en-US" w:eastAsia="zh-CN"/>
        </w:rPr>
        <w:t>完成年初预算的100%</w:t>
      </w:r>
      <w:r>
        <w:rPr>
          <w:rStyle w:val="48"/>
          <w:rFonts w:hint="eastAsia"/>
          <w:color w:val="auto"/>
        </w:rPr>
        <w:t>。</w:t>
      </w:r>
    </w:p>
    <w:p>
      <w:pPr>
        <w:pStyle w:val="5"/>
        <w:ind w:firstLine="643"/>
        <w:rPr>
          <w:color w:val="auto"/>
        </w:rPr>
      </w:pPr>
      <w:bookmarkStart w:id="15" w:name="_Toc30471"/>
      <w:bookmarkStart w:id="16" w:name="_Toc48914512"/>
      <w:bookmarkStart w:id="17" w:name="_Toc16957"/>
      <w:r>
        <w:rPr>
          <w:rFonts w:hint="eastAsia"/>
          <w:color w:val="auto"/>
        </w:rPr>
        <w:t>（三）部门管理情况</w:t>
      </w:r>
      <w:bookmarkEnd w:id="15"/>
      <w:bookmarkEnd w:id="16"/>
      <w:bookmarkEnd w:id="17"/>
    </w:p>
    <w:p>
      <w:pPr>
        <w:pStyle w:val="6"/>
        <w:rPr>
          <w:color w:val="auto"/>
        </w:rPr>
      </w:pPr>
      <w:bookmarkStart w:id="18" w:name="_Toc23991"/>
      <w:bookmarkStart w:id="19" w:name="_Toc29117"/>
      <w:r>
        <w:rPr>
          <w:rFonts w:hint="eastAsia"/>
          <w:color w:val="auto"/>
        </w:rPr>
        <w:t>1</w:t>
      </w:r>
      <w:r>
        <w:rPr>
          <w:color w:val="auto"/>
        </w:rPr>
        <w:t>.</w:t>
      </w:r>
      <w:r>
        <w:rPr>
          <w:rFonts w:hint="eastAsia"/>
          <w:color w:val="auto"/>
        </w:rPr>
        <w:t>财务</w:t>
      </w:r>
      <w:r>
        <w:rPr>
          <w:color w:val="auto"/>
        </w:rPr>
        <w:t>管理</w:t>
      </w:r>
      <w:bookmarkEnd w:id="18"/>
      <w:bookmarkEnd w:id="19"/>
    </w:p>
    <w:p>
      <w:pPr>
        <w:pStyle w:val="7"/>
        <w:rPr>
          <w:color w:val="auto"/>
        </w:rPr>
      </w:pPr>
      <w:bookmarkStart w:id="20" w:name="_Toc10951"/>
      <w:bookmarkStart w:id="21" w:name="_Toc5919"/>
      <w:r>
        <w:rPr>
          <w:rFonts w:hint="eastAsia"/>
          <w:color w:val="auto"/>
        </w:rPr>
        <w:t>根据部门财务管理规定，</w:t>
      </w:r>
      <w:r>
        <w:rPr>
          <w:rFonts w:hint="eastAsia"/>
          <w:color w:val="auto"/>
          <w:lang w:eastAsia="zh-CN"/>
        </w:rPr>
        <w:t>淮滨</w:t>
      </w:r>
      <w:r>
        <w:rPr>
          <w:rFonts w:hint="eastAsia"/>
          <w:color w:val="auto"/>
        </w:rPr>
        <w:t>县委党校的各项收入由财会部门归口管计核算。各项收入全部纳入单位预算，统一核算，统一管理。</w:t>
      </w:r>
      <w:bookmarkEnd w:id="20"/>
      <w:bookmarkEnd w:id="21"/>
      <w:r>
        <w:rPr>
          <w:rFonts w:hint="eastAsia"/>
          <w:color w:val="auto"/>
          <w:lang w:eastAsia="zh-CN"/>
        </w:rPr>
        <w:t>淮滨</w:t>
      </w:r>
      <w:r>
        <w:rPr>
          <w:rFonts w:hint="eastAsia"/>
          <w:color w:val="auto"/>
        </w:rPr>
        <w:t>县委党校建立健全支出内部管理制度，确定单位经济活动的各项支出标准，明确支出报销流程，按照规定办理支出事项。按照支出业务的类型，明确了内部审批、审核、支付、核算和归档等支出各关键岗位的职责权限。加强支出审核、审批控制。</w:t>
      </w:r>
    </w:p>
    <w:p>
      <w:pPr>
        <w:pStyle w:val="6"/>
        <w:rPr>
          <w:color w:val="auto"/>
        </w:rPr>
      </w:pPr>
      <w:r>
        <w:rPr>
          <w:rFonts w:hint="eastAsia"/>
          <w:color w:val="auto"/>
        </w:rPr>
        <w:t>2.采购管理</w:t>
      </w:r>
    </w:p>
    <w:p>
      <w:pPr>
        <w:pStyle w:val="7"/>
        <w:rPr>
          <w:color w:val="auto"/>
        </w:rPr>
      </w:pPr>
      <w:r>
        <w:rPr>
          <w:rFonts w:hint="eastAsia"/>
          <w:color w:val="auto"/>
          <w:lang w:eastAsia="zh-CN"/>
        </w:rPr>
        <w:t>淮滨</w:t>
      </w:r>
      <w:r>
        <w:rPr>
          <w:rFonts w:hint="eastAsia"/>
          <w:color w:val="auto"/>
        </w:rPr>
        <w:t>县委党校加强对政府采购业务预算与计划的管理。建立预算编制、政府采购和资产管理等部门或岗位之间的沟通协调机制。根据本单位实际需求和相关标准编制政府采购预算，按照已批复的预算安排政府采购计划。加强对政府采购申请的内部审核，按照规定选择政府采购方式、发布政府采购信息。对政府采购进口产品、变更政府采购方式等事项应当加强内部审核，严格履行审批手续。</w:t>
      </w:r>
    </w:p>
    <w:p>
      <w:pPr>
        <w:pStyle w:val="6"/>
        <w:rPr>
          <w:color w:val="auto"/>
        </w:rPr>
      </w:pPr>
      <w:r>
        <w:rPr>
          <w:rFonts w:hint="eastAsia"/>
          <w:color w:val="auto"/>
        </w:rPr>
        <w:t>3.资产管理</w:t>
      </w:r>
    </w:p>
    <w:p>
      <w:pPr>
        <w:pStyle w:val="7"/>
        <w:rPr>
          <w:color w:val="auto"/>
        </w:rPr>
      </w:pPr>
      <w:r>
        <w:rPr>
          <w:rFonts w:hint="eastAsia" w:ascii="FangSong_GB2312" w:hAnsi="仿宋" w:cs="仿宋"/>
          <w:color w:val="auto"/>
          <w:szCs w:val="32"/>
        </w:rPr>
        <w:t>为确保资产安全、充分发挥国有资产的使用效益，</w:t>
      </w:r>
      <w:r>
        <w:rPr>
          <w:rFonts w:hint="eastAsia" w:ascii="FangSong_GB2312" w:hAnsi="仿宋" w:cs="仿宋"/>
          <w:color w:val="auto"/>
          <w:szCs w:val="32"/>
          <w:lang w:eastAsia="zh-CN"/>
        </w:rPr>
        <w:t>淮滨</w:t>
      </w:r>
      <w:r>
        <w:rPr>
          <w:rFonts w:hint="eastAsia" w:ascii="FangSong_GB2312" w:hAnsi="仿宋" w:cs="仿宋"/>
          <w:color w:val="auto"/>
          <w:szCs w:val="32"/>
        </w:rPr>
        <w:t>县委党校特制定了资产管理制度。建立健全货币资金管理岗位责任制，合理设置岗位。加强对银行账户的管理，严格按照规定的审批权限和程序开立、变更和撤销银行账户。加强对实物资产和无形资产的管理，明确相关部门和岗位的职责权限，强化对配置、使用和处置等关键环节的管控。</w:t>
      </w:r>
    </w:p>
    <w:p>
      <w:pPr>
        <w:pStyle w:val="5"/>
        <w:ind w:firstLine="643"/>
        <w:rPr>
          <w:color w:val="auto"/>
        </w:rPr>
      </w:pPr>
      <w:bookmarkStart w:id="22" w:name="_Toc284"/>
      <w:bookmarkStart w:id="23" w:name="_Toc48914513"/>
      <w:bookmarkStart w:id="24" w:name="_Toc24748"/>
      <w:bookmarkStart w:id="25" w:name="_Toc15596"/>
      <w:r>
        <w:rPr>
          <w:rFonts w:hint="eastAsia"/>
          <w:color w:val="auto"/>
        </w:rPr>
        <w:t>（四）部门年度重点工作</w:t>
      </w:r>
      <w:bookmarkEnd w:id="22"/>
      <w:bookmarkEnd w:id="23"/>
      <w:bookmarkEnd w:id="24"/>
      <w:bookmarkEnd w:id="25"/>
    </w:p>
    <w:p>
      <w:pPr>
        <w:pStyle w:val="7"/>
        <w:rPr>
          <w:rFonts w:hint="default" w:eastAsia="仿宋"/>
          <w:color w:val="auto"/>
          <w:lang w:val="en-US" w:eastAsia="zh-CN"/>
        </w:rPr>
      </w:pPr>
      <w:r>
        <w:rPr>
          <w:rFonts w:hint="eastAsia"/>
          <w:color w:val="auto"/>
        </w:rPr>
        <w:t>2020年</w:t>
      </w:r>
      <w:r>
        <w:rPr>
          <w:rFonts w:hint="eastAsia"/>
          <w:color w:val="auto"/>
          <w:lang w:val="en-US" w:eastAsia="zh-CN"/>
        </w:rPr>
        <w:t>度</w:t>
      </w:r>
      <w:r>
        <w:rPr>
          <w:rFonts w:hint="eastAsia"/>
          <w:color w:val="auto"/>
        </w:rPr>
        <w:t>，</w:t>
      </w:r>
      <w:r>
        <w:rPr>
          <w:rFonts w:hint="eastAsia"/>
          <w:color w:val="auto"/>
          <w:lang w:val="en-US" w:eastAsia="zh-CN"/>
        </w:rPr>
        <w:t>淮滨县</w:t>
      </w:r>
      <w:r>
        <w:rPr>
          <w:rFonts w:hint="eastAsia"/>
          <w:color w:val="auto"/>
        </w:rPr>
        <w:t>校深入贯彻习近平新时代中国特色社会主义思想和视察河南的讲话精神，坚持党校姓党，积极发挥干部培训主渠道、理论宣讲主阵地、党性锻炼大熔炉的作用</w:t>
      </w:r>
      <w:r>
        <w:rPr>
          <w:rFonts w:hint="eastAsia"/>
          <w:color w:val="auto"/>
          <w:lang w:eastAsia="zh-CN"/>
        </w:rPr>
        <w:t>，</w:t>
      </w:r>
      <w:r>
        <w:rPr>
          <w:rFonts w:hint="eastAsia"/>
          <w:color w:val="auto"/>
        </w:rPr>
        <w:t>为服务</w:t>
      </w:r>
      <w:r>
        <w:rPr>
          <w:rFonts w:hint="eastAsia"/>
          <w:color w:val="auto"/>
          <w:lang w:val="en-US" w:eastAsia="zh-CN"/>
        </w:rPr>
        <w:t>淮滨</w:t>
      </w:r>
      <w:r>
        <w:rPr>
          <w:rFonts w:hint="eastAsia"/>
          <w:color w:val="auto"/>
        </w:rPr>
        <w:t>县委中心工作提供了智力支持和人才保障。</w:t>
      </w:r>
      <w:r>
        <w:rPr>
          <w:rFonts w:hint="eastAsia"/>
          <w:color w:val="auto"/>
          <w:lang w:val="en-US" w:eastAsia="zh-CN"/>
        </w:rPr>
        <w:t>按照工作职责开展党员干部培训和教师进修工作。</w:t>
      </w:r>
    </w:p>
    <w:p>
      <w:pPr>
        <w:pStyle w:val="7"/>
        <w:bidi w:val="0"/>
        <w:rPr>
          <w:rFonts w:hint="default"/>
          <w:b w:val="0"/>
          <w:bCs w:val="0"/>
          <w:color w:val="auto"/>
          <w:lang w:val="en-US" w:eastAsia="zh-CN"/>
        </w:rPr>
      </w:pPr>
      <w:r>
        <w:rPr>
          <w:rFonts w:hint="eastAsia"/>
          <w:b/>
          <w:bCs/>
          <w:color w:val="auto"/>
          <w:lang w:val="en-US" w:eastAsia="zh-CN"/>
        </w:rPr>
        <w:t>党员干部培训工作：</w:t>
      </w:r>
      <w:r>
        <w:rPr>
          <w:rFonts w:hint="eastAsia"/>
          <w:b w:val="0"/>
          <w:bCs w:val="0"/>
          <w:color w:val="auto"/>
          <w:lang w:val="en-US" w:eastAsia="zh-CN"/>
        </w:rPr>
        <w:t>按照豫组通〔2018〕29号《关于进一步加强县级党校主体班次培训工作的通知》要求，积极举办6类12期主体班，培训学员1535人，其中科级干部培训班1期45人、中青年干部培训班1期41人、村（社区）党支部书记培训班1期107人、入党积极分子培训班1期140人、党员培训示范班4期590人、村“两委”干部培训班2期317人、村“两委”后备干部培训班2期295人。淮滨县党校根据淮滨县委中心工作需要，分别与淮滨县扶贫办、农业局等单位联合开展业务培训，举办8期，培训1260人，更好服务了县委中心工作。淮滨县党校完成了市委党校全市处级班、科级班、中青班三个主体班156人，在淮滨县的现场教学培训任务。淮滨县党校选派教师深入基层开展了习近平新时代中国特色社会主义思想、习近平总书记考察调研河南深入信阳革命老区的重要讲话精神、党的十九届四中、五中全会精神等宣讲工作，宣讲52场，1600多人参加了听课。同时淮滨县党校配合各基层党校，对本单位党员全员培训，让每个党员都有机会参加党校学习，接受党性锻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default" w:ascii="Times New Roman" w:hAnsi="Times New Roman" w:eastAsia="仿宋" w:cs="Times New Roman"/>
          <w:b w:val="0"/>
          <w:bCs w:val="0"/>
          <w:color w:val="auto"/>
          <w:kern w:val="0"/>
          <w:sz w:val="32"/>
          <w:szCs w:val="32"/>
          <w:lang w:val="en-US" w:eastAsia="zh-CN" w:bidi="ar-SA"/>
        </w:rPr>
      </w:pPr>
      <w:r>
        <w:rPr>
          <w:rFonts w:hint="eastAsia" w:ascii="Times New Roman" w:hAnsi="Times New Roman" w:eastAsia="仿宋" w:cs="Times New Roman"/>
          <w:b/>
          <w:bCs/>
          <w:color w:val="auto"/>
          <w:kern w:val="0"/>
          <w:sz w:val="32"/>
          <w:szCs w:val="32"/>
          <w:lang w:val="en-US" w:eastAsia="zh-CN" w:bidi="ar-SA"/>
        </w:rPr>
        <w:t>教师进修工作：</w:t>
      </w:r>
      <w:r>
        <w:rPr>
          <w:rFonts w:hint="eastAsia" w:ascii="Times New Roman" w:hAnsi="Times New Roman" w:eastAsia="仿宋" w:cs="Times New Roman"/>
          <w:b w:val="0"/>
          <w:bCs w:val="0"/>
          <w:color w:val="auto"/>
          <w:kern w:val="0"/>
          <w:sz w:val="32"/>
          <w:szCs w:val="32"/>
          <w:lang w:val="en-US" w:eastAsia="zh-CN" w:bidi="ar-SA"/>
        </w:rPr>
        <w:t>淮滨县党校与清华大学继续教育学院沟通联系续签了远程教学协议，开通了清华大学远程教学乡村振兴淮滨站点，申请到中央党校网上党校教学账号，同步收看中央党校和清华大学教育教学现场视频，组织学员收听收看30多场，有力地提升了党校教师教学水平。教师进修工作支出211,200元。</w:t>
      </w:r>
    </w:p>
    <w:p>
      <w:pPr>
        <w:pStyle w:val="5"/>
        <w:ind w:firstLine="643"/>
        <w:rPr>
          <w:color w:val="auto"/>
        </w:rPr>
      </w:pPr>
      <w:bookmarkStart w:id="26" w:name="_Toc6899"/>
      <w:bookmarkStart w:id="27" w:name="_Toc48914514"/>
      <w:bookmarkStart w:id="28" w:name="_Toc8476"/>
      <w:r>
        <w:rPr>
          <w:rFonts w:hint="eastAsia"/>
          <w:color w:val="auto"/>
        </w:rPr>
        <w:t>（五）部门目标</w:t>
      </w:r>
      <w:bookmarkEnd w:id="26"/>
      <w:bookmarkEnd w:id="27"/>
      <w:bookmarkEnd w:id="28"/>
    </w:p>
    <w:p>
      <w:pPr>
        <w:pStyle w:val="6"/>
        <w:rPr>
          <w:color w:val="auto"/>
        </w:rPr>
      </w:pPr>
      <w:bookmarkStart w:id="29" w:name="_Toc16797"/>
      <w:bookmarkStart w:id="30" w:name="_Toc32427"/>
      <w:r>
        <w:rPr>
          <w:color w:val="auto"/>
        </w:rPr>
        <w:t>1.总体目标</w:t>
      </w:r>
      <w:bookmarkEnd w:id="29"/>
      <w:bookmarkEnd w:id="30"/>
    </w:p>
    <w:p>
      <w:pPr>
        <w:pStyle w:val="7"/>
        <w:rPr>
          <w:rFonts w:hint="eastAsia" w:eastAsia="FangSong_GB2312"/>
          <w:color w:val="auto"/>
          <w:lang w:val="en-US" w:eastAsia="zh-CN"/>
        </w:rPr>
      </w:pPr>
      <w:r>
        <w:rPr>
          <w:color w:val="auto"/>
        </w:rPr>
        <w:t>以习近平新时代中国特色社会主义思想为指导，深入学习贯彻党的十九届四中全会精神，以实施《中国共产党党校（行政学院）工作条例》为契机，扎实做好新时代党校（行政学院）工作，充分发挥干部培训、思想引领、理论建设、决策咨询作用，突出党的理论教育和党性教育主业主课地位，围绕</w:t>
      </w:r>
      <w:r>
        <w:rPr>
          <w:rFonts w:hint="eastAsia"/>
          <w:color w:val="auto"/>
          <w:lang w:val="en-US" w:eastAsia="zh-CN"/>
        </w:rPr>
        <w:t>信阳</w:t>
      </w:r>
      <w:r>
        <w:rPr>
          <w:color w:val="auto"/>
        </w:rPr>
        <w:t>市委确定的</w:t>
      </w:r>
      <w:r>
        <w:rPr>
          <w:rFonts w:hint="eastAsia"/>
          <w:color w:val="auto"/>
          <w:lang w:eastAsia="zh-CN"/>
        </w:rPr>
        <w:t>淮滨</w:t>
      </w:r>
      <w:r>
        <w:rPr>
          <w:color w:val="auto"/>
        </w:rPr>
        <w:t>“东强”战略布局，当好</w:t>
      </w:r>
      <w:r>
        <w:rPr>
          <w:rFonts w:hint="eastAsia"/>
          <w:color w:val="auto"/>
          <w:lang w:val="en-US" w:eastAsia="zh-CN"/>
        </w:rPr>
        <w:t>淮滨</w:t>
      </w:r>
      <w:r>
        <w:rPr>
          <w:color w:val="auto"/>
        </w:rPr>
        <w:t>县委、县政府的“思想库”“智囊团”，推进</w:t>
      </w:r>
      <w:r>
        <w:rPr>
          <w:rFonts w:hint="eastAsia"/>
          <w:color w:val="auto"/>
          <w:lang w:val="en-US" w:eastAsia="zh-CN"/>
        </w:rPr>
        <w:t>淮滨</w:t>
      </w:r>
      <w:r>
        <w:rPr>
          <w:color w:val="auto"/>
        </w:rPr>
        <w:t>县党员干部队伍素质能力提升，为决胜全面建成小康社会提供坚强</w:t>
      </w:r>
      <w:r>
        <w:rPr>
          <w:rFonts w:hint="eastAsia"/>
          <w:color w:val="auto"/>
          <w:lang w:val="en-US" w:eastAsia="zh-CN"/>
        </w:rPr>
        <w:t>保障。</w:t>
      </w:r>
    </w:p>
    <w:p>
      <w:pPr>
        <w:pStyle w:val="6"/>
        <w:rPr>
          <w:color w:val="auto"/>
        </w:rPr>
      </w:pPr>
      <w:bookmarkStart w:id="31" w:name="_Toc30300"/>
      <w:bookmarkStart w:id="32" w:name="_Toc26768"/>
      <w:r>
        <w:rPr>
          <w:color w:val="auto"/>
        </w:rPr>
        <w:t>2.年度目标</w:t>
      </w:r>
      <w:bookmarkEnd w:id="31"/>
      <w:bookmarkEnd w:id="32"/>
    </w:p>
    <w:p>
      <w:pPr>
        <w:pStyle w:val="7"/>
        <w:rPr>
          <w:color w:val="auto"/>
        </w:rPr>
      </w:pPr>
      <w:r>
        <w:rPr>
          <w:rFonts w:hint="eastAsia"/>
          <w:color w:val="auto"/>
          <w:lang w:val="en-US" w:eastAsia="zh-CN"/>
        </w:rPr>
        <w:t>2020年度，</w:t>
      </w:r>
      <w:r>
        <w:rPr>
          <w:rFonts w:hint="eastAsia"/>
          <w:color w:val="auto"/>
        </w:rPr>
        <w:t>以习近平总书记重要讲话精神为指导，紧紧围绕</w:t>
      </w:r>
      <w:r>
        <w:rPr>
          <w:rFonts w:hint="eastAsia"/>
          <w:color w:val="auto"/>
          <w:lang w:val="en-US" w:eastAsia="zh-CN"/>
        </w:rPr>
        <w:t>淮滨</w:t>
      </w:r>
      <w:r>
        <w:rPr>
          <w:rFonts w:hint="eastAsia"/>
          <w:color w:val="auto"/>
        </w:rPr>
        <w:t>县中心工作，服务</w:t>
      </w:r>
      <w:r>
        <w:rPr>
          <w:rFonts w:hint="eastAsia"/>
          <w:color w:val="auto"/>
          <w:lang w:val="en-US" w:eastAsia="zh-CN"/>
        </w:rPr>
        <w:t>淮滨</w:t>
      </w:r>
      <w:r>
        <w:rPr>
          <w:rFonts w:hint="eastAsia"/>
          <w:color w:val="auto"/>
        </w:rPr>
        <w:t>县发展大局，坚持“党校姓党”的办学方针，努力实现“内强素质、外树形象、求实创新、争创一流”的工作目标。</w:t>
      </w:r>
    </w:p>
    <w:p>
      <w:pPr>
        <w:pStyle w:val="4"/>
        <w:rPr>
          <w:color w:val="auto"/>
        </w:rPr>
      </w:pPr>
      <w:bookmarkStart w:id="33" w:name="_Toc10761"/>
      <w:bookmarkStart w:id="34" w:name="_Toc21252"/>
      <w:r>
        <w:rPr>
          <w:rFonts w:hint="eastAsia"/>
          <w:color w:val="auto"/>
        </w:rPr>
        <w:t>二、绩效评价工作开展情况</w:t>
      </w:r>
      <w:bookmarkEnd w:id="33"/>
      <w:bookmarkEnd w:id="34"/>
    </w:p>
    <w:p>
      <w:pPr>
        <w:pStyle w:val="5"/>
        <w:numPr>
          <w:ilvl w:val="1"/>
          <w:numId w:val="0"/>
        </w:numPr>
        <w:ind w:left="420" w:leftChars="200"/>
        <w:rPr>
          <w:color w:val="auto"/>
        </w:rPr>
      </w:pPr>
      <w:bookmarkStart w:id="35" w:name="_Toc31832"/>
      <w:bookmarkStart w:id="36" w:name="_Toc20561"/>
      <w:r>
        <w:rPr>
          <w:rFonts w:hint="eastAsia"/>
          <w:color w:val="auto"/>
        </w:rPr>
        <w:t>（一）评价目的、对象和范围</w:t>
      </w:r>
      <w:bookmarkEnd w:id="35"/>
      <w:bookmarkEnd w:id="36"/>
    </w:p>
    <w:p>
      <w:pPr>
        <w:pStyle w:val="6"/>
        <w:rPr>
          <w:color w:val="auto"/>
        </w:rPr>
      </w:pPr>
      <w:r>
        <w:rPr>
          <w:rFonts w:hint="eastAsia"/>
          <w:color w:val="auto"/>
        </w:rPr>
        <w:t>1.评价目的</w:t>
      </w:r>
    </w:p>
    <w:p>
      <w:pPr>
        <w:pStyle w:val="7"/>
        <w:rPr>
          <w:color w:val="auto"/>
        </w:rPr>
      </w:pPr>
      <w:r>
        <w:rPr>
          <w:rFonts w:hint="eastAsia"/>
          <w:color w:val="auto"/>
          <w:lang w:val="en-US" w:eastAsia="zh-CN"/>
        </w:rPr>
        <w:t>此次评价</w:t>
      </w:r>
      <w:r>
        <w:rPr>
          <w:color w:val="auto"/>
        </w:rPr>
        <w:t>通过收集</w:t>
      </w:r>
      <w:r>
        <w:rPr>
          <w:rFonts w:hint="eastAsia"/>
          <w:color w:val="auto"/>
          <w:lang w:val="en-US" w:eastAsia="zh-CN"/>
        </w:rPr>
        <w:t>淮滨</w:t>
      </w:r>
      <w:r>
        <w:rPr>
          <w:rFonts w:hint="eastAsia"/>
          <w:color w:val="auto"/>
        </w:rPr>
        <w:t>县委党校的</w:t>
      </w:r>
      <w:r>
        <w:rPr>
          <w:color w:val="auto"/>
        </w:rPr>
        <w:t>职能</w:t>
      </w:r>
      <w:r>
        <w:rPr>
          <w:rFonts w:hint="eastAsia"/>
          <w:color w:val="auto"/>
        </w:rPr>
        <w:t>规划</w:t>
      </w:r>
      <w:r>
        <w:rPr>
          <w:color w:val="auto"/>
        </w:rPr>
        <w:t>、</w:t>
      </w:r>
      <w:r>
        <w:rPr>
          <w:rFonts w:hint="eastAsia"/>
          <w:color w:val="auto"/>
        </w:rPr>
        <w:t>整体</w:t>
      </w:r>
      <w:r>
        <w:rPr>
          <w:color w:val="auto"/>
        </w:rPr>
        <w:t>管理、职能履行等信息，分析</w:t>
      </w:r>
      <w:r>
        <w:rPr>
          <w:rFonts w:hint="eastAsia"/>
          <w:color w:val="auto"/>
          <w:lang w:eastAsia="zh-CN"/>
        </w:rPr>
        <w:t>淮滨</w:t>
      </w:r>
      <w:r>
        <w:rPr>
          <w:rFonts w:hint="eastAsia"/>
          <w:color w:val="auto"/>
        </w:rPr>
        <w:t>县委党校</w:t>
      </w:r>
      <w:r>
        <w:rPr>
          <w:color w:val="auto"/>
        </w:rPr>
        <w:t>部门基本支出、</w:t>
      </w:r>
      <w:r>
        <w:rPr>
          <w:rFonts w:hint="eastAsia"/>
          <w:color w:val="auto"/>
        </w:rPr>
        <w:t>项目</w:t>
      </w:r>
      <w:r>
        <w:rPr>
          <w:color w:val="auto"/>
        </w:rPr>
        <w:t>支出对部门基本运转及部门职能履行的保障作用。围绕部门和单位职责、行业发展规划，以预算资金管理为主线，统筹考虑资产和业务活动，从</w:t>
      </w:r>
      <w:r>
        <w:rPr>
          <w:rFonts w:hint="eastAsia"/>
          <w:color w:val="auto"/>
        </w:rPr>
        <w:t>部门决策、部门管理</w:t>
      </w:r>
      <w:r>
        <w:rPr>
          <w:color w:val="auto"/>
        </w:rPr>
        <w:t>、履职效能、</w:t>
      </w:r>
      <w:r>
        <w:rPr>
          <w:rFonts w:hint="eastAsia"/>
          <w:color w:val="auto"/>
        </w:rPr>
        <w:t>履职效益</w:t>
      </w:r>
      <w:r>
        <w:rPr>
          <w:color w:val="auto"/>
        </w:rPr>
        <w:t>等方面，衡量部门和</w:t>
      </w:r>
      <w:r>
        <w:rPr>
          <w:rFonts w:hint="eastAsia"/>
          <w:color w:val="auto"/>
        </w:rPr>
        <w:t>预算</w:t>
      </w:r>
      <w:r>
        <w:rPr>
          <w:color w:val="auto"/>
        </w:rPr>
        <w:t>单位整体及核心业务实施效果，推动提高部门和单位整体绩效水平。通过总结经验做法，分析</w:t>
      </w:r>
      <w:r>
        <w:rPr>
          <w:rFonts w:hint="eastAsia"/>
          <w:color w:val="auto"/>
          <w:lang w:eastAsia="zh-CN"/>
        </w:rPr>
        <w:t>淮滨</w:t>
      </w:r>
      <w:r>
        <w:rPr>
          <w:rFonts w:hint="eastAsia"/>
          <w:color w:val="auto"/>
        </w:rPr>
        <w:t>县委党校</w:t>
      </w:r>
      <w:r>
        <w:rPr>
          <w:color w:val="auto"/>
        </w:rPr>
        <w:t>资金使用、资金管理和部门履职中的薄弱环节，提出改进建议，提高财政资金使用效率。</w:t>
      </w:r>
    </w:p>
    <w:p>
      <w:pPr>
        <w:pStyle w:val="6"/>
        <w:ind w:left="0" w:leftChars="0" w:firstLine="643" w:firstLineChars="200"/>
        <w:rPr>
          <w:color w:val="auto"/>
        </w:rPr>
      </w:pPr>
      <w:r>
        <w:rPr>
          <w:rFonts w:hint="eastAsia"/>
          <w:color w:val="auto"/>
        </w:rPr>
        <w:t>2.评价对象及范围</w:t>
      </w:r>
    </w:p>
    <w:p>
      <w:pPr>
        <w:pStyle w:val="7"/>
        <w:rPr>
          <w:color w:val="auto"/>
        </w:rPr>
      </w:pPr>
      <w:bookmarkStart w:id="37" w:name="_Toc26678"/>
      <w:r>
        <w:rPr>
          <w:color w:val="auto"/>
        </w:rPr>
        <w:t>本次评价对象为</w:t>
      </w:r>
      <w:r>
        <w:rPr>
          <w:rFonts w:hint="eastAsia"/>
          <w:color w:val="auto"/>
          <w:lang w:eastAsia="zh-CN"/>
        </w:rPr>
        <w:t>淮滨</w:t>
      </w:r>
      <w:r>
        <w:rPr>
          <w:rFonts w:hint="eastAsia"/>
          <w:color w:val="auto"/>
        </w:rPr>
        <w:t>县委党校</w:t>
      </w:r>
      <w:r>
        <w:rPr>
          <w:color w:val="auto"/>
        </w:rPr>
        <w:t>2020年度部门整体预算资金，共计</w:t>
      </w:r>
      <w:r>
        <w:rPr>
          <w:rFonts w:hint="eastAsia"/>
          <w:color w:val="auto"/>
        </w:rPr>
        <w:t>2</w:t>
      </w:r>
      <w:r>
        <w:rPr>
          <w:rFonts w:hint="eastAsia"/>
          <w:color w:val="auto"/>
          <w:lang w:val="en-US" w:eastAsia="zh-CN"/>
        </w:rPr>
        <w:t>,</w:t>
      </w:r>
      <w:r>
        <w:rPr>
          <w:rFonts w:hint="eastAsia"/>
          <w:color w:val="auto"/>
        </w:rPr>
        <w:t>485</w:t>
      </w:r>
      <w:r>
        <w:rPr>
          <w:rFonts w:hint="eastAsia"/>
          <w:color w:val="auto"/>
          <w:lang w:val="en-US" w:eastAsia="zh-CN"/>
        </w:rPr>
        <w:t>,</w:t>
      </w:r>
      <w:r>
        <w:rPr>
          <w:rFonts w:hint="eastAsia"/>
          <w:color w:val="auto"/>
        </w:rPr>
        <w:t>396.8</w:t>
      </w:r>
      <w:r>
        <w:rPr>
          <w:color w:val="auto"/>
        </w:rPr>
        <w:t>元。评价时段为2020年1月1日至12月31日。评价范围涉及</w:t>
      </w:r>
      <w:r>
        <w:rPr>
          <w:rFonts w:hint="eastAsia"/>
          <w:color w:val="auto"/>
          <w:lang w:eastAsia="zh-CN"/>
        </w:rPr>
        <w:t>淮滨</w:t>
      </w:r>
      <w:r>
        <w:rPr>
          <w:rFonts w:hint="eastAsia"/>
          <w:color w:val="auto"/>
        </w:rPr>
        <w:t>县委党校</w:t>
      </w:r>
      <w:r>
        <w:rPr>
          <w:color w:val="auto"/>
        </w:rPr>
        <w:t>各业务科室。评价内容包含部门决策、部门管理、履职绩效、可持续发展能力、服务对象满意度等。</w:t>
      </w:r>
    </w:p>
    <w:p>
      <w:pPr>
        <w:pStyle w:val="5"/>
        <w:numPr>
          <w:ilvl w:val="255"/>
          <w:numId w:val="0"/>
        </w:numPr>
        <w:ind w:firstLine="643" w:firstLineChars="200"/>
        <w:rPr>
          <w:color w:val="auto"/>
        </w:rPr>
      </w:pPr>
      <w:bookmarkStart w:id="38" w:name="_Toc21515"/>
      <w:r>
        <w:rPr>
          <w:rFonts w:hint="eastAsia"/>
          <w:color w:val="auto"/>
        </w:rPr>
        <w:t>（二）评价原则及过程</w:t>
      </w:r>
      <w:bookmarkEnd w:id="37"/>
      <w:bookmarkEnd w:id="38"/>
    </w:p>
    <w:p>
      <w:pPr>
        <w:pStyle w:val="6"/>
        <w:rPr>
          <w:color w:val="auto"/>
        </w:rPr>
      </w:pPr>
      <w:r>
        <w:rPr>
          <w:rFonts w:hint="eastAsia"/>
          <w:color w:val="auto"/>
        </w:rPr>
        <w:t>1.评价原则</w:t>
      </w:r>
    </w:p>
    <w:p>
      <w:pPr>
        <w:pStyle w:val="7"/>
        <w:ind w:firstLine="643"/>
        <w:rPr>
          <w:b/>
          <w:bCs/>
          <w:color w:val="auto"/>
        </w:rPr>
      </w:pPr>
      <w:r>
        <w:rPr>
          <w:rFonts w:hint="eastAsia"/>
          <w:b/>
          <w:bCs/>
          <w:color w:val="auto"/>
          <w:lang w:val="en-US" w:eastAsia="zh-CN"/>
        </w:rPr>
        <w:t>一是</w:t>
      </w:r>
      <w:r>
        <w:rPr>
          <w:b/>
          <w:bCs/>
          <w:color w:val="auto"/>
        </w:rPr>
        <w:t>立足整体，关注重点</w:t>
      </w:r>
      <w:r>
        <w:rPr>
          <w:rFonts w:hint="eastAsia"/>
          <w:b/>
          <w:bCs/>
          <w:color w:val="auto"/>
        </w:rPr>
        <w:t>。</w:t>
      </w:r>
      <w:r>
        <w:rPr>
          <w:color w:val="auto"/>
        </w:rPr>
        <w:t>对部门的职能、职责进行重要性排序，与重要职能、职责紧密相关的工作重点</w:t>
      </w:r>
      <w:r>
        <w:rPr>
          <w:rFonts w:hint="eastAsia"/>
          <w:color w:val="auto"/>
        </w:rPr>
        <w:t>、核心业务</w:t>
      </w:r>
      <w:r>
        <w:rPr>
          <w:color w:val="auto"/>
        </w:rPr>
        <w:t>进行管理，与职能职责关系不紧密的工作进行关联性、必要性分析。在对部门经常性经费、人员经费等进行绩效管理时，选择具有代表性的对象进行量化管理。</w:t>
      </w:r>
    </w:p>
    <w:p>
      <w:pPr>
        <w:pStyle w:val="7"/>
        <w:ind w:firstLine="643"/>
        <w:rPr>
          <w:b/>
          <w:bCs/>
          <w:color w:val="auto"/>
        </w:rPr>
      </w:pPr>
      <w:r>
        <w:rPr>
          <w:rFonts w:hint="eastAsia"/>
          <w:b/>
          <w:bCs/>
          <w:color w:val="auto"/>
          <w:lang w:val="en-US" w:eastAsia="zh-CN"/>
        </w:rPr>
        <w:t>二是</w:t>
      </w:r>
      <w:r>
        <w:rPr>
          <w:b/>
          <w:bCs/>
          <w:color w:val="auto"/>
        </w:rPr>
        <w:t>立足支出，以财评事</w:t>
      </w:r>
      <w:r>
        <w:rPr>
          <w:rFonts w:hint="eastAsia"/>
          <w:b/>
          <w:bCs/>
          <w:color w:val="auto"/>
        </w:rPr>
        <w:t>。</w:t>
      </w:r>
      <w:r>
        <w:rPr>
          <w:color w:val="auto"/>
        </w:rPr>
        <w:t>收集、整理、总结部门的职能定位、中长期规划和年度工作计划，同时梳理部门预算尤其是项目预算，明确预算与职能的匹配性</w:t>
      </w:r>
      <w:r>
        <w:rPr>
          <w:rFonts w:hint="eastAsia"/>
          <w:color w:val="auto"/>
        </w:rPr>
        <w:t>。以部门整体支出评价为重点，兼顾部门收入。通过对财政资金支出方向、使用进度进行分析评判，</w:t>
      </w:r>
      <w:r>
        <w:rPr>
          <w:color w:val="auto"/>
        </w:rPr>
        <w:t>全面、客观反映部门年度</w:t>
      </w:r>
      <w:r>
        <w:rPr>
          <w:rFonts w:hint="eastAsia"/>
          <w:color w:val="auto"/>
        </w:rPr>
        <w:t>预算安排、工作开展、资金使用、</w:t>
      </w:r>
      <w:r>
        <w:rPr>
          <w:color w:val="auto"/>
        </w:rPr>
        <w:t>履职</w:t>
      </w:r>
      <w:r>
        <w:rPr>
          <w:rFonts w:hint="eastAsia"/>
          <w:color w:val="auto"/>
        </w:rPr>
        <w:t>成效的关联性与匹配度。</w:t>
      </w:r>
    </w:p>
    <w:p>
      <w:pPr>
        <w:pStyle w:val="7"/>
        <w:ind w:firstLine="643"/>
        <w:rPr>
          <w:b/>
          <w:bCs/>
          <w:color w:val="auto"/>
        </w:rPr>
      </w:pPr>
      <w:r>
        <w:rPr>
          <w:rFonts w:hint="eastAsia"/>
          <w:b/>
          <w:bCs/>
          <w:color w:val="auto"/>
          <w:lang w:val="en-US" w:eastAsia="zh-CN"/>
        </w:rPr>
        <w:t>三是</w:t>
      </w:r>
      <w:r>
        <w:rPr>
          <w:b/>
          <w:bCs/>
          <w:color w:val="auto"/>
        </w:rPr>
        <w:t>立足工作计划，考察部门履职</w:t>
      </w:r>
      <w:r>
        <w:rPr>
          <w:rFonts w:hint="eastAsia"/>
          <w:b/>
          <w:bCs/>
          <w:color w:val="auto"/>
        </w:rPr>
        <w:t>。</w:t>
      </w:r>
      <w:r>
        <w:rPr>
          <w:rFonts w:hint="eastAsia"/>
          <w:color w:val="auto"/>
        </w:rPr>
        <w:t>部门整体预算绩效</w:t>
      </w:r>
      <w:r>
        <w:rPr>
          <w:color w:val="auto"/>
        </w:rPr>
        <w:t>评价的基础和出发点是部门当年度工作计划，以及与之相匹配的预算明细构成，对应近三年相关工作的延续性和变化原因，</w:t>
      </w:r>
      <w:r>
        <w:rPr>
          <w:rFonts w:hint="eastAsia"/>
          <w:color w:val="auto"/>
        </w:rPr>
        <w:t>结合部门中长期发展规划，</w:t>
      </w:r>
      <w:r>
        <w:rPr>
          <w:color w:val="auto"/>
        </w:rPr>
        <w:t>分析评价当年度部门职能履行程度和目标实现情况。</w:t>
      </w:r>
    </w:p>
    <w:p>
      <w:pPr>
        <w:pStyle w:val="6"/>
        <w:rPr>
          <w:color w:val="auto"/>
        </w:rPr>
      </w:pPr>
      <w:r>
        <w:rPr>
          <w:rFonts w:hint="eastAsia"/>
          <w:color w:val="auto"/>
        </w:rPr>
        <w:t>2.评价过程</w:t>
      </w:r>
    </w:p>
    <w:p>
      <w:pPr>
        <w:pStyle w:val="7"/>
        <w:rPr>
          <w:color w:val="auto"/>
          <w:lang w:val="zh-CN"/>
        </w:rPr>
      </w:pPr>
      <w:r>
        <w:rPr>
          <w:color w:val="auto"/>
        </w:rPr>
        <w:t>此次绩效评价主要包括前期准备、现场调研、数据分析与报告撰写</w:t>
      </w:r>
      <w:r>
        <w:rPr>
          <w:rFonts w:hint="eastAsia"/>
          <w:color w:val="auto"/>
          <w:lang w:val="en-US" w:eastAsia="zh-CN"/>
        </w:rPr>
        <w:t>三</w:t>
      </w:r>
      <w:r>
        <w:rPr>
          <w:color w:val="auto"/>
        </w:rPr>
        <w:t>个阶段。具体各项工作</w:t>
      </w:r>
      <w:r>
        <w:rPr>
          <w:rFonts w:hint="eastAsia"/>
          <w:color w:val="auto"/>
        </w:rPr>
        <w:t>进展</w:t>
      </w:r>
      <w:r>
        <w:rPr>
          <w:color w:val="auto"/>
        </w:rPr>
        <w:t>详见表2-1</w:t>
      </w:r>
      <w:r>
        <w:rPr>
          <w:color w:val="auto"/>
          <w:lang w:val="zh-CN"/>
        </w:rPr>
        <w:t>：</w:t>
      </w:r>
    </w:p>
    <w:p>
      <w:pPr>
        <w:pStyle w:val="75"/>
        <w:spacing w:before="0" w:beforeLines="0" w:line="500" w:lineRule="exact"/>
        <w:rPr>
          <w:rFonts w:eastAsia="FangSong_GB2312"/>
          <w:color w:val="auto"/>
          <w:sz w:val="24"/>
        </w:rPr>
      </w:pPr>
      <w:r>
        <w:rPr>
          <w:rFonts w:eastAsia="FangSong_GB2312"/>
          <w:color w:val="auto"/>
          <w:sz w:val="24"/>
        </w:rPr>
        <w:t>表2-1评价实施安排情况表</w:t>
      </w:r>
    </w:p>
    <w:tbl>
      <w:tblPr>
        <w:tblStyle w:val="22"/>
        <w:tblW w:w="4998" w:type="pct"/>
        <w:jc w:val="center"/>
        <w:tblLayout w:type="autofit"/>
        <w:tblCellMar>
          <w:top w:w="0" w:type="dxa"/>
          <w:left w:w="0" w:type="dxa"/>
          <w:bottom w:w="0" w:type="dxa"/>
          <w:right w:w="0" w:type="dxa"/>
        </w:tblCellMar>
      </w:tblPr>
      <w:tblGrid>
        <w:gridCol w:w="790"/>
        <w:gridCol w:w="1305"/>
        <w:gridCol w:w="3332"/>
        <w:gridCol w:w="2906"/>
      </w:tblGrid>
      <w:tr>
        <w:trPr>
          <w:trHeight w:val="425" w:hRule="atLeast"/>
          <w:tblHeader/>
          <w:jc w:val="center"/>
        </w:trPr>
        <w:tc>
          <w:tcPr>
            <w:tcW w:w="474" w:type="pct"/>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序号</w:t>
            </w:r>
          </w:p>
        </w:tc>
        <w:tc>
          <w:tcPr>
            <w:tcW w:w="783" w:type="pct"/>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工作流程</w:t>
            </w:r>
          </w:p>
        </w:tc>
        <w:tc>
          <w:tcPr>
            <w:tcW w:w="1999" w:type="pct"/>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工作内容</w:t>
            </w:r>
          </w:p>
        </w:tc>
        <w:tc>
          <w:tcPr>
            <w:tcW w:w="1743" w:type="pct"/>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color w:val="auto"/>
                <w:sz w:val="21"/>
                <w:szCs w:val="21"/>
              </w:rPr>
            </w:pPr>
            <w:r>
              <w:rPr>
                <w:rFonts w:hint="default" w:ascii="Times New Roman" w:hAnsi="Times New Roman" w:eastAsia="仿宋_GB2312" w:cs="Times New Roman"/>
                <w:b/>
                <w:color w:val="auto"/>
                <w:kern w:val="0"/>
                <w:sz w:val="21"/>
                <w:szCs w:val="21"/>
                <w:lang w:bidi="ar"/>
              </w:rPr>
              <w:t>工作时间</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1</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kern w:val="0"/>
                <w:sz w:val="21"/>
                <w:szCs w:val="21"/>
                <w:lang w:val="en-US" w:eastAsia="zh-CN" w:bidi="ar"/>
              </w:rPr>
            </w:pPr>
            <w:r>
              <w:rPr>
                <w:rFonts w:hint="default" w:ascii="Times New Roman" w:hAnsi="Times New Roman" w:eastAsia="仿宋_GB2312" w:cs="Times New Roman"/>
                <w:color w:val="auto"/>
                <w:kern w:val="0"/>
                <w:sz w:val="21"/>
                <w:szCs w:val="21"/>
                <w:lang w:bidi="ar"/>
              </w:rPr>
              <w:t>前期</w:t>
            </w:r>
            <w:r>
              <w:rPr>
                <w:rFonts w:hint="default" w:ascii="Times New Roman" w:hAnsi="Times New Roman" w:eastAsia="仿宋_GB2312" w:cs="Times New Roman"/>
                <w:color w:val="auto"/>
                <w:kern w:val="0"/>
                <w:sz w:val="21"/>
                <w:szCs w:val="21"/>
                <w:lang w:val="en-US" w:eastAsia="zh-CN" w:bidi="ar"/>
              </w:rPr>
              <w:t>准备</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阶段</w:t>
            </w: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成立评价工作组</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2021年</w:t>
            </w:r>
            <w:r>
              <w:rPr>
                <w:rFonts w:hint="default" w:ascii="Times New Roman" w:hAnsi="Times New Roman" w:eastAsia="仿宋_GB2312" w:cs="Times New Roman"/>
                <w:color w:val="auto"/>
                <w:kern w:val="0"/>
                <w:sz w:val="21"/>
                <w:szCs w:val="21"/>
                <w:lang w:val="en-US" w:eastAsia="zh-CN" w:bidi="ar"/>
              </w:rPr>
              <w:t>11</w:t>
            </w:r>
            <w:r>
              <w:rPr>
                <w:rFonts w:hint="default" w:ascii="Times New Roman" w:hAnsi="Times New Roman" w:eastAsia="仿宋_GB2312" w:cs="Times New Roman"/>
                <w:color w:val="auto"/>
                <w:kern w:val="0"/>
                <w:sz w:val="21"/>
                <w:szCs w:val="21"/>
                <w:lang w:bidi="ar"/>
              </w:rPr>
              <w:t>月</w:t>
            </w:r>
            <w:r>
              <w:rPr>
                <w:rFonts w:hint="default" w:ascii="Times New Roman" w:hAnsi="Times New Roman" w:eastAsia="仿宋_GB2312" w:cs="Times New Roman"/>
                <w:color w:val="auto"/>
                <w:kern w:val="0"/>
                <w:sz w:val="21"/>
                <w:szCs w:val="21"/>
                <w:lang w:val="en-US" w:eastAsia="zh-CN" w:bidi="ar"/>
              </w:rPr>
              <w:t>2</w:t>
            </w:r>
            <w:r>
              <w:rPr>
                <w:rFonts w:hint="default" w:ascii="Times New Roman" w:hAnsi="Times New Roman" w:eastAsia="仿宋_GB2312" w:cs="Times New Roman"/>
                <w:color w:val="auto"/>
                <w:kern w:val="0"/>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w:t>
            </w: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仿宋_GB2312" w:cs="Times New Roman"/>
                <w:color w:val="auto"/>
                <w:sz w:val="21"/>
                <w:szCs w:val="21"/>
              </w:rPr>
            </w:pP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收集资料，梳理部门基本情况，拟定工作方案，设计指标体系</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7"/>
                <w:rFonts w:hint="default" w:ascii="Times New Roman" w:hAnsi="Times New Roman" w:eastAsia="仿宋_GB2312" w:cs="Times New Roman"/>
                <w:color w:val="auto"/>
                <w:sz w:val="21"/>
                <w:szCs w:val="21"/>
                <w:lang w:val="en-US" w:eastAsia="zh-CN" w:bidi="ar"/>
              </w:rPr>
              <w:t>2</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1</w:t>
            </w:r>
            <w:r>
              <w:rPr>
                <w:rStyle w:val="76"/>
                <w:rFonts w:hint="default" w:ascii="Times New Roman" w:hAnsi="Times New Roman" w:eastAsia="仿宋_GB2312" w:cs="Times New Roman"/>
                <w:color w:val="auto"/>
                <w:sz w:val="21"/>
                <w:szCs w:val="21"/>
                <w:lang w:val="en-US" w:eastAsia="zh-CN" w:bidi="ar"/>
              </w:rPr>
              <w:t>1</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3</w:t>
            </w: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仿宋_GB2312" w:cs="Times New Roman"/>
                <w:color w:val="auto"/>
                <w:sz w:val="21"/>
                <w:szCs w:val="21"/>
              </w:rPr>
            </w:pP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kern w:val="0"/>
                <w:sz w:val="21"/>
                <w:szCs w:val="21"/>
                <w:lang w:bidi="ar"/>
              </w:rPr>
            </w:pPr>
            <w:r>
              <w:rPr>
                <w:rFonts w:hint="default" w:ascii="Times New Roman" w:hAnsi="Times New Roman" w:eastAsia="仿宋_GB2312" w:cs="Times New Roman"/>
                <w:color w:val="auto"/>
                <w:kern w:val="0"/>
                <w:sz w:val="21"/>
                <w:szCs w:val="21"/>
                <w:lang w:bidi="ar"/>
              </w:rPr>
              <w:t>完善绩效评价工作方案和指标体系，形成初稿提交</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11</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20</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4</w:t>
            </w: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仿宋_GB2312" w:cs="Times New Roman"/>
                <w:color w:val="auto"/>
                <w:sz w:val="21"/>
                <w:szCs w:val="21"/>
              </w:rPr>
            </w:pP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kern w:val="0"/>
                <w:sz w:val="21"/>
                <w:szCs w:val="21"/>
                <w:lang w:bidi="ar"/>
              </w:rPr>
            </w:pPr>
            <w:r>
              <w:rPr>
                <w:rFonts w:hint="default" w:ascii="Times New Roman" w:hAnsi="Times New Roman" w:eastAsia="仿宋_GB2312" w:cs="Times New Roman"/>
                <w:color w:val="auto"/>
                <w:kern w:val="0"/>
                <w:sz w:val="21"/>
                <w:szCs w:val="21"/>
                <w:lang w:bidi="ar"/>
              </w:rPr>
              <w:t>结合部门意见对工作方案进行完善，准备部署现场调研工作。</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21</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23</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5</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kern w:val="0"/>
                <w:sz w:val="21"/>
                <w:szCs w:val="21"/>
                <w:lang w:bidi="ar"/>
              </w:rPr>
            </w:pPr>
            <w:r>
              <w:rPr>
                <w:rFonts w:hint="default" w:ascii="Times New Roman" w:hAnsi="Times New Roman" w:eastAsia="仿宋_GB2312" w:cs="Times New Roman"/>
                <w:color w:val="auto"/>
                <w:kern w:val="0"/>
                <w:sz w:val="21"/>
                <w:szCs w:val="21"/>
                <w:lang w:bidi="ar"/>
              </w:rPr>
              <w:t>现场调研</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阶段</w:t>
            </w: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kern w:val="0"/>
                <w:sz w:val="21"/>
                <w:szCs w:val="21"/>
                <w:lang w:bidi="ar"/>
              </w:rPr>
            </w:pPr>
            <w:r>
              <w:rPr>
                <w:rFonts w:hint="default" w:ascii="Times New Roman" w:hAnsi="Times New Roman" w:eastAsia="仿宋_GB2312" w:cs="Times New Roman"/>
                <w:color w:val="auto"/>
                <w:kern w:val="0"/>
                <w:sz w:val="21"/>
                <w:szCs w:val="21"/>
                <w:lang w:bidi="ar"/>
              </w:rPr>
              <w:t>现场调研：基础数据表填报与数据复核、访谈、问卷</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24</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2</w:t>
            </w:r>
            <w:r>
              <w:rPr>
                <w:rStyle w:val="76"/>
                <w:rFonts w:hint="default" w:ascii="Times New Roman" w:hAnsi="Times New Roman" w:eastAsia="仿宋_GB2312" w:cs="Times New Roman"/>
                <w:color w:val="auto"/>
                <w:sz w:val="21"/>
                <w:szCs w:val="21"/>
                <w:lang w:val="en-US" w:eastAsia="zh-CN" w:bidi="ar"/>
              </w:rPr>
              <w:t>7</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6</w:t>
            </w: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仿宋_GB2312" w:cs="Times New Roman"/>
                <w:color w:val="auto"/>
                <w:sz w:val="21"/>
                <w:szCs w:val="21"/>
              </w:rPr>
            </w:pP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梳理汇总，形成工作底稿</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val="en-US" w:eastAsia="zh-CN" w:bidi="ar"/>
              </w:rPr>
              <w:t>28</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11</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30</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7</w:t>
            </w:r>
          </w:p>
        </w:tc>
        <w:tc>
          <w:tcPr>
            <w:tcW w:w="783" w:type="pct"/>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数据分析与报告撰写阶段</w:t>
            </w: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数据汇总和录入、数据分析</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1</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2</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8</w:t>
            </w:r>
          </w:p>
        </w:tc>
        <w:tc>
          <w:tcPr>
            <w:tcW w:w="783" w:type="pct"/>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仿宋_GB2312" w:cs="Times New Roman"/>
                <w:color w:val="auto"/>
                <w:sz w:val="21"/>
                <w:szCs w:val="21"/>
              </w:rPr>
            </w:pP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指标评分</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3</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5</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9</w:t>
            </w:r>
          </w:p>
        </w:tc>
        <w:tc>
          <w:tcPr>
            <w:tcW w:w="783" w:type="pct"/>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仿宋_GB2312" w:cs="Times New Roman"/>
                <w:color w:val="auto"/>
                <w:sz w:val="21"/>
                <w:szCs w:val="21"/>
              </w:rPr>
            </w:pP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撰写评价报告，形成初稿</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6</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15</w:t>
            </w:r>
            <w:r>
              <w:rPr>
                <w:rStyle w:val="77"/>
                <w:rFonts w:hint="default" w:ascii="Times New Roman" w:hAnsi="Times New Roman" w:eastAsia="仿宋_GB2312" w:cs="Times New Roman"/>
                <w:color w:val="auto"/>
                <w:sz w:val="21"/>
                <w:szCs w:val="21"/>
                <w:lang w:bidi="ar"/>
              </w:rPr>
              <w:t>日</w:t>
            </w:r>
          </w:p>
        </w:tc>
      </w:tr>
      <w:tr>
        <w:tblPrEx>
          <w:tblCellMar>
            <w:top w:w="0" w:type="dxa"/>
            <w:left w:w="0" w:type="dxa"/>
            <w:bottom w:w="0" w:type="dxa"/>
            <w:right w:w="0" w:type="dxa"/>
          </w:tblCellMar>
        </w:tblPrEx>
        <w:trPr>
          <w:trHeight w:val="425" w:hRule="atLeast"/>
          <w:jc w:val="center"/>
        </w:trPr>
        <w:tc>
          <w:tcPr>
            <w:tcW w:w="4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10</w:t>
            </w:r>
          </w:p>
        </w:tc>
        <w:tc>
          <w:tcPr>
            <w:tcW w:w="783" w:type="pct"/>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仿宋_GB2312" w:cs="Times New Roman"/>
                <w:color w:val="auto"/>
                <w:sz w:val="21"/>
                <w:szCs w:val="21"/>
              </w:rPr>
            </w:pPr>
          </w:p>
        </w:tc>
        <w:tc>
          <w:tcPr>
            <w:tcW w:w="19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根据委托方及部门意见对报告进行修改完善。</w:t>
            </w:r>
          </w:p>
        </w:tc>
        <w:tc>
          <w:tcPr>
            <w:tcW w:w="17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2021</w:t>
            </w:r>
            <w:r>
              <w:rPr>
                <w:rStyle w:val="77"/>
                <w:rFonts w:hint="default" w:ascii="Times New Roman" w:hAnsi="Times New Roman" w:eastAsia="仿宋_GB2312" w:cs="Times New Roman"/>
                <w:color w:val="auto"/>
                <w:sz w:val="21"/>
                <w:szCs w:val="21"/>
                <w:lang w:bidi="ar"/>
              </w:rPr>
              <w:t>年</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16</w:t>
            </w:r>
            <w:r>
              <w:rPr>
                <w:rStyle w:val="77"/>
                <w:rFonts w:hint="default" w:ascii="Times New Roman" w:hAnsi="Times New Roman" w:eastAsia="仿宋_GB2312" w:cs="Times New Roman"/>
                <w:color w:val="auto"/>
                <w:sz w:val="21"/>
                <w:szCs w:val="21"/>
                <w:lang w:bidi="ar"/>
              </w:rPr>
              <w:t>日</w:t>
            </w:r>
            <w:r>
              <w:rPr>
                <w:rStyle w:val="77"/>
                <w:rFonts w:hint="eastAsia" w:ascii="Times New Roman" w:hAnsi="Times New Roman" w:eastAsia="仿宋_GB2312" w:cs="Times New Roman"/>
                <w:color w:val="auto"/>
                <w:sz w:val="21"/>
                <w:szCs w:val="21"/>
                <w:lang w:eastAsia="zh-CN" w:bidi="ar"/>
              </w:rPr>
              <w:t>－</w:t>
            </w:r>
            <w:r>
              <w:rPr>
                <w:rStyle w:val="76"/>
                <w:rFonts w:hint="default" w:ascii="Times New Roman" w:hAnsi="Times New Roman" w:eastAsia="仿宋_GB2312" w:cs="Times New Roman"/>
                <w:color w:val="auto"/>
                <w:sz w:val="21"/>
                <w:szCs w:val="21"/>
                <w:lang w:val="en-US" w:eastAsia="zh-CN" w:bidi="ar"/>
              </w:rPr>
              <w:t>12</w:t>
            </w:r>
            <w:r>
              <w:rPr>
                <w:rStyle w:val="77"/>
                <w:rFonts w:hint="default" w:ascii="Times New Roman" w:hAnsi="Times New Roman" w:eastAsia="仿宋_GB2312" w:cs="Times New Roman"/>
                <w:color w:val="auto"/>
                <w:sz w:val="21"/>
                <w:szCs w:val="21"/>
                <w:lang w:bidi="ar"/>
              </w:rPr>
              <w:t>月</w:t>
            </w:r>
            <w:r>
              <w:rPr>
                <w:rStyle w:val="76"/>
                <w:rFonts w:hint="default" w:ascii="Times New Roman" w:hAnsi="Times New Roman" w:eastAsia="仿宋_GB2312" w:cs="Times New Roman"/>
                <w:color w:val="auto"/>
                <w:sz w:val="21"/>
                <w:szCs w:val="21"/>
                <w:lang w:bidi="ar"/>
              </w:rPr>
              <w:t>20</w:t>
            </w:r>
            <w:r>
              <w:rPr>
                <w:rStyle w:val="77"/>
                <w:rFonts w:hint="default" w:ascii="Times New Roman" w:hAnsi="Times New Roman" w:eastAsia="仿宋_GB2312" w:cs="Times New Roman"/>
                <w:color w:val="auto"/>
                <w:sz w:val="21"/>
                <w:szCs w:val="21"/>
                <w:lang w:bidi="ar"/>
              </w:rPr>
              <w:t>日</w:t>
            </w:r>
          </w:p>
        </w:tc>
      </w:tr>
    </w:tbl>
    <w:p>
      <w:pPr>
        <w:pStyle w:val="7"/>
        <w:numPr>
          <w:ilvl w:val="0"/>
          <w:numId w:val="3"/>
        </w:numPr>
        <w:ind w:firstLine="643"/>
        <w:rPr>
          <w:b/>
          <w:bCs/>
          <w:color w:val="auto"/>
          <w:lang w:val="zh-CN"/>
        </w:rPr>
      </w:pPr>
      <w:r>
        <w:rPr>
          <w:b/>
          <w:bCs/>
          <w:color w:val="auto"/>
        </w:rPr>
        <w:t>前期</w:t>
      </w:r>
      <w:r>
        <w:rPr>
          <w:b/>
          <w:bCs/>
          <w:color w:val="auto"/>
          <w:lang w:val="zh-CN"/>
        </w:rPr>
        <w:t>准备阶段（</w:t>
      </w:r>
      <w:r>
        <w:rPr>
          <w:b/>
          <w:bCs/>
          <w:color w:val="auto"/>
        </w:rPr>
        <w:t>2021年</w:t>
      </w:r>
      <w:r>
        <w:rPr>
          <w:rFonts w:hint="eastAsia"/>
          <w:b/>
          <w:bCs/>
          <w:color w:val="auto"/>
          <w:lang w:val="en-US" w:eastAsia="zh-CN"/>
        </w:rPr>
        <w:t>11</w:t>
      </w:r>
      <w:r>
        <w:rPr>
          <w:b/>
          <w:bCs/>
          <w:color w:val="auto"/>
        </w:rPr>
        <w:t>月</w:t>
      </w:r>
      <w:r>
        <w:rPr>
          <w:rFonts w:hint="eastAsia"/>
          <w:b/>
          <w:bCs/>
          <w:color w:val="auto"/>
          <w:lang w:val="en-US" w:eastAsia="zh-CN"/>
        </w:rPr>
        <w:t>2</w:t>
      </w:r>
      <w:r>
        <w:rPr>
          <w:b/>
          <w:bCs/>
          <w:color w:val="auto"/>
        </w:rPr>
        <w:t>日</w:t>
      </w:r>
      <w:r>
        <w:rPr>
          <w:rFonts w:hint="eastAsia"/>
          <w:b/>
          <w:bCs/>
          <w:color w:val="auto"/>
          <w:lang w:eastAsia="zh-CN"/>
        </w:rPr>
        <w:t>－</w:t>
      </w:r>
      <w:r>
        <w:rPr>
          <w:rFonts w:hint="eastAsia"/>
          <w:b/>
          <w:bCs/>
          <w:color w:val="auto"/>
          <w:lang w:val="en-US" w:eastAsia="zh-CN"/>
        </w:rPr>
        <w:t>11</w:t>
      </w:r>
      <w:r>
        <w:rPr>
          <w:b/>
          <w:bCs/>
          <w:color w:val="auto"/>
        </w:rPr>
        <w:t>月23日</w:t>
      </w:r>
      <w:r>
        <w:rPr>
          <w:b/>
          <w:bCs/>
          <w:color w:val="auto"/>
          <w:lang w:val="zh-CN"/>
        </w:rPr>
        <w:t>）</w:t>
      </w:r>
    </w:p>
    <w:p>
      <w:pPr>
        <w:pStyle w:val="7"/>
        <w:rPr>
          <w:color w:val="auto"/>
          <w:lang w:val="zh-CN"/>
        </w:rPr>
      </w:pPr>
      <w:r>
        <w:rPr>
          <w:rFonts w:hint="eastAsia"/>
          <w:color w:val="auto"/>
          <w:lang w:val="en-US" w:eastAsia="zh-CN"/>
        </w:rPr>
        <w:t>一是</w:t>
      </w:r>
      <w:r>
        <w:rPr>
          <w:color w:val="auto"/>
          <w:lang w:val="zh-CN"/>
        </w:rPr>
        <w:t>成立</w:t>
      </w:r>
      <w:r>
        <w:rPr>
          <w:color w:val="auto"/>
        </w:rPr>
        <w:t>绩效</w:t>
      </w:r>
      <w:r>
        <w:rPr>
          <w:color w:val="auto"/>
          <w:lang w:val="zh-CN"/>
        </w:rPr>
        <w:t>评价工作</w:t>
      </w:r>
      <w:r>
        <w:rPr>
          <w:color w:val="auto"/>
        </w:rPr>
        <w:t>小</w:t>
      </w:r>
      <w:r>
        <w:rPr>
          <w:color w:val="auto"/>
          <w:lang w:val="zh-CN"/>
        </w:rPr>
        <w:t>组</w:t>
      </w:r>
      <w:r>
        <w:rPr>
          <w:rFonts w:hint="eastAsia"/>
          <w:color w:val="auto"/>
          <w:lang w:val="zh-CN"/>
        </w:rPr>
        <w:t>。</w:t>
      </w:r>
      <w:r>
        <w:rPr>
          <w:color w:val="auto"/>
        </w:rPr>
        <w:t>通过项目单位提供、公开网站搜索等收集、整理有关政策及部门资料，</w:t>
      </w:r>
      <w:r>
        <w:rPr>
          <w:color w:val="auto"/>
          <w:lang w:val="zh-CN"/>
        </w:rPr>
        <w:t>初步获取部门</w:t>
      </w:r>
      <w:r>
        <w:rPr>
          <w:color w:val="auto"/>
        </w:rPr>
        <w:t>职责、组织</w:t>
      </w:r>
      <w:r>
        <w:rPr>
          <w:color w:val="auto"/>
          <w:lang w:val="zh-CN"/>
        </w:rPr>
        <w:t>架构、</w:t>
      </w:r>
      <w:r>
        <w:rPr>
          <w:color w:val="auto"/>
        </w:rPr>
        <w:t>预决算情况</w:t>
      </w:r>
      <w:r>
        <w:rPr>
          <w:color w:val="auto"/>
          <w:lang w:val="zh-CN"/>
        </w:rPr>
        <w:t>等</w:t>
      </w:r>
      <w:r>
        <w:rPr>
          <w:color w:val="auto"/>
        </w:rPr>
        <w:t>基础材料开展文献研究，拟定方案框架；</w:t>
      </w:r>
      <w:r>
        <w:rPr>
          <w:rFonts w:hint="eastAsia"/>
          <w:color w:val="auto"/>
          <w:lang w:val="en-US" w:eastAsia="zh-CN"/>
        </w:rPr>
        <w:t>二是</w:t>
      </w:r>
      <w:r>
        <w:rPr>
          <w:color w:val="auto"/>
          <w:lang w:val="zh-CN"/>
        </w:rPr>
        <w:t>根据部门特点及绩效评价原理和规范，</w:t>
      </w:r>
      <w:r>
        <w:rPr>
          <w:color w:val="auto"/>
        </w:rPr>
        <w:t>完善部门整体支出</w:t>
      </w:r>
      <w:r>
        <w:rPr>
          <w:color w:val="auto"/>
          <w:lang w:val="zh-CN"/>
        </w:rPr>
        <w:t>绩效评价指标体系、基础数据表等，</w:t>
      </w:r>
      <w:r>
        <w:rPr>
          <w:color w:val="auto"/>
        </w:rPr>
        <w:t>形成初稿，提交委托方；</w:t>
      </w:r>
      <w:r>
        <w:rPr>
          <w:rFonts w:hint="eastAsia"/>
          <w:color w:val="auto"/>
          <w:lang w:val="en-US" w:eastAsia="zh-CN"/>
        </w:rPr>
        <w:t>三是</w:t>
      </w:r>
      <w:r>
        <w:rPr>
          <w:color w:val="auto"/>
        </w:rPr>
        <w:t>结合委托方和部门意见，对指标体系和工作方案进行修改完善，形成定稿，并准备安排部署现场调研工作。</w:t>
      </w:r>
    </w:p>
    <w:p>
      <w:pPr>
        <w:pStyle w:val="7"/>
        <w:numPr>
          <w:ilvl w:val="0"/>
          <w:numId w:val="3"/>
        </w:numPr>
        <w:ind w:firstLine="643"/>
        <w:rPr>
          <w:b/>
          <w:bCs/>
          <w:color w:val="auto"/>
          <w:lang w:val="zh-CN"/>
        </w:rPr>
      </w:pPr>
      <w:r>
        <w:rPr>
          <w:b/>
          <w:bCs/>
          <w:color w:val="auto"/>
        </w:rPr>
        <w:t>现场调研阶段</w:t>
      </w:r>
      <w:r>
        <w:rPr>
          <w:b/>
          <w:bCs/>
          <w:color w:val="auto"/>
          <w:lang w:val="zh-CN"/>
        </w:rPr>
        <w:t>（</w:t>
      </w:r>
      <w:r>
        <w:rPr>
          <w:b/>
          <w:bCs/>
          <w:color w:val="auto"/>
        </w:rPr>
        <w:t>2021年</w:t>
      </w:r>
      <w:r>
        <w:rPr>
          <w:rFonts w:hint="eastAsia"/>
          <w:b/>
          <w:bCs/>
          <w:color w:val="auto"/>
          <w:lang w:val="en-US" w:eastAsia="zh-CN"/>
        </w:rPr>
        <w:t>11</w:t>
      </w:r>
      <w:r>
        <w:rPr>
          <w:b/>
          <w:bCs/>
          <w:color w:val="auto"/>
        </w:rPr>
        <w:t>月24日</w:t>
      </w:r>
      <w:r>
        <w:rPr>
          <w:rFonts w:hint="eastAsia"/>
          <w:b/>
          <w:bCs/>
          <w:color w:val="auto"/>
          <w:lang w:eastAsia="zh-CN"/>
        </w:rPr>
        <w:t>－</w:t>
      </w:r>
      <w:r>
        <w:rPr>
          <w:rFonts w:hint="eastAsia"/>
          <w:b/>
          <w:bCs/>
          <w:color w:val="auto"/>
          <w:lang w:val="en-US" w:eastAsia="zh-CN"/>
        </w:rPr>
        <w:t>11</w:t>
      </w:r>
      <w:r>
        <w:rPr>
          <w:b/>
          <w:bCs/>
          <w:color w:val="auto"/>
        </w:rPr>
        <w:t>月30日</w:t>
      </w:r>
      <w:r>
        <w:rPr>
          <w:b/>
          <w:bCs/>
          <w:color w:val="auto"/>
          <w:lang w:val="zh-CN"/>
        </w:rPr>
        <w:t>）</w:t>
      </w:r>
    </w:p>
    <w:p>
      <w:pPr>
        <w:pStyle w:val="7"/>
        <w:rPr>
          <w:color w:val="auto"/>
        </w:rPr>
      </w:pPr>
      <w:r>
        <w:rPr>
          <w:rFonts w:hint="eastAsia"/>
          <w:color w:val="auto"/>
          <w:lang w:val="en-US" w:eastAsia="zh-CN"/>
        </w:rPr>
        <w:t>一是</w:t>
      </w:r>
      <w:r>
        <w:rPr>
          <w:color w:val="auto"/>
        </w:rPr>
        <w:t>基础数据表填报与复核。基础数据表由被评价单位填写，对填报的真实性、完整性负责。评价组根据项目单位填报情况，对基础数据表与相关佐证材料的一致性、真实性等进行复核；</w:t>
      </w:r>
      <w:r>
        <w:rPr>
          <w:rFonts w:hint="eastAsia"/>
          <w:color w:val="auto"/>
          <w:lang w:val="en-US" w:eastAsia="zh-CN"/>
        </w:rPr>
        <w:t>二是</w:t>
      </w:r>
      <w:r>
        <w:rPr>
          <w:color w:val="auto"/>
        </w:rPr>
        <w:t>访谈调研：通过与</w:t>
      </w:r>
      <w:r>
        <w:rPr>
          <w:rFonts w:hint="eastAsia"/>
          <w:color w:val="auto"/>
          <w:lang w:eastAsia="zh-CN"/>
        </w:rPr>
        <w:t>淮滨</w:t>
      </w:r>
      <w:r>
        <w:rPr>
          <w:rFonts w:hint="eastAsia"/>
          <w:color w:val="auto"/>
        </w:rPr>
        <w:t>县委党校</w:t>
      </w:r>
      <w:r>
        <w:rPr>
          <w:color w:val="auto"/>
        </w:rPr>
        <w:t>有关处室、各预算单位、重点项目责任单位等相关负责人进行访谈，了解2020年度</w:t>
      </w:r>
      <w:r>
        <w:rPr>
          <w:rFonts w:hint="eastAsia"/>
          <w:color w:val="auto"/>
          <w:lang w:eastAsia="zh-CN"/>
        </w:rPr>
        <w:t>淮滨</w:t>
      </w:r>
      <w:r>
        <w:rPr>
          <w:rFonts w:hint="eastAsia"/>
          <w:color w:val="auto"/>
        </w:rPr>
        <w:t>县委党校</w:t>
      </w:r>
      <w:r>
        <w:rPr>
          <w:color w:val="auto"/>
        </w:rPr>
        <w:t>部门预算编制及执行情况、部门年度目标及履职情况等，并对访谈内容进行记录、整理。</w:t>
      </w:r>
      <w:r>
        <w:rPr>
          <w:rFonts w:hint="eastAsia"/>
          <w:color w:val="auto"/>
          <w:lang w:val="en-US" w:eastAsia="zh-CN"/>
        </w:rPr>
        <w:t>三是</w:t>
      </w:r>
      <w:r>
        <w:rPr>
          <w:color w:val="auto"/>
        </w:rPr>
        <w:t>问卷调查。由</w:t>
      </w:r>
      <w:r>
        <w:rPr>
          <w:rFonts w:hint="eastAsia"/>
          <w:color w:val="auto"/>
          <w:lang w:eastAsia="zh-CN"/>
        </w:rPr>
        <w:t>淮滨</w:t>
      </w:r>
      <w:r>
        <w:rPr>
          <w:rFonts w:hint="eastAsia"/>
          <w:color w:val="auto"/>
        </w:rPr>
        <w:t>县委党校</w:t>
      </w:r>
      <w:r>
        <w:rPr>
          <w:color w:val="auto"/>
        </w:rPr>
        <w:t>协调配合，针对</w:t>
      </w:r>
      <w:r>
        <w:rPr>
          <w:rFonts w:hint="eastAsia"/>
          <w:color w:val="auto"/>
          <w:lang w:eastAsia="zh-CN"/>
        </w:rPr>
        <w:t>淮滨</w:t>
      </w:r>
      <w:r>
        <w:rPr>
          <w:rFonts w:hint="eastAsia"/>
          <w:color w:val="auto"/>
        </w:rPr>
        <w:t>县委党校</w:t>
      </w:r>
      <w:r>
        <w:rPr>
          <w:color w:val="auto"/>
        </w:rPr>
        <w:t>履职的受益对象进行满意度调查，</w:t>
      </w:r>
      <w:r>
        <w:rPr>
          <w:rFonts w:hint="eastAsia"/>
          <w:color w:val="auto"/>
          <w:lang w:val="en-US" w:eastAsia="zh-CN"/>
        </w:rPr>
        <w:t>共计发放并回收培训学员满意度问卷82份，工作人员满意度问卷28份</w:t>
      </w:r>
      <w:r>
        <w:rPr>
          <w:color w:val="auto"/>
        </w:rPr>
        <w:t>。</w:t>
      </w:r>
    </w:p>
    <w:p>
      <w:pPr>
        <w:pStyle w:val="7"/>
        <w:ind w:firstLine="643"/>
        <w:rPr>
          <w:b/>
          <w:bCs/>
          <w:color w:val="auto"/>
        </w:rPr>
      </w:pPr>
      <w:r>
        <w:rPr>
          <w:b/>
          <w:bCs/>
          <w:color w:val="auto"/>
        </w:rPr>
        <w:t>（3）数据分析与报告撰写阶段（2021年</w:t>
      </w:r>
      <w:r>
        <w:rPr>
          <w:rFonts w:hint="eastAsia"/>
          <w:b/>
          <w:bCs/>
          <w:color w:val="auto"/>
          <w:lang w:val="en-US" w:eastAsia="zh-CN"/>
        </w:rPr>
        <w:t>12</w:t>
      </w:r>
      <w:r>
        <w:rPr>
          <w:b/>
          <w:bCs/>
          <w:color w:val="auto"/>
        </w:rPr>
        <w:t>月1日</w:t>
      </w:r>
      <w:r>
        <w:rPr>
          <w:rFonts w:hint="eastAsia"/>
          <w:b/>
          <w:bCs/>
          <w:color w:val="auto"/>
          <w:lang w:eastAsia="zh-CN"/>
        </w:rPr>
        <w:t>－</w:t>
      </w:r>
      <w:r>
        <w:rPr>
          <w:rFonts w:hint="eastAsia"/>
          <w:b/>
          <w:bCs/>
          <w:color w:val="auto"/>
          <w:lang w:val="en-US" w:eastAsia="zh-CN"/>
        </w:rPr>
        <w:t>12</w:t>
      </w:r>
      <w:r>
        <w:rPr>
          <w:b/>
          <w:bCs/>
          <w:color w:val="auto"/>
        </w:rPr>
        <w:t>月</w:t>
      </w:r>
      <w:r>
        <w:rPr>
          <w:rFonts w:hint="eastAsia"/>
          <w:b/>
          <w:bCs/>
          <w:color w:val="auto"/>
          <w:lang w:val="en-US" w:eastAsia="zh-CN"/>
        </w:rPr>
        <w:t>15</w:t>
      </w:r>
      <w:r>
        <w:rPr>
          <w:b/>
          <w:bCs/>
          <w:color w:val="auto"/>
        </w:rPr>
        <w:t>日）</w:t>
      </w:r>
    </w:p>
    <w:p>
      <w:pPr>
        <w:pStyle w:val="7"/>
        <w:rPr>
          <w:color w:val="auto"/>
        </w:rPr>
      </w:pPr>
      <w:r>
        <w:rPr>
          <w:rFonts w:hint="eastAsia"/>
          <w:color w:val="auto"/>
          <w:lang w:val="en-US" w:eastAsia="zh-CN"/>
        </w:rPr>
        <w:t>一是指标评分。</w:t>
      </w:r>
      <w:r>
        <w:rPr>
          <w:color w:val="auto"/>
        </w:rPr>
        <w:t>根据现场调研和资料复核情况，进行数据整理、分类汇总，并对处理后的有关数据结合指标进行绩效分析，根据确定的评分标准进行打分</w:t>
      </w:r>
      <w:r>
        <w:rPr>
          <w:rFonts w:hint="eastAsia"/>
          <w:color w:val="auto"/>
          <w:lang w:eastAsia="zh-CN"/>
        </w:rPr>
        <w:t>；</w:t>
      </w:r>
      <w:r>
        <w:rPr>
          <w:rFonts w:hint="eastAsia"/>
          <w:color w:val="auto"/>
          <w:lang w:val="en-US" w:eastAsia="zh-CN"/>
        </w:rPr>
        <w:t>二是报告撰写。</w:t>
      </w:r>
      <w:r>
        <w:rPr>
          <w:color w:val="auto"/>
        </w:rPr>
        <w:t>对部门整体预算绩效情况进行初步分析和评估，形成初步绩效评价结论，总结经验做法，发现存在问题，提出意见建议</w:t>
      </w:r>
      <w:r>
        <w:rPr>
          <w:rFonts w:hint="eastAsia"/>
          <w:color w:val="auto"/>
          <w:lang w:eastAsia="zh-CN"/>
        </w:rPr>
        <w:t>。</w:t>
      </w:r>
      <w:r>
        <w:rPr>
          <w:color w:val="auto"/>
        </w:rPr>
        <w:t>根据委托方及部门意见，对评价报告修改完善，形成定稿。</w:t>
      </w:r>
    </w:p>
    <w:p>
      <w:pPr>
        <w:pStyle w:val="4"/>
        <w:rPr>
          <w:color w:val="auto"/>
        </w:rPr>
      </w:pPr>
      <w:bookmarkStart w:id="39" w:name="_Toc23009"/>
      <w:bookmarkStart w:id="40" w:name="_Toc30702"/>
      <w:r>
        <w:rPr>
          <w:rFonts w:hint="eastAsia"/>
          <w:color w:val="auto"/>
        </w:rPr>
        <w:t>三、综合评价情况及评价结论</w:t>
      </w:r>
      <w:bookmarkEnd w:id="39"/>
      <w:bookmarkEnd w:id="40"/>
    </w:p>
    <w:p>
      <w:pPr>
        <w:pStyle w:val="5"/>
        <w:numPr>
          <w:ilvl w:val="1"/>
          <w:numId w:val="0"/>
        </w:numPr>
        <w:ind w:left="420" w:leftChars="200"/>
        <w:rPr>
          <w:color w:val="auto"/>
        </w:rPr>
      </w:pPr>
      <w:bookmarkStart w:id="41" w:name="_Toc11130"/>
      <w:bookmarkStart w:id="42" w:name="_Toc22851"/>
      <w:r>
        <w:rPr>
          <w:rFonts w:hint="eastAsia"/>
          <w:color w:val="auto"/>
        </w:rPr>
        <w:t>（一）总体评价得分</w:t>
      </w:r>
      <w:bookmarkEnd w:id="41"/>
      <w:bookmarkEnd w:id="42"/>
    </w:p>
    <w:p>
      <w:pPr>
        <w:spacing w:line="560" w:lineRule="exact"/>
        <w:ind w:firstLine="640" w:firstLineChars="200"/>
        <w:rPr>
          <w:rStyle w:val="48"/>
          <w:color w:val="auto"/>
        </w:rPr>
      </w:pPr>
      <w:r>
        <w:rPr>
          <w:rStyle w:val="48"/>
          <w:rFonts w:hint="eastAsia"/>
          <w:color w:val="auto"/>
        </w:rPr>
        <w:t>依据设定的部门整体预算绩效评价指标体系及评分标准，结合评价组实地调研情况分析，</w:t>
      </w:r>
      <w:r>
        <w:rPr>
          <w:rStyle w:val="48"/>
          <w:rFonts w:hint="eastAsia" w:eastAsia="仿宋"/>
          <w:color w:val="auto"/>
          <w:lang w:eastAsia="zh-CN"/>
        </w:rPr>
        <w:t>淮滨</w:t>
      </w:r>
      <w:r>
        <w:rPr>
          <w:rStyle w:val="48"/>
          <w:rFonts w:hint="eastAsia"/>
          <w:color w:val="auto"/>
        </w:rPr>
        <w:t>县委党校</w:t>
      </w:r>
      <w:r>
        <w:rPr>
          <w:rStyle w:val="48"/>
          <w:color w:val="auto"/>
        </w:rPr>
        <w:t>部门整体绩效评价</w:t>
      </w:r>
      <w:r>
        <w:rPr>
          <w:rStyle w:val="48"/>
          <w:rFonts w:hint="eastAsia"/>
          <w:color w:val="auto"/>
        </w:rPr>
        <w:t>总体得分为</w:t>
      </w:r>
      <w:r>
        <w:rPr>
          <w:rStyle w:val="48"/>
          <w:color w:val="auto"/>
          <w:highlight w:val="none"/>
        </w:rPr>
        <w:t>8</w:t>
      </w:r>
      <w:r>
        <w:rPr>
          <w:rStyle w:val="48"/>
          <w:rFonts w:hint="eastAsia" w:eastAsia="仿宋"/>
          <w:color w:val="auto"/>
          <w:highlight w:val="none"/>
          <w:lang w:val="en-US" w:eastAsia="zh-CN"/>
        </w:rPr>
        <w:t>6.50</w:t>
      </w:r>
      <w:r>
        <w:rPr>
          <w:rStyle w:val="48"/>
          <w:rFonts w:hint="eastAsia"/>
          <w:color w:val="auto"/>
          <w:highlight w:val="none"/>
        </w:rPr>
        <w:t>分，评价等级为“良</w:t>
      </w:r>
      <w:r>
        <w:rPr>
          <w:rStyle w:val="48"/>
          <w:rFonts w:hint="eastAsia"/>
          <w:color w:val="auto"/>
        </w:rPr>
        <w:t>”</w:t>
      </w:r>
      <w:r>
        <w:rPr>
          <w:rStyle w:val="27"/>
          <w:rFonts w:hint="eastAsia"/>
          <w:color w:val="auto"/>
        </w:rPr>
        <w:footnoteReference w:id="0"/>
      </w:r>
      <w:r>
        <w:rPr>
          <w:rFonts w:hint="eastAsia"/>
          <w:color w:val="auto"/>
        </w:rPr>
        <w:t>。</w:t>
      </w:r>
      <w:r>
        <w:rPr>
          <w:rStyle w:val="48"/>
          <w:rFonts w:hint="eastAsia"/>
          <w:color w:val="auto"/>
        </w:rPr>
        <w:t>具体各类指标得分情况详见表</w:t>
      </w:r>
      <w:r>
        <w:rPr>
          <w:rStyle w:val="48"/>
          <w:color w:val="auto"/>
        </w:rPr>
        <w:t>3</w:t>
      </w:r>
      <w:r>
        <w:rPr>
          <w:rStyle w:val="48"/>
          <w:rFonts w:hint="eastAsia"/>
          <w:color w:val="auto"/>
        </w:rPr>
        <w:t>-1：</w:t>
      </w:r>
    </w:p>
    <w:p>
      <w:pPr>
        <w:pStyle w:val="2"/>
        <w:ind w:firstLine="482"/>
        <w:jc w:val="center"/>
        <w:rPr>
          <w:rFonts w:ascii="Times New Roman" w:hAnsi="Times New Roman" w:eastAsia="FangSong_GB2312" w:cs="Times New Roman"/>
          <w:b/>
          <w:bCs/>
          <w:color w:val="auto"/>
          <w:sz w:val="24"/>
        </w:rPr>
      </w:pPr>
      <w:r>
        <w:rPr>
          <w:rFonts w:ascii="Times New Roman" w:hAnsi="Times New Roman" w:eastAsia="FangSong_GB2312" w:cs="Times New Roman"/>
          <w:b/>
          <w:bCs/>
          <w:color w:val="auto"/>
          <w:sz w:val="24"/>
        </w:rPr>
        <w:t>表3-1</w:t>
      </w:r>
      <w:r>
        <w:rPr>
          <w:rFonts w:hint="eastAsia" w:ascii="Times New Roman" w:hAnsi="Times New Roman" w:eastAsia="FangSong_GB2312" w:cs="Times New Roman"/>
          <w:b/>
          <w:bCs/>
          <w:color w:val="auto"/>
          <w:sz w:val="24"/>
          <w:lang w:eastAsia="zh-CN"/>
        </w:rPr>
        <w:t>淮滨</w:t>
      </w:r>
      <w:r>
        <w:rPr>
          <w:rFonts w:hint="eastAsia" w:ascii="Times New Roman" w:hAnsi="Times New Roman" w:eastAsia="FangSong_GB2312" w:cs="Times New Roman"/>
          <w:b/>
          <w:bCs/>
          <w:color w:val="auto"/>
          <w:sz w:val="24"/>
        </w:rPr>
        <w:t>县委党校</w:t>
      </w:r>
      <w:r>
        <w:rPr>
          <w:rFonts w:ascii="Times New Roman" w:hAnsi="Times New Roman" w:eastAsia="FangSong_GB2312" w:cs="Times New Roman"/>
          <w:b/>
          <w:bCs/>
          <w:color w:val="auto"/>
          <w:sz w:val="24"/>
        </w:rPr>
        <w:t>部门整体绩效评价得分情况表</w:t>
      </w:r>
    </w:p>
    <w:tbl>
      <w:tblPr>
        <w:tblStyle w:val="22"/>
        <w:tblW w:w="4998" w:type="pct"/>
        <w:jc w:val="center"/>
        <w:tblLayout w:type="autofit"/>
        <w:tblCellMar>
          <w:top w:w="0" w:type="dxa"/>
          <w:left w:w="0" w:type="dxa"/>
          <w:bottom w:w="0" w:type="dxa"/>
          <w:right w:w="0" w:type="dxa"/>
        </w:tblCellMar>
      </w:tblPr>
      <w:tblGrid>
        <w:gridCol w:w="3119"/>
        <w:gridCol w:w="1690"/>
        <w:gridCol w:w="1467"/>
        <w:gridCol w:w="2057"/>
      </w:tblGrid>
      <w:tr>
        <w:tblPrEx>
          <w:tblCellMar>
            <w:top w:w="0" w:type="dxa"/>
            <w:left w:w="0" w:type="dxa"/>
            <w:bottom w:w="0" w:type="dxa"/>
            <w:right w:w="0" w:type="dxa"/>
          </w:tblCellMar>
        </w:tblPrEx>
        <w:trPr>
          <w:trHeight w:val="425" w:hRule="atLeast"/>
          <w:tblHeader/>
          <w:jc w:val="center"/>
        </w:trPr>
        <w:tc>
          <w:tcPr>
            <w:tcW w:w="1871"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一级指标</w:t>
            </w:r>
          </w:p>
        </w:tc>
        <w:tc>
          <w:tcPr>
            <w:tcW w:w="1014"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权重分</w:t>
            </w:r>
          </w:p>
        </w:tc>
        <w:tc>
          <w:tcPr>
            <w:tcW w:w="880"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得分</w:t>
            </w:r>
          </w:p>
        </w:tc>
        <w:tc>
          <w:tcPr>
            <w:tcW w:w="1234"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得分率</w:t>
            </w:r>
          </w:p>
        </w:tc>
      </w:tr>
      <w:tr>
        <w:tblPrEx>
          <w:tblCellMar>
            <w:top w:w="0" w:type="dxa"/>
            <w:left w:w="0" w:type="dxa"/>
            <w:bottom w:w="0" w:type="dxa"/>
            <w:right w:w="0" w:type="dxa"/>
          </w:tblCellMar>
        </w:tblPrEx>
        <w:trPr>
          <w:trHeight w:val="425" w:hRule="atLeast"/>
          <w:jc w:val="center"/>
        </w:trPr>
        <w:tc>
          <w:tcPr>
            <w:tcW w:w="18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部门决策</w:t>
            </w:r>
          </w:p>
        </w:tc>
        <w:tc>
          <w:tcPr>
            <w:tcW w:w="10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10</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4.00</w:t>
            </w:r>
          </w:p>
        </w:tc>
        <w:tc>
          <w:tcPr>
            <w:tcW w:w="123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40.00%</w:t>
            </w:r>
          </w:p>
        </w:tc>
      </w:tr>
      <w:tr>
        <w:tblPrEx>
          <w:tblCellMar>
            <w:top w:w="0" w:type="dxa"/>
            <w:left w:w="0" w:type="dxa"/>
            <w:bottom w:w="0" w:type="dxa"/>
            <w:right w:w="0" w:type="dxa"/>
          </w:tblCellMar>
        </w:tblPrEx>
        <w:trPr>
          <w:trHeight w:val="425" w:hRule="atLeast"/>
          <w:jc w:val="center"/>
        </w:trPr>
        <w:tc>
          <w:tcPr>
            <w:tcW w:w="18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部门管理</w:t>
            </w:r>
          </w:p>
        </w:tc>
        <w:tc>
          <w:tcPr>
            <w:tcW w:w="10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28</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25.00</w:t>
            </w:r>
          </w:p>
        </w:tc>
        <w:tc>
          <w:tcPr>
            <w:tcW w:w="123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89.29%</w:t>
            </w:r>
          </w:p>
        </w:tc>
      </w:tr>
      <w:tr>
        <w:tblPrEx>
          <w:tblCellMar>
            <w:top w:w="0" w:type="dxa"/>
            <w:left w:w="0" w:type="dxa"/>
            <w:bottom w:w="0" w:type="dxa"/>
            <w:right w:w="0" w:type="dxa"/>
          </w:tblCellMar>
        </w:tblPrEx>
        <w:trPr>
          <w:trHeight w:val="425" w:hRule="atLeast"/>
          <w:jc w:val="center"/>
        </w:trPr>
        <w:tc>
          <w:tcPr>
            <w:tcW w:w="18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履职效能</w:t>
            </w:r>
          </w:p>
        </w:tc>
        <w:tc>
          <w:tcPr>
            <w:tcW w:w="10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30</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27.75</w:t>
            </w:r>
          </w:p>
        </w:tc>
        <w:tc>
          <w:tcPr>
            <w:tcW w:w="123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92.50%</w:t>
            </w:r>
          </w:p>
        </w:tc>
      </w:tr>
      <w:tr>
        <w:tblPrEx>
          <w:tblCellMar>
            <w:top w:w="0" w:type="dxa"/>
            <w:left w:w="0" w:type="dxa"/>
            <w:bottom w:w="0" w:type="dxa"/>
            <w:right w:w="0" w:type="dxa"/>
          </w:tblCellMar>
        </w:tblPrEx>
        <w:trPr>
          <w:trHeight w:val="425" w:hRule="atLeast"/>
          <w:jc w:val="center"/>
        </w:trPr>
        <w:tc>
          <w:tcPr>
            <w:tcW w:w="18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1"/>
                <w:szCs w:val="21"/>
                <w:lang w:bidi="ar"/>
              </w:rPr>
              <w:t>履职效益</w:t>
            </w:r>
          </w:p>
        </w:tc>
        <w:tc>
          <w:tcPr>
            <w:tcW w:w="10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32</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29.75</w:t>
            </w:r>
          </w:p>
        </w:tc>
        <w:tc>
          <w:tcPr>
            <w:tcW w:w="123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color w:val="auto"/>
                <w:sz w:val="21"/>
                <w:szCs w:val="21"/>
                <w:lang w:val="en-US" w:eastAsia="zh-CN"/>
              </w:rPr>
            </w:pPr>
            <w:r>
              <w:rPr>
                <w:rFonts w:hint="eastAsia" w:ascii="Times New Roman" w:hAnsi="Times New Roman" w:eastAsia="仿宋_GB2312" w:cs="Times New Roman"/>
                <w:color w:val="auto"/>
                <w:sz w:val="21"/>
                <w:szCs w:val="21"/>
                <w:lang w:val="en-US" w:eastAsia="zh-CN"/>
              </w:rPr>
              <w:t>92.97%</w:t>
            </w:r>
          </w:p>
        </w:tc>
      </w:tr>
      <w:tr>
        <w:tblPrEx>
          <w:tblCellMar>
            <w:top w:w="0" w:type="dxa"/>
            <w:left w:w="0" w:type="dxa"/>
            <w:bottom w:w="0" w:type="dxa"/>
            <w:right w:w="0" w:type="dxa"/>
          </w:tblCellMar>
        </w:tblPrEx>
        <w:trPr>
          <w:trHeight w:val="425" w:hRule="atLeast"/>
          <w:jc w:val="center"/>
        </w:trPr>
        <w:tc>
          <w:tcPr>
            <w:tcW w:w="18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kern w:val="0"/>
                <w:sz w:val="21"/>
                <w:szCs w:val="21"/>
                <w:lang w:bidi="ar"/>
              </w:rPr>
              <w:t>合计</w:t>
            </w:r>
          </w:p>
        </w:tc>
        <w:tc>
          <w:tcPr>
            <w:tcW w:w="10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sz w:val="21"/>
                <w:szCs w:val="21"/>
                <w:lang w:val="en-US" w:eastAsia="zh-CN"/>
              </w:rPr>
            </w:pPr>
            <w:r>
              <w:rPr>
                <w:rFonts w:hint="eastAsia" w:ascii="Times New Roman" w:hAnsi="Times New Roman" w:eastAsia="仿宋_GB2312" w:cs="Times New Roman"/>
                <w:b/>
                <w:bCs/>
                <w:color w:val="auto"/>
                <w:sz w:val="21"/>
                <w:szCs w:val="21"/>
                <w:lang w:val="en-US" w:eastAsia="zh-CN"/>
              </w:rPr>
              <w:t>100</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kern w:val="0"/>
                <w:sz w:val="21"/>
                <w:szCs w:val="21"/>
                <w:lang w:val="en-US" w:eastAsia="zh-CN" w:bidi="ar"/>
              </w:rPr>
            </w:pPr>
            <w:r>
              <w:rPr>
                <w:rFonts w:hint="eastAsia" w:ascii="Times New Roman" w:hAnsi="Times New Roman" w:eastAsia="仿宋_GB2312" w:cs="Times New Roman"/>
                <w:b/>
                <w:bCs/>
                <w:color w:val="auto"/>
                <w:kern w:val="0"/>
                <w:sz w:val="21"/>
                <w:szCs w:val="21"/>
                <w:lang w:val="en-US" w:eastAsia="zh-CN" w:bidi="ar"/>
              </w:rPr>
              <w:t>86.50</w:t>
            </w:r>
          </w:p>
        </w:tc>
        <w:tc>
          <w:tcPr>
            <w:tcW w:w="123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Times New Roman" w:hAnsi="Times New Roman" w:eastAsia="仿宋_GB2312" w:cs="Times New Roman"/>
                <w:b/>
                <w:bCs/>
                <w:color w:val="auto"/>
                <w:kern w:val="0"/>
                <w:sz w:val="21"/>
                <w:szCs w:val="21"/>
                <w:lang w:val="en-US" w:eastAsia="zh-CN" w:bidi="ar"/>
              </w:rPr>
            </w:pPr>
            <w:r>
              <w:rPr>
                <w:rFonts w:hint="eastAsia" w:ascii="Times New Roman" w:hAnsi="Times New Roman" w:eastAsia="仿宋_GB2312" w:cs="Times New Roman"/>
                <w:b/>
                <w:bCs/>
                <w:color w:val="auto"/>
                <w:kern w:val="0"/>
                <w:sz w:val="21"/>
                <w:szCs w:val="21"/>
                <w:lang w:val="en-US" w:eastAsia="zh-CN" w:bidi="ar"/>
              </w:rPr>
              <w:t>86.50%</w:t>
            </w:r>
          </w:p>
        </w:tc>
      </w:tr>
    </w:tbl>
    <w:p>
      <w:pPr>
        <w:pStyle w:val="5"/>
        <w:numPr>
          <w:ilvl w:val="1"/>
          <w:numId w:val="0"/>
        </w:numPr>
        <w:ind w:left="420" w:leftChars="200"/>
        <w:rPr>
          <w:color w:val="auto"/>
          <w:highlight w:val="none"/>
        </w:rPr>
      </w:pPr>
      <w:bookmarkStart w:id="43" w:name="_Toc4111"/>
      <w:bookmarkStart w:id="44" w:name="_Toc32697"/>
      <w:r>
        <w:rPr>
          <w:rFonts w:hint="eastAsia"/>
          <w:color w:val="auto"/>
          <w:highlight w:val="none"/>
        </w:rPr>
        <w:t>（二）综合评价结论</w:t>
      </w:r>
      <w:bookmarkEnd w:id="43"/>
      <w:bookmarkEnd w:id="44"/>
    </w:p>
    <w:p>
      <w:pPr>
        <w:pStyle w:val="7"/>
        <w:bidi w:val="0"/>
        <w:rPr>
          <w:rFonts w:hint="eastAsia"/>
          <w:color w:val="auto"/>
        </w:rPr>
      </w:pPr>
      <w:r>
        <w:rPr>
          <w:rFonts w:hint="eastAsia"/>
          <w:color w:val="auto"/>
          <w:highlight w:val="none"/>
          <w:lang w:eastAsia="zh-CN"/>
        </w:rPr>
        <w:t>淮滨</w:t>
      </w:r>
      <w:r>
        <w:rPr>
          <w:rFonts w:hint="eastAsia"/>
          <w:color w:val="auto"/>
          <w:highlight w:val="none"/>
        </w:rPr>
        <w:t>县</w:t>
      </w:r>
      <w:r>
        <w:rPr>
          <w:rFonts w:hint="eastAsia"/>
          <w:color w:val="auto"/>
        </w:rPr>
        <w:t>委党校部门职能明确</w:t>
      </w:r>
      <w:r>
        <w:rPr>
          <w:rFonts w:hint="eastAsia"/>
          <w:color w:val="auto"/>
          <w:lang w:eastAsia="zh-CN"/>
        </w:rPr>
        <w:t>，</w:t>
      </w:r>
      <w:r>
        <w:rPr>
          <w:rFonts w:hint="eastAsia"/>
          <w:color w:val="auto"/>
        </w:rPr>
        <w:t>财务管理制度、政府采购制度、人员管理制度、资产管理制度等内控制度较为健全；具有完善的多样化教学模式、教案审核制度、集体备课制度及课前试讲、课中观摩、课后测评制度；预算编制完整、科学，与业务匹配且执行率1</w:t>
      </w:r>
      <w:r>
        <w:rPr>
          <w:color w:val="auto"/>
        </w:rPr>
        <w:t>00%</w:t>
      </w:r>
      <w:r>
        <w:rPr>
          <w:rFonts w:hint="eastAsia"/>
          <w:color w:val="auto"/>
        </w:rPr>
        <w:t>，为全县党员培训工作提供了充分的政策制度保障和支持。全县参加培训的党员、教职工满意度相对较高。</w:t>
      </w:r>
    </w:p>
    <w:p>
      <w:pPr>
        <w:pStyle w:val="7"/>
        <w:rPr>
          <w:color w:val="auto"/>
        </w:rPr>
      </w:pPr>
      <w:r>
        <w:rPr>
          <w:rFonts w:hint="eastAsia" w:ascii="FangSong_GB2312" w:hAnsi="仿宋"/>
          <w:color w:val="auto"/>
        </w:rPr>
        <w:t>在党员培训方面，</w:t>
      </w:r>
      <w:r>
        <w:rPr>
          <w:rFonts w:hint="eastAsia"/>
          <w:color w:val="auto"/>
        </w:rPr>
        <w:t>按照《关于进一步加强县级党校主体班次培训工作的通知》</w:t>
      </w:r>
      <w:r>
        <w:rPr>
          <w:rFonts w:hint="eastAsia"/>
          <w:color w:val="auto"/>
          <w:lang w:eastAsia="zh-CN"/>
        </w:rPr>
        <w:t>（</w:t>
      </w:r>
      <w:r>
        <w:rPr>
          <w:rFonts w:hint="eastAsia"/>
          <w:color w:val="auto"/>
        </w:rPr>
        <w:t>豫组通〔2018〕29号</w:t>
      </w:r>
      <w:r>
        <w:rPr>
          <w:rFonts w:hint="eastAsia"/>
          <w:color w:val="auto"/>
          <w:lang w:eastAsia="zh-CN"/>
        </w:rPr>
        <w:t>）</w:t>
      </w:r>
      <w:r>
        <w:rPr>
          <w:rFonts w:hint="eastAsia"/>
          <w:color w:val="auto"/>
        </w:rPr>
        <w:t>要求，积极举办了6类12期</w:t>
      </w:r>
      <w:r>
        <w:rPr>
          <w:rFonts w:hint="eastAsia"/>
          <w:color w:val="auto"/>
          <w:lang w:eastAsia="zh-CN"/>
        </w:rPr>
        <w:t>主题</w:t>
      </w:r>
      <w:r>
        <w:rPr>
          <w:rFonts w:hint="eastAsia"/>
          <w:color w:val="auto"/>
        </w:rPr>
        <w:t>班，培训学员1535人，其中科级干部培训班1期45人、中青年干部培训班1期41人、村（社区）党支部书记培训班1期107人、入党积极分子培训班1期140人、党员培训示范班4期590人、村“两委”干部培训班2期317人、村“两委”后备干部培训班2期295人。</w:t>
      </w:r>
      <w:r>
        <w:rPr>
          <w:rFonts w:hint="eastAsia" w:ascii="仿宋_GB2312" w:hAnsi="仿宋_GB2312" w:eastAsia="仿宋_GB2312" w:cs="仿宋_GB2312"/>
          <w:b w:val="0"/>
          <w:bCs w:val="0"/>
          <w:kern w:val="2"/>
          <w:sz w:val="32"/>
          <w:szCs w:val="32"/>
          <w:lang w:val="en-US" w:eastAsia="zh-CN" w:bidi="ar"/>
        </w:rPr>
        <w:t>2020年，获得省委党校课题立项1个，市委党校课题立项3个，市级社科课题4个。</w:t>
      </w:r>
      <w:r>
        <w:rPr>
          <w:rFonts w:hint="eastAsia"/>
          <w:bCs/>
          <w:color w:val="auto"/>
        </w:rPr>
        <w:t>但同时发现，</w:t>
      </w:r>
      <w:r>
        <w:rPr>
          <w:rFonts w:hint="eastAsia"/>
          <w:bCs/>
          <w:color w:val="auto"/>
          <w:lang w:val="en-US" w:eastAsia="zh-CN"/>
        </w:rPr>
        <w:t>淮滨</w:t>
      </w:r>
      <w:r>
        <w:rPr>
          <w:rFonts w:hint="eastAsia"/>
          <w:bCs/>
          <w:color w:val="auto"/>
        </w:rPr>
        <w:t>县委党校仍存在</w:t>
      </w:r>
      <w:r>
        <w:rPr>
          <w:rFonts w:hint="eastAsia"/>
          <w:bCs/>
          <w:color w:val="auto"/>
          <w:lang w:val="en-US" w:eastAsia="zh-CN"/>
        </w:rPr>
        <w:t>预算完成率较低的情况</w:t>
      </w:r>
      <w:r>
        <w:rPr>
          <w:rFonts w:hint="eastAsia"/>
          <w:bCs/>
          <w:color w:val="auto"/>
          <w:lang w:eastAsia="zh-CN"/>
        </w:rPr>
        <w:t>，</w:t>
      </w:r>
      <w:r>
        <w:rPr>
          <w:rFonts w:hint="eastAsia"/>
          <w:bCs/>
          <w:color w:val="auto"/>
          <w:lang w:val="en-US" w:eastAsia="zh-CN"/>
        </w:rPr>
        <w:t>未制订部门中长期计划等</w:t>
      </w:r>
      <w:r>
        <w:rPr>
          <w:rFonts w:hint="eastAsia"/>
          <w:bCs/>
          <w:color w:val="auto"/>
        </w:rPr>
        <w:t>现象。</w:t>
      </w:r>
    </w:p>
    <w:p>
      <w:pPr>
        <w:pStyle w:val="4"/>
        <w:rPr>
          <w:color w:val="auto"/>
        </w:rPr>
      </w:pPr>
      <w:bookmarkStart w:id="45" w:name="_Toc1314"/>
      <w:bookmarkStart w:id="46" w:name="_Toc22692"/>
      <w:r>
        <w:rPr>
          <w:rFonts w:hint="eastAsia"/>
          <w:color w:val="auto"/>
        </w:rPr>
        <w:t>四、绩效目标实现情况及指标分析</w:t>
      </w:r>
      <w:bookmarkEnd w:id="45"/>
      <w:bookmarkEnd w:id="46"/>
    </w:p>
    <w:p>
      <w:pPr>
        <w:pStyle w:val="5"/>
        <w:bidi w:val="0"/>
        <w:rPr>
          <w:b/>
          <w:bCs/>
          <w:color w:val="auto"/>
          <w:highlight w:val="none"/>
        </w:rPr>
      </w:pPr>
      <w:bookmarkStart w:id="47" w:name="_Toc28834"/>
      <w:bookmarkStart w:id="48" w:name="_Toc9716"/>
      <w:r>
        <w:rPr>
          <w:rFonts w:hint="eastAsia"/>
          <w:b/>
          <w:bCs/>
          <w:color w:val="auto"/>
          <w:highlight w:val="none"/>
        </w:rPr>
        <w:t>（一）部门决策类</w:t>
      </w:r>
      <w:bookmarkEnd w:id="47"/>
      <w:bookmarkEnd w:id="48"/>
    </w:p>
    <w:p>
      <w:pPr>
        <w:pStyle w:val="7"/>
        <w:bidi w:val="0"/>
        <w:rPr>
          <w:color w:val="auto"/>
        </w:rPr>
      </w:pPr>
      <w:r>
        <w:rPr>
          <w:rFonts w:hint="eastAsia"/>
          <w:color w:val="auto"/>
        </w:rPr>
        <w:t>部门决策类指标共包含</w:t>
      </w:r>
      <w:r>
        <w:rPr>
          <w:color w:val="auto"/>
        </w:rPr>
        <w:t>4</w:t>
      </w:r>
      <w:r>
        <w:rPr>
          <w:rFonts w:hint="eastAsia"/>
          <w:color w:val="auto"/>
        </w:rPr>
        <w:t>个二级指标，</w:t>
      </w:r>
      <w:r>
        <w:rPr>
          <w:color w:val="auto"/>
        </w:rPr>
        <w:t>6</w:t>
      </w:r>
      <w:r>
        <w:rPr>
          <w:rFonts w:hint="eastAsia"/>
          <w:color w:val="auto"/>
        </w:rPr>
        <w:t>个三级指标，权重分10</w:t>
      </w:r>
      <w:r>
        <w:rPr>
          <w:rFonts w:hint="eastAsia"/>
          <w:color w:val="auto"/>
          <w:lang w:val="en-US" w:eastAsia="zh-CN"/>
        </w:rPr>
        <w:t>.00</w:t>
      </w:r>
      <w:r>
        <w:rPr>
          <w:rFonts w:hint="eastAsia"/>
          <w:color w:val="auto"/>
        </w:rPr>
        <w:t>分，得分</w:t>
      </w:r>
      <w:r>
        <w:rPr>
          <w:rFonts w:hint="eastAsia"/>
          <w:color w:val="auto"/>
          <w:lang w:val="en-US" w:eastAsia="zh-CN"/>
        </w:rPr>
        <w:t>4.00</w:t>
      </w:r>
      <w:r>
        <w:rPr>
          <w:rFonts w:hint="eastAsia"/>
          <w:color w:val="auto"/>
        </w:rPr>
        <w:t>分，得分率为</w:t>
      </w:r>
      <w:r>
        <w:rPr>
          <w:rFonts w:hint="eastAsia"/>
          <w:color w:val="auto"/>
          <w:lang w:val="en-US" w:eastAsia="zh-CN"/>
        </w:rPr>
        <w:t>40</w:t>
      </w:r>
      <w:r>
        <w:rPr>
          <w:rFonts w:hint="eastAsia"/>
          <w:color w:val="auto"/>
        </w:rPr>
        <w:t>%。主要</w:t>
      </w:r>
      <w:r>
        <w:rPr>
          <w:rFonts w:hint="eastAsia"/>
          <w:color w:val="auto"/>
          <w:highlight w:val="none"/>
        </w:rPr>
        <w:t>扣分指标为部门中长期规划明确性</w:t>
      </w:r>
      <w:r>
        <w:rPr>
          <w:rFonts w:hint="eastAsia"/>
          <w:color w:val="auto"/>
          <w:highlight w:val="none"/>
          <w:lang w:eastAsia="zh-CN"/>
        </w:rPr>
        <w:t>、年度绩效指标明确性、年度工作计划明确性</w:t>
      </w:r>
      <w:r>
        <w:rPr>
          <w:rFonts w:hint="eastAsia"/>
          <w:color w:val="auto"/>
        </w:rPr>
        <w:t>，各指标得分情况详见表</w:t>
      </w:r>
      <w:r>
        <w:rPr>
          <w:color w:val="auto"/>
        </w:rPr>
        <w:t>4</w:t>
      </w:r>
      <w:r>
        <w:rPr>
          <w:rFonts w:hint="eastAsia"/>
          <w:color w:val="auto"/>
        </w:rPr>
        <w:t>-1。</w:t>
      </w:r>
    </w:p>
    <w:p>
      <w:pPr>
        <w:pStyle w:val="52"/>
        <w:rPr>
          <w:color w:val="auto"/>
          <w:lang w:val="zh-CN"/>
        </w:rPr>
      </w:pPr>
      <w:r>
        <w:rPr>
          <w:rFonts w:hint="eastAsia"/>
          <w:color w:val="auto"/>
          <w:lang w:val="zh-CN"/>
        </w:rPr>
        <w:t>表</w:t>
      </w:r>
      <w:r>
        <w:rPr>
          <w:color w:val="auto"/>
        </w:rPr>
        <w:t>4</w:t>
      </w:r>
      <w:r>
        <w:rPr>
          <w:rFonts w:hint="eastAsia"/>
          <w:color w:val="auto"/>
        </w:rPr>
        <w:t>-1部门决策</w:t>
      </w:r>
      <w:r>
        <w:rPr>
          <w:rFonts w:hint="eastAsia"/>
          <w:color w:val="auto"/>
          <w:lang w:val="zh-CN"/>
        </w:rPr>
        <w:t>类指标得分情况表</w:t>
      </w:r>
    </w:p>
    <w:tbl>
      <w:tblPr>
        <w:tblStyle w:val="22"/>
        <w:tblW w:w="82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5"/>
        <w:gridCol w:w="1638"/>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指标名称</w:t>
            </w:r>
          </w:p>
        </w:tc>
        <w:tc>
          <w:tcPr>
            <w:tcW w:w="1638" w:type="dxa"/>
            <w:shd w:val="clear" w:color="000000" w:fill="BFBFBF"/>
            <w:vAlign w:val="center"/>
          </w:tcPr>
          <w:p>
            <w:pPr>
              <w:widowControl/>
              <w:jc w:val="center"/>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权重分</w:t>
            </w:r>
          </w:p>
        </w:tc>
        <w:tc>
          <w:tcPr>
            <w:tcW w:w="1560" w:type="dxa"/>
            <w:shd w:val="clear" w:color="000000" w:fill="BFBFBF"/>
            <w:vAlign w:val="center"/>
          </w:tcPr>
          <w:p>
            <w:pPr>
              <w:widowControl/>
              <w:jc w:val="center"/>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指标得分</w:t>
            </w:r>
          </w:p>
        </w:tc>
        <w:tc>
          <w:tcPr>
            <w:tcW w:w="1559" w:type="dxa"/>
            <w:shd w:val="clear" w:color="000000" w:fill="BFBFBF"/>
            <w:vAlign w:val="center"/>
          </w:tcPr>
          <w:p>
            <w:pPr>
              <w:widowControl/>
              <w:jc w:val="center"/>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jc w:val="left"/>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A1部门职能</w:t>
            </w:r>
          </w:p>
        </w:tc>
        <w:tc>
          <w:tcPr>
            <w:tcW w:w="1638"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default" w:ascii="Times New Roman" w:hAnsi="Times New Roman" w:eastAsia="仿宋_GB2312" w:cs="Times New Roman"/>
                <w:b/>
                <w:bCs/>
                <w:color w:val="auto"/>
                <w:kern w:val="0"/>
                <w:sz w:val="22"/>
                <w:szCs w:val="22"/>
              </w:rPr>
              <w:t>2.00</w:t>
            </w:r>
          </w:p>
        </w:tc>
        <w:tc>
          <w:tcPr>
            <w:tcW w:w="1560"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default" w:ascii="Times New Roman" w:hAnsi="Times New Roman" w:eastAsia="仿宋_GB2312" w:cs="Times New Roman"/>
                <w:b/>
                <w:bCs/>
                <w:color w:val="auto"/>
                <w:kern w:val="0"/>
                <w:sz w:val="22"/>
                <w:szCs w:val="22"/>
              </w:rPr>
              <w:t>2.00</w:t>
            </w:r>
          </w:p>
        </w:tc>
        <w:tc>
          <w:tcPr>
            <w:tcW w:w="1559" w:type="dxa"/>
            <w:shd w:val="clear" w:color="auto" w:fill="auto"/>
            <w:vAlign w:val="center"/>
          </w:tcPr>
          <w:p>
            <w:pPr>
              <w:widowControl/>
              <w:jc w:val="center"/>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A11部门职能明确性</w:t>
            </w:r>
          </w:p>
        </w:tc>
        <w:tc>
          <w:tcPr>
            <w:tcW w:w="1638"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2.00</w:t>
            </w:r>
          </w:p>
        </w:tc>
        <w:tc>
          <w:tcPr>
            <w:tcW w:w="156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2.00</w:t>
            </w:r>
          </w:p>
        </w:tc>
        <w:tc>
          <w:tcPr>
            <w:tcW w:w="1559"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jc w:val="left"/>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A2部门战略规划</w:t>
            </w:r>
          </w:p>
        </w:tc>
        <w:tc>
          <w:tcPr>
            <w:tcW w:w="1638"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default" w:ascii="Times New Roman" w:hAnsi="Times New Roman" w:eastAsia="仿宋_GB2312" w:cs="Times New Roman"/>
                <w:b/>
                <w:bCs/>
                <w:color w:val="auto"/>
                <w:kern w:val="0"/>
                <w:sz w:val="22"/>
                <w:szCs w:val="22"/>
              </w:rPr>
              <w:t>2.00</w:t>
            </w:r>
          </w:p>
        </w:tc>
        <w:tc>
          <w:tcPr>
            <w:tcW w:w="1560"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eastAsia" w:ascii="Times New Roman" w:hAnsi="Times New Roman" w:eastAsia="仿宋_GB2312" w:cs="Times New Roman"/>
                <w:b/>
                <w:bCs/>
                <w:color w:val="auto"/>
                <w:kern w:val="0"/>
                <w:sz w:val="22"/>
                <w:szCs w:val="22"/>
                <w:lang w:val="en-US" w:eastAsia="zh-CN"/>
              </w:rPr>
              <w:t>0</w:t>
            </w:r>
          </w:p>
        </w:tc>
        <w:tc>
          <w:tcPr>
            <w:tcW w:w="1559"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eastAsia" w:ascii="Times New Roman" w:hAnsi="Times New Roman" w:eastAsia="仿宋_GB2312" w:cs="Times New Roman"/>
                <w:b/>
                <w:bCs/>
                <w:color w:val="auto"/>
                <w:kern w:val="0"/>
                <w:sz w:val="22"/>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ind w:firstLine="220" w:firstLineChars="100"/>
              <w:jc w:val="left"/>
              <w:rPr>
                <w:rFonts w:hint="default" w:ascii="Times New Roman" w:hAnsi="Times New Roman" w:eastAsia="仿宋_GB2312" w:cs="Times New Roman"/>
                <w:color w:val="auto"/>
                <w:kern w:val="0"/>
                <w:sz w:val="22"/>
                <w:szCs w:val="22"/>
              </w:rPr>
            </w:pPr>
            <w:r>
              <w:rPr>
                <w:rFonts w:hint="default" w:ascii="Times New Roman" w:hAnsi="Times New Roman" w:eastAsia="仿宋_GB2312" w:cs="Times New Roman"/>
                <w:color w:val="auto"/>
                <w:kern w:val="0"/>
                <w:sz w:val="22"/>
                <w:szCs w:val="22"/>
              </w:rPr>
              <w:t>A21部门中长期规划明确性</w:t>
            </w:r>
          </w:p>
        </w:tc>
        <w:tc>
          <w:tcPr>
            <w:tcW w:w="1638"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default" w:ascii="Times New Roman" w:hAnsi="Times New Roman" w:eastAsia="仿宋_GB2312" w:cs="Times New Roman"/>
                <w:color w:val="auto"/>
                <w:kern w:val="0"/>
                <w:sz w:val="22"/>
                <w:szCs w:val="22"/>
              </w:rPr>
              <w:t>2.00</w:t>
            </w:r>
          </w:p>
        </w:tc>
        <w:tc>
          <w:tcPr>
            <w:tcW w:w="1560"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eastAsia" w:ascii="Times New Roman" w:hAnsi="Times New Roman" w:eastAsia="仿宋_GB2312" w:cs="Times New Roman"/>
                <w:color w:val="auto"/>
                <w:kern w:val="0"/>
                <w:sz w:val="22"/>
                <w:szCs w:val="22"/>
                <w:lang w:val="en-US" w:eastAsia="zh-CN"/>
              </w:rPr>
              <w:t>0</w:t>
            </w:r>
          </w:p>
        </w:tc>
        <w:tc>
          <w:tcPr>
            <w:tcW w:w="1559"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eastAsia" w:ascii="Times New Roman" w:hAnsi="Times New Roman" w:eastAsia="仿宋_GB2312" w:cs="Times New Roman"/>
                <w:color w:val="auto"/>
                <w:kern w:val="0"/>
                <w:sz w:val="22"/>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jc w:val="left"/>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A3部门绩效目标设定</w:t>
            </w:r>
          </w:p>
        </w:tc>
        <w:tc>
          <w:tcPr>
            <w:tcW w:w="1638"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default" w:ascii="Times New Roman" w:hAnsi="Times New Roman" w:eastAsia="仿宋_GB2312" w:cs="Times New Roman"/>
                <w:b/>
                <w:bCs/>
                <w:color w:val="auto"/>
                <w:kern w:val="0"/>
                <w:sz w:val="22"/>
                <w:szCs w:val="22"/>
                <w:lang w:val="en-US" w:eastAsia="zh-CN"/>
              </w:rPr>
              <w:t>3</w:t>
            </w:r>
            <w:r>
              <w:rPr>
                <w:rFonts w:hint="default" w:ascii="Times New Roman" w:hAnsi="Times New Roman" w:eastAsia="仿宋_GB2312" w:cs="Times New Roman"/>
                <w:b/>
                <w:bCs/>
                <w:color w:val="auto"/>
                <w:kern w:val="0"/>
                <w:sz w:val="22"/>
                <w:szCs w:val="22"/>
              </w:rPr>
              <w:t>.00</w:t>
            </w:r>
          </w:p>
        </w:tc>
        <w:tc>
          <w:tcPr>
            <w:tcW w:w="1560"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eastAsia" w:ascii="Times New Roman" w:hAnsi="Times New Roman" w:eastAsia="仿宋_GB2312" w:cs="Times New Roman"/>
                <w:b/>
                <w:bCs/>
                <w:color w:val="auto"/>
                <w:kern w:val="0"/>
                <w:sz w:val="22"/>
                <w:szCs w:val="22"/>
                <w:lang w:val="en-US" w:eastAsia="zh-CN"/>
              </w:rPr>
              <w:t>2</w:t>
            </w:r>
            <w:r>
              <w:rPr>
                <w:rFonts w:hint="default" w:ascii="Times New Roman" w:hAnsi="Times New Roman" w:eastAsia="仿宋_GB2312" w:cs="Times New Roman"/>
                <w:b/>
                <w:bCs/>
                <w:color w:val="auto"/>
                <w:kern w:val="0"/>
                <w:sz w:val="22"/>
                <w:szCs w:val="22"/>
              </w:rPr>
              <w:t>.00</w:t>
            </w:r>
          </w:p>
        </w:tc>
        <w:tc>
          <w:tcPr>
            <w:tcW w:w="1559" w:type="dxa"/>
            <w:shd w:val="clear" w:color="auto" w:fill="auto"/>
            <w:vAlign w:val="center"/>
          </w:tcPr>
          <w:p>
            <w:pPr>
              <w:widowControl/>
              <w:jc w:val="center"/>
              <w:rPr>
                <w:rFonts w:hint="default" w:ascii="Times New Roman" w:hAnsi="Times New Roman" w:eastAsia="仿宋_GB2312" w:cs="Times New Roman"/>
                <w:b/>
                <w:bCs/>
                <w:color w:val="auto"/>
                <w:kern w:val="0"/>
                <w:sz w:val="22"/>
                <w:szCs w:val="22"/>
              </w:rPr>
            </w:pPr>
            <w:r>
              <w:rPr>
                <w:rFonts w:hint="eastAsia" w:ascii="Times New Roman" w:hAnsi="Times New Roman" w:eastAsia="仿宋_GB2312" w:cs="Times New Roman"/>
                <w:b/>
                <w:bCs/>
                <w:color w:val="auto"/>
                <w:kern w:val="0"/>
                <w:sz w:val="22"/>
                <w:szCs w:val="22"/>
                <w:lang w:val="en-US" w:eastAsia="zh-CN"/>
              </w:rPr>
              <w:t>66.67</w:t>
            </w:r>
            <w:r>
              <w:rPr>
                <w:rFonts w:hint="default" w:ascii="Times New Roman" w:hAnsi="Times New Roman" w:eastAsia="仿宋_GB2312" w:cs="Times New Roman"/>
                <w:b/>
                <w:bCs/>
                <w:color w:val="auto"/>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ind w:firstLine="220" w:firstLineChars="100"/>
              <w:jc w:val="left"/>
              <w:rPr>
                <w:rFonts w:hint="default" w:ascii="Times New Roman" w:hAnsi="Times New Roman" w:eastAsia="仿宋_GB2312" w:cs="Times New Roman"/>
                <w:color w:val="auto"/>
                <w:kern w:val="0"/>
                <w:sz w:val="22"/>
                <w:szCs w:val="22"/>
              </w:rPr>
            </w:pPr>
            <w:r>
              <w:rPr>
                <w:rFonts w:hint="default" w:ascii="Times New Roman" w:hAnsi="Times New Roman" w:eastAsia="仿宋_GB2312" w:cs="Times New Roman"/>
                <w:color w:val="auto"/>
                <w:kern w:val="0"/>
                <w:sz w:val="22"/>
                <w:szCs w:val="22"/>
              </w:rPr>
              <w:t>A31年度绩效目标合理性</w:t>
            </w:r>
          </w:p>
        </w:tc>
        <w:tc>
          <w:tcPr>
            <w:tcW w:w="1638"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default" w:ascii="Times New Roman" w:hAnsi="Times New Roman" w:eastAsia="仿宋_GB2312" w:cs="Times New Roman"/>
                <w:color w:val="auto"/>
                <w:kern w:val="0"/>
                <w:sz w:val="22"/>
                <w:szCs w:val="22"/>
                <w:lang w:val="en-US" w:eastAsia="zh-CN"/>
              </w:rPr>
              <w:t>1</w:t>
            </w:r>
            <w:r>
              <w:rPr>
                <w:rFonts w:hint="default" w:ascii="Times New Roman" w:hAnsi="Times New Roman" w:eastAsia="仿宋_GB2312" w:cs="Times New Roman"/>
                <w:color w:val="auto"/>
                <w:kern w:val="0"/>
                <w:sz w:val="22"/>
                <w:szCs w:val="22"/>
              </w:rPr>
              <w:t>.00</w:t>
            </w:r>
          </w:p>
        </w:tc>
        <w:tc>
          <w:tcPr>
            <w:tcW w:w="1560"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default" w:ascii="Times New Roman" w:hAnsi="Times New Roman" w:eastAsia="仿宋_GB2312" w:cs="Times New Roman"/>
                <w:color w:val="auto"/>
                <w:kern w:val="0"/>
                <w:sz w:val="22"/>
                <w:szCs w:val="22"/>
              </w:rPr>
              <w:t>1.00</w:t>
            </w:r>
          </w:p>
        </w:tc>
        <w:tc>
          <w:tcPr>
            <w:tcW w:w="1559" w:type="dxa"/>
            <w:shd w:val="clear" w:color="auto" w:fill="auto"/>
            <w:vAlign w:val="center"/>
          </w:tcPr>
          <w:p>
            <w:pPr>
              <w:widowControl/>
              <w:jc w:val="center"/>
              <w:rPr>
                <w:rFonts w:hint="default" w:ascii="Times New Roman" w:hAnsi="Times New Roman" w:eastAsia="仿宋_GB2312" w:cs="Times New Roman"/>
                <w:color w:val="auto"/>
                <w:kern w:val="0"/>
                <w:sz w:val="22"/>
                <w:szCs w:val="22"/>
              </w:rPr>
            </w:pPr>
            <w:r>
              <w:rPr>
                <w:rFonts w:hint="eastAsia" w:ascii="Times New Roman" w:hAnsi="Times New Roman" w:eastAsia="仿宋_GB2312" w:cs="Times New Roman"/>
                <w:color w:val="auto"/>
                <w:kern w:val="0"/>
                <w:sz w:val="22"/>
                <w:szCs w:val="22"/>
                <w:lang w:val="en-US" w:eastAsia="zh-CN"/>
              </w:rPr>
              <w:t>10</w:t>
            </w:r>
            <w:r>
              <w:rPr>
                <w:rFonts w:hint="default" w:ascii="Times New Roman" w:hAnsi="Times New Roman" w:eastAsia="仿宋_GB2312" w:cs="Times New Roman"/>
                <w:color w:val="auto"/>
                <w:kern w:val="0"/>
                <w:sz w:val="22"/>
                <w:szCs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ind w:firstLine="220" w:firstLineChars="100"/>
              <w:jc w:val="left"/>
              <w:rPr>
                <w:rFonts w:hint="default" w:ascii="Times New Roman" w:hAnsi="Times New Roman" w:eastAsia="仿宋_GB2312" w:cs="Times New Roman"/>
                <w:color w:val="auto"/>
                <w:kern w:val="0"/>
                <w:sz w:val="22"/>
                <w:szCs w:val="22"/>
              </w:rPr>
            </w:pPr>
            <w:r>
              <w:rPr>
                <w:rFonts w:hint="default" w:ascii="Times New Roman" w:hAnsi="Times New Roman" w:eastAsia="仿宋_GB2312" w:cs="Times New Roman"/>
                <w:color w:val="auto"/>
                <w:kern w:val="0"/>
                <w:sz w:val="22"/>
                <w:szCs w:val="22"/>
              </w:rPr>
              <w:t>A32年度绩效指标明确性</w:t>
            </w:r>
          </w:p>
        </w:tc>
        <w:tc>
          <w:tcPr>
            <w:tcW w:w="1638"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default" w:ascii="Times New Roman" w:hAnsi="Times New Roman" w:eastAsia="仿宋_GB2312" w:cs="Times New Roman"/>
                <w:color w:val="auto"/>
                <w:kern w:val="0"/>
                <w:sz w:val="22"/>
                <w:szCs w:val="22"/>
              </w:rPr>
              <w:t>2.00</w:t>
            </w:r>
          </w:p>
        </w:tc>
        <w:tc>
          <w:tcPr>
            <w:tcW w:w="1560"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eastAsia" w:ascii="Times New Roman" w:hAnsi="Times New Roman" w:eastAsia="仿宋_GB2312" w:cs="Times New Roman"/>
                <w:color w:val="auto"/>
                <w:kern w:val="0"/>
                <w:sz w:val="22"/>
                <w:szCs w:val="22"/>
                <w:lang w:val="en-US" w:eastAsia="zh-CN"/>
              </w:rPr>
              <w:t>1</w:t>
            </w:r>
            <w:r>
              <w:rPr>
                <w:rFonts w:hint="default" w:ascii="Times New Roman" w:hAnsi="Times New Roman" w:eastAsia="仿宋_GB2312" w:cs="Times New Roman"/>
                <w:color w:val="auto"/>
                <w:kern w:val="0"/>
                <w:sz w:val="22"/>
                <w:szCs w:val="22"/>
              </w:rPr>
              <w:t>.00</w:t>
            </w:r>
          </w:p>
        </w:tc>
        <w:tc>
          <w:tcPr>
            <w:tcW w:w="1559" w:type="dxa"/>
            <w:shd w:val="clear" w:color="auto" w:fill="auto"/>
            <w:vAlign w:val="center"/>
          </w:tcPr>
          <w:p>
            <w:pPr>
              <w:widowControl/>
              <w:jc w:val="center"/>
              <w:rPr>
                <w:rFonts w:hint="default" w:ascii="Times New Roman" w:hAnsi="Times New Roman" w:eastAsia="仿宋_GB2312" w:cs="Times New Roman"/>
                <w:color w:val="auto"/>
                <w:kern w:val="0"/>
                <w:sz w:val="22"/>
                <w:szCs w:val="22"/>
              </w:rPr>
            </w:pPr>
            <w:r>
              <w:rPr>
                <w:rFonts w:hint="eastAsia" w:ascii="Times New Roman" w:hAnsi="Times New Roman" w:eastAsia="仿宋_GB2312" w:cs="Times New Roman"/>
                <w:color w:val="auto"/>
                <w:kern w:val="0"/>
                <w:sz w:val="22"/>
                <w:szCs w:val="22"/>
                <w:lang w:val="en-US" w:eastAsia="zh-CN"/>
              </w:rPr>
              <w:t>5</w:t>
            </w:r>
            <w:r>
              <w:rPr>
                <w:rFonts w:hint="default" w:ascii="Times New Roman" w:hAnsi="Times New Roman" w:eastAsia="仿宋_GB2312" w:cs="Times New Roman"/>
                <w:color w:val="auto"/>
                <w:kern w:val="0"/>
                <w:sz w:val="22"/>
                <w:szCs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jc w:val="left"/>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A4部门年度工作计划</w:t>
            </w:r>
          </w:p>
        </w:tc>
        <w:tc>
          <w:tcPr>
            <w:tcW w:w="1638"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eastAsia" w:ascii="Times New Roman" w:hAnsi="Times New Roman" w:eastAsia="仿宋_GB2312" w:cs="Times New Roman"/>
                <w:b/>
                <w:bCs/>
                <w:color w:val="auto"/>
                <w:kern w:val="0"/>
                <w:sz w:val="22"/>
                <w:szCs w:val="22"/>
                <w:lang w:val="en-US" w:eastAsia="zh-CN"/>
              </w:rPr>
              <w:t>3</w:t>
            </w:r>
            <w:r>
              <w:rPr>
                <w:rFonts w:hint="default" w:ascii="Times New Roman" w:hAnsi="Times New Roman" w:eastAsia="仿宋_GB2312" w:cs="Times New Roman"/>
                <w:b/>
                <w:bCs/>
                <w:color w:val="auto"/>
                <w:kern w:val="0"/>
                <w:sz w:val="22"/>
                <w:szCs w:val="22"/>
              </w:rPr>
              <w:t>.00</w:t>
            </w:r>
          </w:p>
        </w:tc>
        <w:tc>
          <w:tcPr>
            <w:tcW w:w="1560"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eastAsia" w:ascii="Times New Roman" w:hAnsi="Times New Roman" w:eastAsia="仿宋_GB2312" w:cs="Times New Roman"/>
                <w:b/>
                <w:bCs/>
                <w:color w:val="auto"/>
                <w:kern w:val="0"/>
                <w:sz w:val="22"/>
                <w:szCs w:val="22"/>
                <w:lang w:val="en-US" w:eastAsia="zh-CN"/>
              </w:rPr>
              <w:t>0</w:t>
            </w:r>
          </w:p>
        </w:tc>
        <w:tc>
          <w:tcPr>
            <w:tcW w:w="1559" w:type="dxa"/>
            <w:shd w:val="clear" w:color="auto" w:fill="auto"/>
            <w:vAlign w:val="center"/>
          </w:tcPr>
          <w:p>
            <w:pPr>
              <w:widowControl/>
              <w:jc w:val="center"/>
              <w:rPr>
                <w:rFonts w:hint="default" w:ascii="Times New Roman" w:hAnsi="Times New Roman" w:eastAsia="仿宋_GB2312" w:cs="Times New Roman"/>
                <w:b/>
                <w:bCs/>
                <w:color w:val="auto"/>
                <w:kern w:val="0"/>
                <w:sz w:val="22"/>
                <w:szCs w:val="22"/>
              </w:rPr>
            </w:pPr>
            <w:r>
              <w:rPr>
                <w:rFonts w:hint="eastAsia" w:ascii="Times New Roman" w:hAnsi="Times New Roman" w:eastAsia="仿宋_GB2312" w:cs="Times New Roman"/>
                <w:b/>
                <w:bCs/>
                <w:color w:val="auto"/>
                <w:kern w:val="0"/>
                <w:sz w:val="22"/>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ind w:firstLine="220" w:firstLineChars="100"/>
              <w:jc w:val="left"/>
              <w:rPr>
                <w:rFonts w:hint="default" w:ascii="Times New Roman" w:hAnsi="Times New Roman" w:eastAsia="仿宋_GB2312" w:cs="Times New Roman"/>
                <w:color w:val="auto"/>
                <w:kern w:val="0"/>
                <w:sz w:val="22"/>
                <w:szCs w:val="22"/>
              </w:rPr>
            </w:pPr>
            <w:r>
              <w:rPr>
                <w:rFonts w:hint="default" w:ascii="Times New Roman" w:hAnsi="Times New Roman" w:eastAsia="仿宋_GB2312" w:cs="Times New Roman"/>
                <w:color w:val="auto"/>
                <w:kern w:val="0"/>
                <w:sz w:val="22"/>
                <w:szCs w:val="22"/>
              </w:rPr>
              <w:t>A41年度工作计划明确性</w:t>
            </w:r>
          </w:p>
        </w:tc>
        <w:tc>
          <w:tcPr>
            <w:tcW w:w="1638"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default" w:ascii="Times New Roman" w:hAnsi="Times New Roman" w:eastAsia="仿宋_GB2312" w:cs="Times New Roman"/>
                <w:color w:val="auto"/>
                <w:kern w:val="0"/>
                <w:sz w:val="22"/>
                <w:szCs w:val="22"/>
                <w:lang w:val="en-US" w:eastAsia="zh-CN"/>
              </w:rPr>
              <w:t>2</w:t>
            </w:r>
            <w:r>
              <w:rPr>
                <w:rFonts w:hint="default" w:ascii="Times New Roman" w:hAnsi="Times New Roman" w:eastAsia="仿宋_GB2312" w:cs="Times New Roman"/>
                <w:color w:val="auto"/>
                <w:kern w:val="0"/>
                <w:sz w:val="22"/>
                <w:szCs w:val="22"/>
              </w:rPr>
              <w:t>.00</w:t>
            </w:r>
          </w:p>
        </w:tc>
        <w:tc>
          <w:tcPr>
            <w:tcW w:w="1560"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eastAsia" w:ascii="Times New Roman" w:hAnsi="Times New Roman" w:eastAsia="仿宋_GB2312" w:cs="Times New Roman"/>
                <w:color w:val="auto"/>
                <w:kern w:val="0"/>
                <w:sz w:val="22"/>
                <w:szCs w:val="22"/>
                <w:lang w:val="en-US" w:eastAsia="zh-CN"/>
              </w:rPr>
              <w:t>0</w:t>
            </w:r>
          </w:p>
        </w:tc>
        <w:tc>
          <w:tcPr>
            <w:tcW w:w="1559"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eastAsia" w:ascii="Times New Roman" w:hAnsi="Times New Roman" w:eastAsia="仿宋_GB2312" w:cs="Times New Roman"/>
                <w:color w:val="auto"/>
                <w:kern w:val="0"/>
                <w:sz w:val="22"/>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ind w:firstLine="220" w:firstLineChars="100"/>
              <w:jc w:val="left"/>
              <w:rPr>
                <w:rFonts w:hint="default" w:ascii="Times New Roman" w:hAnsi="Times New Roman" w:eastAsia="仿宋_GB2312" w:cs="Times New Roman"/>
                <w:color w:val="auto"/>
                <w:kern w:val="0"/>
                <w:sz w:val="22"/>
                <w:szCs w:val="22"/>
              </w:rPr>
            </w:pPr>
            <w:r>
              <w:rPr>
                <w:rFonts w:hint="default" w:ascii="Times New Roman" w:hAnsi="Times New Roman" w:eastAsia="仿宋_GB2312" w:cs="Times New Roman"/>
                <w:color w:val="auto"/>
                <w:kern w:val="0"/>
                <w:sz w:val="22"/>
                <w:szCs w:val="22"/>
              </w:rPr>
              <w:t>A42年度工作计划匹配性</w:t>
            </w:r>
          </w:p>
        </w:tc>
        <w:tc>
          <w:tcPr>
            <w:tcW w:w="1638"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default" w:ascii="Times New Roman" w:hAnsi="Times New Roman" w:eastAsia="仿宋_GB2312" w:cs="Times New Roman"/>
                <w:color w:val="auto"/>
                <w:kern w:val="0"/>
                <w:sz w:val="22"/>
                <w:szCs w:val="22"/>
                <w:lang w:val="en-US" w:eastAsia="zh-CN"/>
              </w:rPr>
              <w:t>1</w:t>
            </w:r>
            <w:r>
              <w:rPr>
                <w:rFonts w:hint="default" w:ascii="Times New Roman" w:hAnsi="Times New Roman" w:eastAsia="仿宋_GB2312" w:cs="Times New Roman"/>
                <w:color w:val="auto"/>
                <w:kern w:val="0"/>
                <w:sz w:val="22"/>
                <w:szCs w:val="22"/>
              </w:rPr>
              <w:t>.00</w:t>
            </w:r>
          </w:p>
        </w:tc>
        <w:tc>
          <w:tcPr>
            <w:tcW w:w="1560" w:type="dxa"/>
            <w:shd w:val="clear" w:color="auto" w:fill="auto"/>
            <w:vAlign w:val="center"/>
          </w:tcPr>
          <w:p>
            <w:pPr>
              <w:widowControl/>
              <w:jc w:val="center"/>
              <w:rPr>
                <w:rFonts w:hint="default" w:ascii="Times New Roman" w:hAnsi="Times New Roman" w:eastAsia="仿宋_GB2312" w:cs="Times New Roman"/>
                <w:color w:val="auto"/>
                <w:kern w:val="0"/>
                <w:sz w:val="22"/>
                <w:szCs w:val="22"/>
              </w:rPr>
            </w:pPr>
            <w:r>
              <w:rPr>
                <w:rFonts w:hint="eastAsia" w:ascii="Times New Roman" w:hAnsi="Times New Roman" w:eastAsia="仿宋_GB2312" w:cs="Times New Roman"/>
                <w:color w:val="auto"/>
                <w:kern w:val="0"/>
                <w:sz w:val="22"/>
                <w:szCs w:val="22"/>
                <w:lang w:val="en-US" w:eastAsia="zh-CN"/>
              </w:rPr>
              <w:t>0</w:t>
            </w:r>
          </w:p>
        </w:tc>
        <w:tc>
          <w:tcPr>
            <w:tcW w:w="1559" w:type="dxa"/>
            <w:shd w:val="clear" w:color="auto" w:fill="auto"/>
            <w:vAlign w:val="center"/>
          </w:tcPr>
          <w:p>
            <w:pPr>
              <w:widowControl/>
              <w:jc w:val="center"/>
              <w:rPr>
                <w:rFonts w:hint="eastAsia" w:ascii="Times New Roman" w:hAnsi="Times New Roman" w:eastAsia="仿宋_GB2312" w:cs="Times New Roman"/>
                <w:color w:val="auto"/>
                <w:kern w:val="0"/>
                <w:sz w:val="22"/>
                <w:szCs w:val="22"/>
                <w:lang w:eastAsia="zh-CN"/>
              </w:rPr>
            </w:pPr>
            <w:r>
              <w:rPr>
                <w:rFonts w:hint="eastAsia" w:ascii="Times New Roman" w:hAnsi="Times New Roman" w:eastAsia="仿宋_GB2312" w:cs="Times New Roman"/>
                <w:color w:val="auto"/>
                <w:kern w:val="0"/>
                <w:sz w:val="22"/>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5" w:type="dxa"/>
            <w:shd w:val="clear" w:color="auto" w:fill="auto"/>
            <w:vAlign w:val="center"/>
          </w:tcPr>
          <w:p>
            <w:pPr>
              <w:widowControl/>
              <w:jc w:val="center"/>
              <w:rPr>
                <w:rFonts w:hint="default" w:ascii="Times New Roman" w:hAnsi="Times New Roman" w:eastAsia="仿宋_GB2312" w:cs="Times New Roman"/>
                <w:b/>
                <w:bCs/>
                <w:color w:val="auto"/>
                <w:kern w:val="0"/>
                <w:sz w:val="22"/>
                <w:szCs w:val="22"/>
              </w:rPr>
            </w:pPr>
            <w:r>
              <w:rPr>
                <w:rFonts w:hint="default" w:ascii="Times New Roman" w:hAnsi="Times New Roman" w:eastAsia="仿宋_GB2312" w:cs="Times New Roman"/>
                <w:b/>
                <w:bCs/>
                <w:color w:val="auto"/>
                <w:kern w:val="0"/>
                <w:sz w:val="22"/>
                <w:szCs w:val="22"/>
              </w:rPr>
              <w:t>合计</w:t>
            </w:r>
          </w:p>
        </w:tc>
        <w:tc>
          <w:tcPr>
            <w:tcW w:w="1638"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default" w:ascii="Times New Roman" w:hAnsi="Times New Roman" w:eastAsia="仿宋_GB2312" w:cs="Times New Roman"/>
                <w:b/>
                <w:bCs/>
                <w:color w:val="auto"/>
                <w:kern w:val="0"/>
                <w:sz w:val="22"/>
                <w:szCs w:val="22"/>
              </w:rPr>
              <w:t>1</w:t>
            </w:r>
            <w:r>
              <w:rPr>
                <w:rFonts w:hint="default" w:ascii="Times New Roman" w:hAnsi="Times New Roman" w:eastAsia="仿宋_GB2312" w:cs="Times New Roman"/>
                <w:b/>
                <w:bCs/>
                <w:color w:val="auto"/>
                <w:kern w:val="0"/>
                <w:sz w:val="22"/>
                <w:szCs w:val="22"/>
                <w:lang w:val="en-US" w:eastAsia="zh-CN"/>
              </w:rPr>
              <w:t>0</w:t>
            </w:r>
            <w:r>
              <w:rPr>
                <w:rFonts w:hint="default" w:ascii="Times New Roman" w:hAnsi="Times New Roman" w:eastAsia="仿宋_GB2312" w:cs="Times New Roman"/>
                <w:b/>
                <w:bCs/>
                <w:color w:val="auto"/>
                <w:kern w:val="0"/>
                <w:sz w:val="22"/>
                <w:szCs w:val="22"/>
              </w:rPr>
              <w:t>.00</w:t>
            </w:r>
          </w:p>
        </w:tc>
        <w:tc>
          <w:tcPr>
            <w:tcW w:w="1560" w:type="dxa"/>
            <w:shd w:val="clear" w:color="auto" w:fill="auto"/>
            <w:vAlign w:val="center"/>
          </w:tcPr>
          <w:p>
            <w:pPr>
              <w:widowControl/>
              <w:jc w:val="center"/>
              <w:rPr>
                <w:rFonts w:hint="eastAsia" w:ascii="Times New Roman" w:hAnsi="Times New Roman" w:eastAsia="仿宋_GB2312" w:cs="Times New Roman"/>
                <w:b/>
                <w:bCs/>
                <w:color w:val="auto"/>
                <w:kern w:val="0"/>
                <w:sz w:val="22"/>
                <w:szCs w:val="22"/>
                <w:lang w:eastAsia="zh-CN"/>
              </w:rPr>
            </w:pPr>
            <w:r>
              <w:rPr>
                <w:rFonts w:hint="eastAsia" w:ascii="Times New Roman" w:hAnsi="Times New Roman" w:eastAsia="仿宋_GB2312" w:cs="Times New Roman"/>
                <w:b/>
                <w:bCs/>
                <w:color w:val="auto"/>
                <w:kern w:val="0"/>
                <w:sz w:val="22"/>
                <w:szCs w:val="22"/>
                <w:lang w:val="en-US" w:eastAsia="zh-CN"/>
              </w:rPr>
              <w:t>4</w:t>
            </w:r>
            <w:r>
              <w:rPr>
                <w:rFonts w:hint="default" w:ascii="Times New Roman" w:hAnsi="Times New Roman" w:eastAsia="仿宋_GB2312" w:cs="Times New Roman"/>
                <w:b/>
                <w:bCs/>
                <w:color w:val="auto"/>
                <w:kern w:val="0"/>
                <w:sz w:val="22"/>
                <w:szCs w:val="22"/>
              </w:rPr>
              <w:t>.00</w:t>
            </w:r>
          </w:p>
        </w:tc>
        <w:tc>
          <w:tcPr>
            <w:tcW w:w="1559" w:type="dxa"/>
            <w:shd w:val="clear" w:color="auto" w:fill="auto"/>
            <w:vAlign w:val="center"/>
          </w:tcPr>
          <w:p>
            <w:pPr>
              <w:widowControl/>
              <w:jc w:val="center"/>
              <w:rPr>
                <w:rFonts w:hint="default" w:ascii="Times New Roman" w:hAnsi="Times New Roman" w:eastAsia="仿宋_GB2312" w:cs="Times New Roman"/>
                <w:b/>
                <w:bCs/>
                <w:color w:val="auto"/>
                <w:kern w:val="0"/>
                <w:sz w:val="22"/>
                <w:szCs w:val="22"/>
              </w:rPr>
            </w:pPr>
            <w:r>
              <w:rPr>
                <w:rFonts w:hint="eastAsia" w:ascii="Times New Roman" w:hAnsi="Times New Roman" w:eastAsia="仿宋_GB2312" w:cs="Times New Roman"/>
                <w:b/>
                <w:bCs/>
                <w:color w:val="auto"/>
                <w:kern w:val="0"/>
                <w:sz w:val="22"/>
                <w:szCs w:val="22"/>
                <w:lang w:val="en-US" w:eastAsia="zh-CN"/>
              </w:rPr>
              <w:t>40.00</w:t>
            </w:r>
            <w:r>
              <w:rPr>
                <w:rFonts w:hint="default" w:ascii="Times New Roman" w:hAnsi="Times New Roman" w:eastAsia="仿宋_GB2312" w:cs="Times New Roman"/>
                <w:b/>
                <w:bCs/>
                <w:color w:val="auto"/>
                <w:kern w:val="0"/>
                <w:sz w:val="22"/>
                <w:szCs w:val="22"/>
              </w:rPr>
              <w:t>%</w:t>
            </w:r>
          </w:p>
        </w:tc>
      </w:tr>
    </w:tbl>
    <w:p>
      <w:pPr>
        <w:pStyle w:val="7"/>
        <w:ind w:firstLine="643"/>
        <w:rPr>
          <w:color w:val="auto"/>
        </w:rPr>
      </w:pPr>
      <w:r>
        <w:rPr>
          <w:b/>
          <w:color w:val="auto"/>
        </w:rPr>
        <w:t>A1</w:t>
      </w:r>
      <w:r>
        <w:rPr>
          <w:rFonts w:hint="eastAsia"/>
          <w:b/>
          <w:color w:val="auto"/>
        </w:rPr>
        <w:t>部门职能指标。</w:t>
      </w:r>
      <w:r>
        <w:rPr>
          <w:rFonts w:hint="eastAsia"/>
          <w:color w:val="auto"/>
          <w:lang w:eastAsia="zh-CN"/>
        </w:rPr>
        <w:t>淮滨</w:t>
      </w:r>
      <w:r>
        <w:rPr>
          <w:rFonts w:hint="eastAsia"/>
          <w:color w:val="auto"/>
        </w:rPr>
        <w:t>县委党校具有明确的职能，一是</w:t>
      </w:r>
      <w:r>
        <w:rPr>
          <w:color w:val="auto"/>
        </w:rPr>
        <w:t>根据县委对干部队伍建设的要求</w:t>
      </w:r>
      <w:r>
        <w:rPr>
          <w:rFonts w:hint="eastAsia"/>
          <w:color w:val="auto"/>
        </w:rPr>
        <w:t>，</w:t>
      </w:r>
      <w:r>
        <w:rPr>
          <w:color w:val="auto"/>
        </w:rPr>
        <w:t>培训党员干部、和理论宣传骨干，</w:t>
      </w:r>
      <w:r>
        <w:rPr>
          <w:rFonts w:hint="eastAsia"/>
          <w:color w:val="auto"/>
        </w:rPr>
        <w:t>考察</w:t>
      </w:r>
      <w:r>
        <w:rPr>
          <w:color w:val="auto"/>
        </w:rPr>
        <w:t>学员在党校学习期间表现；</w:t>
      </w:r>
      <w:r>
        <w:rPr>
          <w:rFonts w:hint="eastAsia"/>
          <w:color w:val="auto"/>
        </w:rPr>
        <w:t>二是</w:t>
      </w:r>
      <w:r>
        <w:rPr>
          <w:color w:val="auto"/>
        </w:rPr>
        <w:t>研究马列主义、毛泽东思想和邓小平理论，围绕党的中心任务和上级的重大战略部署，对国内外，尤其是县内重大现实问题开展理论研究，为教学和社会实践服务，并将重要成果提供给县委、县政府决策参考；</w:t>
      </w:r>
      <w:r>
        <w:rPr>
          <w:rFonts w:hint="eastAsia"/>
          <w:color w:val="auto"/>
        </w:rPr>
        <w:t>三是</w:t>
      </w:r>
      <w:r>
        <w:rPr>
          <w:color w:val="auto"/>
        </w:rPr>
        <w:t>积极开展</w:t>
      </w:r>
      <w:r>
        <w:rPr>
          <w:rFonts w:hint="eastAsia"/>
          <w:color w:val="auto"/>
          <w:lang w:eastAsia="zh-CN"/>
        </w:rPr>
        <w:t>其他</w:t>
      </w:r>
      <w:r>
        <w:rPr>
          <w:color w:val="auto"/>
        </w:rPr>
        <w:t>教育培训工作。</w:t>
      </w:r>
    </w:p>
    <w:p>
      <w:pPr>
        <w:pStyle w:val="7"/>
        <w:rPr>
          <w:color w:val="auto"/>
        </w:rPr>
      </w:pPr>
      <w:r>
        <w:rPr>
          <w:rFonts w:hint="eastAsia"/>
          <w:color w:val="auto"/>
        </w:rPr>
        <w:t>各责任处室围绕教学培训、科学研究、师资队伍建设、服务保障四个方面制定了明确的工作职责，职能划分明确，且部门职能符合</w:t>
      </w:r>
      <w:r>
        <w:rPr>
          <w:rFonts w:hint="eastAsia"/>
          <w:color w:val="auto"/>
          <w:lang w:eastAsia="zh-CN"/>
        </w:rPr>
        <w:t>淮滨</w:t>
      </w:r>
      <w:r>
        <w:rPr>
          <w:rFonts w:hint="eastAsia"/>
          <w:color w:val="auto"/>
        </w:rPr>
        <w:t>县对县委党校的要求。</w:t>
      </w:r>
    </w:p>
    <w:p>
      <w:pPr>
        <w:pStyle w:val="7"/>
        <w:ind w:firstLine="643"/>
        <w:rPr>
          <w:rFonts w:hint="eastAsia"/>
          <w:color w:val="auto"/>
        </w:rPr>
      </w:pPr>
      <w:r>
        <w:rPr>
          <w:b/>
          <w:color w:val="auto"/>
        </w:rPr>
        <w:t>A2</w:t>
      </w:r>
      <w:r>
        <w:rPr>
          <w:rFonts w:hint="eastAsia"/>
          <w:b/>
          <w:color w:val="auto"/>
        </w:rPr>
        <w:t>部门战略规划指标。</w:t>
      </w:r>
      <w:r>
        <w:rPr>
          <w:rFonts w:hint="eastAsia"/>
          <w:color w:val="auto"/>
        </w:rPr>
        <w:t>评价组根据实地调研和查阅资料发现</w:t>
      </w:r>
      <w:r>
        <w:rPr>
          <w:rFonts w:hint="eastAsia"/>
          <w:color w:val="auto"/>
          <w:lang w:eastAsia="zh-CN"/>
        </w:rPr>
        <w:t>淮滨</w:t>
      </w:r>
      <w:r>
        <w:rPr>
          <w:rFonts w:hint="eastAsia"/>
          <w:color w:val="auto"/>
        </w:rPr>
        <w:t>县委党校</w:t>
      </w:r>
      <w:r>
        <w:rPr>
          <w:rFonts w:hint="eastAsia"/>
          <w:color w:val="auto"/>
          <w:lang w:val="en-US" w:eastAsia="zh-CN"/>
        </w:rPr>
        <w:t>未制订部门</w:t>
      </w:r>
      <w:r>
        <w:rPr>
          <w:rFonts w:hint="eastAsia"/>
          <w:color w:val="auto"/>
        </w:rPr>
        <w:t>中长期规划</w:t>
      </w:r>
    </w:p>
    <w:p>
      <w:pPr>
        <w:pStyle w:val="7"/>
        <w:ind w:firstLine="643"/>
        <w:rPr>
          <w:rFonts w:hint="eastAsia" w:eastAsia="仿宋"/>
          <w:color w:val="auto"/>
          <w:lang w:eastAsia="zh-CN"/>
        </w:rPr>
      </w:pPr>
      <w:r>
        <w:rPr>
          <w:rFonts w:hint="eastAsia"/>
          <w:b/>
          <w:color w:val="auto"/>
        </w:rPr>
        <w:t>A</w:t>
      </w:r>
      <w:r>
        <w:rPr>
          <w:b/>
          <w:color w:val="auto"/>
        </w:rPr>
        <w:t>3</w:t>
      </w:r>
      <w:r>
        <w:rPr>
          <w:rFonts w:hint="eastAsia"/>
          <w:b/>
          <w:color w:val="auto"/>
        </w:rPr>
        <w:t>部门绩效目标设定指标。</w:t>
      </w:r>
      <w:r>
        <w:rPr>
          <w:rFonts w:hint="eastAsia"/>
          <w:color w:val="auto"/>
        </w:rPr>
        <w:t>2</w:t>
      </w:r>
      <w:r>
        <w:rPr>
          <w:color w:val="auto"/>
        </w:rPr>
        <w:t>020</w:t>
      </w:r>
      <w:r>
        <w:rPr>
          <w:rFonts w:hint="eastAsia"/>
          <w:color w:val="auto"/>
        </w:rPr>
        <w:t>年</w:t>
      </w:r>
      <w:r>
        <w:rPr>
          <w:rFonts w:hint="eastAsia"/>
          <w:color w:val="auto"/>
          <w:lang w:val="en-US" w:eastAsia="zh-CN"/>
        </w:rPr>
        <w:t>度，</w:t>
      </w:r>
      <w:r>
        <w:rPr>
          <w:rFonts w:hint="eastAsia"/>
          <w:color w:val="auto"/>
        </w:rPr>
        <w:t>绩效目标设置符合国家法律法规、国民经济和社会发展总体规划；符合部门“三定”方案确定的职责</w:t>
      </w:r>
      <w:r>
        <w:rPr>
          <w:rFonts w:hint="eastAsia"/>
          <w:color w:val="auto"/>
          <w:lang w:eastAsia="zh-CN"/>
        </w:rPr>
        <w:t>；</w:t>
      </w:r>
      <w:r>
        <w:rPr>
          <w:rFonts w:hint="eastAsia"/>
          <w:color w:val="auto"/>
          <w:lang w:val="en-US" w:eastAsia="zh-CN"/>
        </w:rPr>
        <w:t>但</w:t>
      </w:r>
      <w:r>
        <w:rPr>
          <w:rFonts w:hint="eastAsia"/>
          <w:color w:val="auto"/>
          <w:lang w:eastAsia="zh-CN"/>
        </w:rPr>
        <w:t>绩效指标未将部门整体的绩效目标细化分解为具体的绩效指标，未通过清晰、可衡量的指标值予以体现。</w:t>
      </w:r>
    </w:p>
    <w:p>
      <w:pPr>
        <w:pStyle w:val="7"/>
        <w:ind w:firstLine="643"/>
        <w:rPr>
          <w:rFonts w:hint="eastAsia"/>
          <w:color w:val="auto"/>
        </w:rPr>
      </w:pPr>
      <w:r>
        <w:rPr>
          <w:rFonts w:hint="eastAsia"/>
          <w:b/>
          <w:color w:val="auto"/>
        </w:rPr>
        <w:t>A</w:t>
      </w:r>
      <w:r>
        <w:rPr>
          <w:b/>
          <w:color w:val="auto"/>
        </w:rPr>
        <w:t>4</w:t>
      </w:r>
      <w:r>
        <w:rPr>
          <w:rFonts w:hint="eastAsia"/>
          <w:b/>
          <w:color w:val="auto"/>
        </w:rPr>
        <w:t>部门年度工作计划指标。</w:t>
      </w:r>
      <w:r>
        <w:rPr>
          <w:rFonts w:hint="eastAsia"/>
          <w:color w:val="auto"/>
        </w:rPr>
        <w:t>评价组根据实地调研和查阅资料发现各科室无年度工作计划。</w:t>
      </w:r>
    </w:p>
    <w:p>
      <w:pPr>
        <w:pStyle w:val="5"/>
        <w:numPr>
          <w:ilvl w:val="1"/>
          <w:numId w:val="0"/>
        </w:numPr>
        <w:ind w:firstLine="480"/>
        <w:rPr>
          <w:color w:val="auto"/>
          <w:highlight w:val="none"/>
        </w:rPr>
      </w:pPr>
      <w:bookmarkStart w:id="49" w:name="_Toc16130"/>
      <w:r>
        <w:rPr>
          <w:rFonts w:hint="eastAsia"/>
          <w:color w:val="auto"/>
          <w:highlight w:val="none"/>
        </w:rPr>
        <w:t>（二）部门管理类</w:t>
      </w:r>
      <w:bookmarkEnd w:id="49"/>
    </w:p>
    <w:p>
      <w:pPr>
        <w:pStyle w:val="7"/>
        <w:bidi w:val="0"/>
        <w:rPr>
          <w:color w:val="auto"/>
        </w:rPr>
      </w:pPr>
      <w:r>
        <w:rPr>
          <w:rFonts w:hint="eastAsia"/>
          <w:color w:val="auto"/>
        </w:rPr>
        <w:t>部门管理类指标共包含</w:t>
      </w:r>
      <w:r>
        <w:rPr>
          <w:rFonts w:hint="eastAsia"/>
          <w:color w:val="auto"/>
          <w:lang w:val="en-US" w:eastAsia="zh-CN"/>
        </w:rPr>
        <w:t>7</w:t>
      </w:r>
      <w:r>
        <w:rPr>
          <w:rFonts w:hint="eastAsia"/>
          <w:color w:val="auto"/>
        </w:rPr>
        <w:t>个二级指标，</w:t>
      </w:r>
      <w:r>
        <w:rPr>
          <w:color w:val="auto"/>
        </w:rPr>
        <w:t>1</w:t>
      </w:r>
      <w:r>
        <w:rPr>
          <w:rFonts w:hint="eastAsia"/>
          <w:color w:val="auto"/>
          <w:lang w:val="en-US" w:eastAsia="zh-CN"/>
        </w:rPr>
        <w:t>6</w:t>
      </w:r>
      <w:r>
        <w:rPr>
          <w:rFonts w:hint="eastAsia"/>
          <w:color w:val="auto"/>
        </w:rPr>
        <w:t>个三级指标，权重分</w:t>
      </w:r>
      <w:r>
        <w:rPr>
          <w:color w:val="auto"/>
        </w:rPr>
        <w:t>2</w:t>
      </w:r>
      <w:r>
        <w:rPr>
          <w:rFonts w:hint="eastAsia"/>
          <w:color w:val="auto"/>
          <w:lang w:val="en-US" w:eastAsia="zh-CN"/>
        </w:rPr>
        <w:t>8</w:t>
      </w:r>
      <w:r>
        <w:rPr>
          <w:rFonts w:hint="eastAsia"/>
          <w:color w:val="auto"/>
        </w:rPr>
        <w:t>.00分，得分</w:t>
      </w:r>
      <w:r>
        <w:rPr>
          <w:rFonts w:hint="eastAsia"/>
          <w:color w:val="auto"/>
          <w:highlight w:val="none"/>
          <w:lang w:val="en-US" w:eastAsia="zh-CN"/>
        </w:rPr>
        <w:t>25.00</w:t>
      </w:r>
      <w:r>
        <w:rPr>
          <w:rFonts w:hint="eastAsia"/>
          <w:color w:val="auto"/>
          <w:highlight w:val="none"/>
        </w:rPr>
        <w:t>分，得分率为89.29%</w:t>
      </w:r>
      <w:r>
        <w:rPr>
          <w:rFonts w:hint="eastAsia"/>
          <w:color w:val="auto"/>
        </w:rPr>
        <w:t>。主要扣分指标为</w:t>
      </w:r>
      <w:r>
        <w:rPr>
          <w:rFonts w:hint="eastAsia"/>
          <w:color w:val="auto"/>
          <w:lang w:val="en-US" w:eastAsia="zh-CN"/>
        </w:rPr>
        <w:t>预算执行率、结转结余变动率</w:t>
      </w:r>
      <w:r>
        <w:rPr>
          <w:rFonts w:hint="eastAsia"/>
          <w:color w:val="auto"/>
        </w:rPr>
        <w:t>，各指标得分情况详见表</w:t>
      </w:r>
      <w:r>
        <w:rPr>
          <w:color w:val="auto"/>
        </w:rPr>
        <w:t>4</w:t>
      </w:r>
      <w:r>
        <w:rPr>
          <w:rFonts w:hint="eastAsia"/>
          <w:color w:val="auto"/>
        </w:rPr>
        <w:t>-</w:t>
      </w:r>
      <w:r>
        <w:rPr>
          <w:color w:val="auto"/>
        </w:rPr>
        <w:t>2</w:t>
      </w:r>
      <w:r>
        <w:rPr>
          <w:rFonts w:hint="eastAsia"/>
          <w:color w:val="auto"/>
        </w:rPr>
        <w:t>。</w:t>
      </w:r>
    </w:p>
    <w:p>
      <w:pPr>
        <w:pStyle w:val="28"/>
        <w:ind w:firstLine="482" w:firstLineChars="200"/>
        <w:jc w:val="center"/>
        <w:rPr>
          <w:rFonts w:hint="default" w:ascii="Times New Roman" w:hAnsi="Times New Roman" w:eastAsia="仿宋_GB2312" w:cs="Times New Roman"/>
          <w:b/>
          <w:bCs/>
          <w:color w:val="auto"/>
          <w:sz w:val="24"/>
          <w:szCs w:val="24"/>
          <w:lang w:val="zh-CN"/>
        </w:rPr>
      </w:pPr>
      <w:r>
        <w:rPr>
          <w:rFonts w:hint="default" w:ascii="Times New Roman" w:hAnsi="Times New Roman" w:eastAsia="仿宋_GB2312" w:cs="Times New Roman"/>
          <w:b/>
          <w:bCs/>
          <w:color w:val="auto"/>
          <w:sz w:val="24"/>
          <w:szCs w:val="24"/>
          <w:lang w:val="zh-CN"/>
        </w:rPr>
        <w:t>表</w:t>
      </w:r>
      <w:r>
        <w:rPr>
          <w:rFonts w:hint="default" w:ascii="Times New Roman" w:hAnsi="Times New Roman" w:eastAsia="仿宋_GB2312" w:cs="Times New Roman"/>
          <w:b/>
          <w:bCs/>
          <w:color w:val="auto"/>
          <w:sz w:val="24"/>
          <w:szCs w:val="24"/>
        </w:rPr>
        <w:t>4-2部门管理</w:t>
      </w:r>
      <w:r>
        <w:rPr>
          <w:rFonts w:hint="default" w:ascii="Times New Roman" w:hAnsi="Times New Roman" w:eastAsia="仿宋_GB2312" w:cs="Times New Roman"/>
          <w:b/>
          <w:bCs/>
          <w:color w:val="auto"/>
          <w:sz w:val="24"/>
          <w:szCs w:val="24"/>
          <w:lang w:val="zh-CN"/>
        </w:rPr>
        <w:t>类指标得分情况表</w:t>
      </w:r>
    </w:p>
    <w:tbl>
      <w:tblPr>
        <w:tblStyle w:val="22"/>
        <w:tblW w:w="8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6"/>
        <w:gridCol w:w="1559"/>
        <w:gridCol w:w="155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trPr>
        <w:tc>
          <w:tcPr>
            <w:tcW w:w="3676" w:type="dxa"/>
            <w:shd w:val="clear" w:color="000000" w:fill="BFBFBF"/>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指标名称</w:t>
            </w:r>
          </w:p>
        </w:tc>
        <w:tc>
          <w:tcPr>
            <w:tcW w:w="1559" w:type="dxa"/>
            <w:shd w:val="clear" w:color="000000" w:fill="BFBFBF"/>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权重分</w:t>
            </w:r>
          </w:p>
        </w:tc>
        <w:tc>
          <w:tcPr>
            <w:tcW w:w="1559" w:type="dxa"/>
            <w:shd w:val="clear" w:color="000000" w:fill="BFBFBF"/>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指标得分</w:t>
            </w:r>
          </w:p>
        </w:tc>
        <w:tc>
          <w:tcPr>
            <w:tcW w:w="1560" w:type="dxa"/>
            <w:shd w:val="clear" w:color="000000" w:fill="BFBFBF"/>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B1资金投入</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default" w:ascii="Times New Roman" w:hAnsi="Times New Roman" w:eastAsia="仿宋_GB2312" w:cs="Times New Roman"/>
                <w:b/>
                <w:bCs/>
                <w:color w:val="auto"/>
                <w:kern w:val="0"/>
                <w:sz w:val="21"/>
                <w:szCs w:val="21"/>
              </w:rPr>
              <w:t>5.00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default" w:ascii="Times New Roman" w:hAnsi="Times New Roman" w:eastAsia="仿宋_GB2312" w:cs="Times New Roman"/>
                <w:b/>
                <w:bCs/>
                <w:color w:val="auto"/>
                <w:kern w:val="0"/>
                <w:sz w:val="21"/>
                <w:szCs w:val="21"/>
                <w:lang w:val="en-US" w:eastAsia="zh-CN"/>
              </w:rPr>
              <w:t>2</w:t>
            </w:r>
            <w:r>
              <w:rPr>
                <w:rFonts w:hint="default" w:ascii="Times New Roman" w:hAnsi="Times New Roman" w:eastAsia="仿宋_GB2312" w:cs="Times New Roman"/>
                <w:b/>
                <w:bCs/>
                <w:color w:val="auto"/>
                <w:kern w:val="0"/>
                <w:sz w:val="21"/>
                <w:szCs w:val="21"/>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lang w:val="en-US" w:eastAsia="zh-CN"/>
              </w:rPr>
              <w:t>4</w:t>
            </w:r>
            <w:r>
              <w:rPr>
                <w:rFonts w:hint="default" w:ascii="Times New Roman" w:hAnsi="Times New Roman" w:eastAsia="仿宋_GB2312" w:cs="Times New Roman"/>
                <w:b/>
                <w:bCs/>
                <w:color w:val="auto"/>
                <w:kern w:val="0"/>
                <w:sz w:val="21"/>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B11预算调整率</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B12预算执行率</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lang w:val="en-US" w:eastAsia="zh-CN"/>
              </w:rPr>
              <w:t>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B13结余结转变动率</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1.00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lang w:val="en-US" w:eastAsia="zh-CN"/>
              </w:rPr>
              <w:t>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B2运行成本</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default" w:ascii="Times New Roman" w:hAnsi="Times New Roman" w:eastAsia="仿宋_GB2312" w:cs="Times New Roman"/>
                <w:b/>
                <w:bCs/>
                <w:color w:val="auto"/>
                <w:kern w:val="0"/>
                <w:sz w:val="21"/>
                <w:szCs w:val="21"/>
                <w:lang w:val="en-US" w:eastAsia="zh-CN"/>
              </w:rPr>
              <w:t>4</w:t>
            </w:r>
            <w:r>
              <w:rPr>
                <w:rFonts w:hint="default" w:ascii="Times New Roman" w:hAnsi="Times New Roman" w:eastAsia="仿宋_GB2312" w:cs="Times New Roman"/>
                <w:b/>
                <w:bCs/>
                <w:color w:val="auto"/>
                <w:kern w:val="0"/>
                <w:sz w:val="21"/>
                <w:szCs w:val="21"/>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default" w:ascii="Times New Roman" w:hAnsi="Times New Roman" w:eastAsia="仿宋_GB2312" w:cs="Times New Roman"/>
                <w:b/>
                <w:bCs/>
                <w:color w:val="auto"/>
                <w:kern w:val="0"/>
                <w:sz w:val="21"/>
                <w:szCs w:val="21"/>
                <w:lang w:val="en-US" w:eastAsia="zh-CN"/>
              </w:rPr>
              <w:t>4</w:t>
            </w:r>
            <w:r>
              <w:rPr>
                <w:rFonts w:hint="default" w:ascii="Times New Roman" w:hAnsi="Times New Roman" w:eastAsia="仿宋_GB2312" w:cs="Times New Roman"/>
                <w:b/>
                <w:bCs/>
                <w:color w:val="auto"/>
                <w:kern w:val="0"/>
                <w:sz w:val="21"/>
                <w:szCs w:val="21"/>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eastAsia" w:ascii="Times New Roman" w:hAnsi="Times New Roman" w:eastAsia="仿宋_GB2312" w:cs="Times New Roman"/>
                <w:b/>
                <w:bCs/>
                <w:color w:val="auto"/>
                <w:kern w:val="0"/>
                <w:sz w:val="21"/>
                <w:szCs w:val="21"/>
                <w:lang w:val="en-US" w:eastAsia="zh-CN"/>
              </w:rPr>
              <w:t>100.00</w:t>
            </w:r>
            <w:r>
              <w:rPr>
                <w:rFonts w:hint="default" w:ascii="Times New Roman" w:hAnsi="Times New Roman" w:eastAsia="仿宋_GB2312" w:cs="Times New Roman"/>
                <w:b/>
                <w:bCs/>
                <w:color w:val="auto"/>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B11“三公经费”变动率</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lang w:val="en-US" w:eastAsia="zh-CN"/>
              </w:rPr>
              <w:t>2</w:t>
            </w:r>
            <w:r>
              <w:rPr>
                <w:rFonts w:hint="default" w:ascii="Times New Roman" w:hAnsi="Times New Roman" w:eastAsia="仿宋_GB2312" w:cs="Times New Roman"/>
                <w:color w:val="auto"/>
                <w:kern w:val="0"/>
                <w:sz w:val="21"/>
                <w:szCs w:val="21"/>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lang w:val="en-US" w:eastAsia="zh-CN"/>
              </w:rPr>
              <w:t>4</w:t>
            </w:r>
            <w:r>
              <w:rPr>
                <w:rFonts w:hint="default" w:ascii="Times New Roman" w:hAnsi="Times New Roman" w:eastAsia="仿宋_GB2312" w:cs="Times New Roman"/>
                <w:color w:val="auto"/>
                <w:kern w:val="0"/>
                <w:sz w:val="21"/>
                <w:szCs w:val="21"/>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B14人均公用经费变动率</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59" w:type="dxa"/>
            <w:shd w:val="clear" w:color="000000"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lang w:val="en-US" w:eastAsia="zh-CN"/>
              </w:rPr>
              <w:t>4</w:t>
            </w:r>
            <w:r>
              <w:rPr>
                <w:rFonts w:hint="default" w:ascii="Times New Roman" w:hAnsi="Times New Roman" w:eastAsia="仿宋_GB2312" w:cs="Times New Roman"/>
                <w:color w:val="auto"/>
                <w:kern w:val="0"/>
                <w:sz w:val="21"/>
                <w:szCs w:val="21"/>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B3预算管理</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default" w:ascii="Times New Roman" w:hAnsi="Times New Roman" w:eastAsia="仿宋_GB2312" w:cs="Times New Roman"/>
                <w:b/>
                <w:bCs/>
                <w:color w:val="auto"/>
                <w:kern w:val="0"/>
                <w:sz w:val="21"/>
                <w:szCs w:val="21"/>
              </w:rPr>
              <w:t>3.00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default" w:ascii="Times New Roman" w:hAnsi="Times New Roman" w:eastAsia="仿宋_GB2312" w:cs="Times New Roman"/>
                <w:b/>
                <w:bCs/>
                <w:color w:val="auto"/>
                <w:kern w:val="0"/>
                <w:sz w:val="21"/>
                <w:szCs w:val="21"/>
              </w:rPr>
              <w:t>3.00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B31预算编制完整性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1.00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1.00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B32预算编制科学性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B4财务管理</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eastAsia" w:ascii="Times New Roman" w:hAnsi="Times New Roman" w:eastAsia="仿宋_GB2312" w:cs="Times New Roman"/>
                <w:b/>
                <w:bCs/>
                <w:color w:val="auto"/>
                <w:kern w:val="0"/>
                <w:sz w:val="21"/>
                <w:szCs w:val="21"/>
                <w:lang w:val="en-US" w:eastAsia="zh-CN"/>
              </w:rPr>
              <w:t>6</w:t>
            </w:r>
            <w:r>
              <w:rPr>
                <w:rFonts w:hint="default" w:ascii="Times New Roman" w:hAnsi="Times New Roman" w:eastAsia="仿宋_GB2312" w:cs="Times New Roman"/>
                <w:b/>
                <w:bCs/>
                <w:color w:val="auto"/>
                <w:kern w:val="0"/>
                <w:sz w:val="21"/>
                <w:szCs w:val="21"/>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eastAsia" w:ascii="Times New Roman" w:hAnsi="Times New Roman" w:eastAsia="仿宋_GB2312" w:cs="Times New Roman"/>
                <w:b/>
                <w:bCs/>
                <w:color w:val="auto"/>
                <w:kern w:val="0"/>
                <w:sz w:val="21"/>
                <w:szCs w:val="21"/>
                <w:lang w:val="en-US" w:eastAsia="zh-CN"/>
              </w:rPr>
              <w:t>6</w:t>
            </w:r>
            <w:r>
              <w:rPr>
                <w:rFonts w:hint="default" w:ascii="Times New Roman" w:hAnsi="Times New Roman" w:eastAsia="仿宋_GB2312" w:cs="Times New Roman"/>
                <w:b/>
                <w:bCs/>
                <w:color w:val="auto"/>
                <w:kern w:val="0"/>
                <w:sz w:val="21"/>
                <w:szCs w:val="21"/>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B41财务管理制度健全性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eastAsia" w:ascii="Times New Roman" w:hAnsi="Times New Roman" w:eastAsia="仿宋_GB2312" w:cs="Times New Roman"/>
                <w:color w:val="auto"/>
                <w:kern w:val="0"/>
                <w:sz w:val="21"/>
                <w:szCs w:val="21"/>
                <w:lang w:val="en-US" w:eastAsia="zh-CN"/>
              </w:rPr>
              <w:t>2</w:t>
            </w:r>
            <w:r>
              <w:rPr>
                <w:rFonts w:hint="default" w:ascii="Times New Roman" w:hAnsi="Times New Roman" w:eastAsia="仿宋_GB2312" w:cs="Times New Roman"/>
                <w:color w:val="auto"/>
                <w:kern w:val="0"/>
                <w:sz w:val="21"/>
                <w:szCs w:val="21"/>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eastAsia" w:ascii="Times New Roman" w:hAnsi="Times New Roman" w:eastAsia="仿宋_GB2312" w:cs="Times New Roman"/>
                <w:color w:val="auto"/>
                <w:kern w:val="0"/>
                <w:sz w:val="21"/>
                <w:szCs w:val="21"/>
                <w:lang w:val="en-US" w:eastAsia="zh-CN"/>
              </w:rPr>
              <w:t>2</w:t>
            </w:r>
            <w:r>
              <w:rPr>
                <w:rFonts w:hint="default" w:ascii="Times New Roman" w:hAnsi="Times New Roman" w:eastAsia="仿宋_GB2312" w:cs="Times New Roman"/>
                <w:color w:val="auto"/>
                <w:kern w:val="0"/>
                <w:sz w:val="21"/>
                <w:szCs w:val="21"/>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B42资金使用规范性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B43支出结构合理性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仿宋_GB2312" w:cs="Times New Roman"/>
                <w:b/>
                <w:bCs/>
                <w:color w:val="auto"/>
                <w:kern w:val="0"/>
                <w:sz w:val="21"/>
                <w:szCs w:val="21"/>
              </w:rPr>
            </w:pPr>
            <w:r>
              <w:rPr>
                <w:rFonts w:hint="default" w:ascii="Times New Roman" w:hAnsi="Times New Roman" w:eastAsia="仿宋_GB2312" w:cs="Times New Roman"/>
                <w:b/>
                <w:bCs/>
                <w:color w:val="auto"/>
                <w:kern w:val="0"/>
                <w:sz w:val="21"/>
                <w:szCs w:val="21"/>
              </w:rPr>
              <w:t>B5采购管理</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eastAsia" w:ascii="Times New Roman" w:hAnsi="Times New Roman" w:eastAsia="仿宋_GB2312" w:cs="Times New Roman"/>
                <w:b/>
                <w:bCs/>
                <w:color w:val="auto"/>
                <w:kern w:val="0"/>
                <w:sz w:val="21"/>
                <w:szCs w:val="21"/>
                <w:lang w:val="en-US" w:eastAsia="zh-CN"/>
              </w:rPr>
              <w:t>2</w:t>
            </w:r>
            <w:r>
              <w:rPr>
                <w:rFonts w:hint="default" w:ascii="Times New Roman" w:hAnsi="Times New Roman" w:eastAsia="仿宋_GB2312" w:cs="Times New Roman"/>
                <w:b/>
                <w:bCs/>
                <w:color w:val="auto"/>
                <w:kern w:val="0"/>
                <w:sz w:val="21"/>
                <w:szCs w:val="21"/>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lang w:eastAsia="zh-CN"/>
              </w:rPr>
            </w:pPr>
            <w:r>
              <w:rPr>
                <w:rFonts w:hint="default" w:ascii="Times New Roman" w:hAnsi="Times New Roman" w:eastAsia="仿宋_GB2312" w:cs="Times New Roman"/>
                <w:b/>
                <w:bCs/>
                <w:color w:val="auto"/>
                <w:kern w:val="0"/>
                <w:sz w:val="21"/>
                <w:szCs w:val="21"/>
              </w:rPr>
              <w:t>2.</w:t>
            </w:r>
            <w:r>
              <w:rPr>
                <w:rFonts w:hint="eastAsia" w:ascii="Times New Roman" w:hAnsi="Times New Roman" w:eastAsia="仿宋_GB2312" w:cs="Times New Roman"/>
                <w:b/>
                <w:bCs/>
                <w:color w:val="auto"/>
                <w:kern w:val="0"/>
                <w:sz w:val="21"/>
                <w:szCs w:val="21"/>
                <w:lang w:val="en-US" w:eastAsia="zh-CN"/>
              </w:rPr>
              <w:t>0</w:t>
            </w:r>
            <w:r>
              <w:rPr>
                <w:rFonts w:hint="default" w:ascii="Times New Roman" w:hAnsi="Times New Roman" w:eastAsia="仿宋_GB2312" w:cs="Times New Roman"/>
                <w:b/>
                <w:bCs/>
                <w:color w:val="auto"/>
                <w:kern w:val="0"/>
                <w:sz w:val="21"/>
                <w:szCs w:val="21"/>
              </w:rPr>
              <w:t>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rPr>
            </w:pPr>
            <w:r>
              <w:rPr>
                <w:rFonts w:hint="eastAsia" w:ascii="Times New Roman" w:hAnsi="Times New Roman" w:eastAsia="仿宋_GB2312" w:cs="Times New Roman"/>
                <w:b/>
                <w:bCs/>
                <w:color w:val="auto"/>
                <w:kern w:val="0"/>
                <w:sz w:val="21"/>
                <w:szCs w:val="21"/>
                <w:lang w:val="en-US" w:eastAsia="zh-CN"/>
              </w:rPr>
              <w:t>10</w:t>
            </w:r>
            <w:r>
              <w:rPr>
                <w:rFonts w:hint="default" w:ascii="Times New Roman" w:hAnsi="Times New Roman" w:eastAsia="仿宋_GB2312" w:cs="Times New Roman"/>
                <w:b/>
                <w:bCs/>
                <w:color w:val="auto"/>
                <w:kern w:val="0"/>
                <w:sz w:val="21"/>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B51政府采购规范性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lang w:eastAsia="zh-CN"/>
              </w:rPr>
            </w:pPr>
            <w:r>
              <w:rPr>
                <w:rFonts w:hint="default" w:ascii="Times New Roman" w:hAnsi="Times New Roman" w:eastAsia="仿宋_GB2312" w:cs="Times New Roman"/>
                <w:color w:val="auto"/>
                <w:kern w:val="0"/>
                <w:sz w:val="21"/>
                <w:szCs w:val="21"/>
              </w:rPr>
              <w:t>2.00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b/>
                <w:bCs/>
                <w:color w:val="auto"/>
                <w:kern w:val="0"/>
                <w:sz w:val="21"/>
                <w:szCs w:val="21"/>
                <w:highlight w:val="none"/>
              </w:rPr>
              <w:t>B6资产管理</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highlight w:val="none"/>
                <w:lang w:eastAsia="zh-CN"/>
              </w:rPr>
            </w:pPr>
            <w:r>
              <w:rPr>
                <w:rFonts w:hint="eastAsia" w:ascii="Times New Roman" w:hAnsi="Times New Roman" w:eastAsia="仿宋_GB2312" w:cs="Times New Roman"/>
                <w:b/>
                <w:bCs/>
                <w:color w:val="auto"/>
                <w:kern w:val="0"/>
                <w:sz w:val="21"/>
                <w:szCs w:val="21"/>
                <w:highlight w:val="none"/>
                <w:lang w:val="en-US" w:eastAsia="zh-CN"/>
              </w:rPr>
              <w:t>6</w:t>
            </w:r>
            <w:r>
              <w:rPr>
                <w:rFonts w:hint="default" w:ascii="Times New Roman" w:hAnsi="Times New Roman" w:eastAsia="仿宋_GB2312" w:cs="Times New Roman"/>
                <w:b/>
                <w:bCs/>
                <w:color w:val="auto"/>
                <w:kern w:val="0"/>
                <w:sz w:val="21"/>
                <w:szCs w:val="21"/>
                <w:highlight w:val="none"/>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highlight w:val="none"/>
                <w:lang w:eastAsia="zh-CN"/>
              </w:rPr>
            </w:pPr>
            <w:r>
              <w:rPr>
                <w:rFonts w:hint="eastAsia" w:ascii="Times New Roman" w:hAnsi="Times New Roman" w:eastAsia="仿宋_GB2312" w:cs="Times New Roman"/>
                <w:b/>
                <w:bCs/>
                <w:color w:val="auto"/>
                <w:kern w:val="0"/>
                <w:sz w:val="21"/>
                <w:szCs w:val="21"/>
                <w:highlight w:val="none"/>
                <w:lang w:val="en-US" w:eastAsia="zh-CN"/>
              </w:rPr>
              <w:t>6</w:t>
            </w:r>
            <w:r>
              <w:rPr>
                <w:rFonts w:hint="default" w:ascii="Times New Roman" w:hAnsi="Times New Roman" w:eastAsia="仿宋_GB2312" w:cs="Times New Roman"/>
                <w:b/>
                <w:bCs/>
                <w:color w:val="auto"/>
                <w:kern w:val="0"/>
                <w:sz w:val="21"/>
                <w:szCs w:val="21"/>
                <w:highlight w:val="none"/>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b/>
                <w:bCs/>
                <w:color w:val="auto"/>
                <w:kern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B61资产管理制度健全性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2</w:t>
            </w:r>
            <w:r>
              <w:rPr>
                <w:rFonts w:hint="default" w:ascii="Times New Roman" w:hAnsi="Times New Roman" w:eastAsia="仿宋_GB2312" w:cs="Times New Roman"/>
                <w:color w:val="auto"/>
                <w:kern w:val="0"/>
                <w:sz w:val="21"/>
                <w:szCs w:val="21"/>
                <w:highlight w:val="none"/>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2</w:t>
            </w:r>
            <w:r>
              <w:rPr>
                <w:rFonts w:hint="default" w:ascii="Times New Roman" w:hAnsi="Times New Roman" w:eastAsia="仿宋_GB2312" w:cs="Times New Roman"/>
                <w:color w:val="auto"/>
                <w:kern w:val="0"/>
                <w:sz w:val="21"/>
                <w:szCs w:val="21"/>
                <w:highlight w:val="none"/>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highlight w:val="none"/>
                <w:lang w:val="en-US" w:eastAsia="zh-CN"/>
              </w:rPr>
            </w:pPr>
            <w:r>
              <w:rPr>
                <w:rFonts w:hint="default" w:ascii="Times New Roman" w:hAnsi="Times New Roman" w:eastAsia="仿宋_GB2312" w:cs="Times New Roman"/>
                <w:color w:val="auto"/>
                <w:kern w:val="0"/>
                <w:sz w:val="21"/>
                <w:szCs w:val="21"/>
                <w:highlight w:val="none"/>
              </w:rPr>
              <w:t>B62资产管理</w:t>
            </w:r>
            <w:r>
              <w:rPr>
                <w:rFonts w:hint="eastAsia" w:ascii="Times New Roman" w:hAnsi="Times New Roman" w:eastAsia="仿宋_GB2312" w:cs="Times New Roman"/>
                <w:color w:val="auto"/>
                <w:kern w:val="0"/>
                <w:sz w:val="21"/>
                <w:szCs w:val="21"/>
                <w:highlight w:val="none"/>
                <w:lang w:val="en-US" w:eastAsia="zh-CN"/>
              </w:rPr>
              <w:t>到位情况</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2</w:t>
            </w:r>
            <w:r>
              <w:rPr>
                <w:rFonts w:hint="default" w:ascii="Times New Roman" w:hAnsi="Times New Roman" w:eastAsia="仿宋_GB2312" w:cs="Times New Roman"/>
                <w:color w:val="auto"/>
                <w:kern w:val="0"/>
                <w:sz w:val="21"/>
                <w:szCs w:val="21"/>
                <w:highlight w:val="none"/>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2</w:t>
            </w:r>
            <w:r>
              <w:rPr>
                <w:rFonts w:hint="default" w:ascii="Times New Roman" w:hAnsi="Times New Roman" w:eastAsia="仿宋_GB2312" w:cs="Times New Roman"/>
                <w:color w:val="auto"/>
                <w:kern w:val="0"/>
                <w:sz w:val="21"/>
                <w:szCs w:val="21"/>
                <w:highlight w:val="none"/>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B63固定资产利用率</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2</w:t>
            </w:r>
            <w:r>
              <w:rPr>
                <w:rFonts w:hint="default" w:ascii="Times New Roman" w:hAnsi="Times New Roman" w:eastAsia="仿宋_GB2312" w:cs="Times New Roman"/>
                <w:color w:val="auto"/>
                <w:kern w:val="0"/>
                <w:sz w:val="21"/>
                <w:szCs w:val="21"/>
                <w:highlight w:val="none"/>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2</w:t>
            </w:r>
            <w:r>
              <w:rPr>
                <w:rFonts w:hint="default" w:ascii="Times New Roman" w:hAnsi="Times New Roman" w:eastAsia="仿宋_GB2312" w:cs="Times New Roman"/>
                <w:color w:val="auto"/>
                <w:kern w:val="0"/>
                <w:sz w:val="21"/>
                <w:szCs w:val="21"/>
                <w:highlight w:val="none"/>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b/>
                <w:bCs/>
                <w:color w:val="auto"/>
                <w:kern w:val="0"/>
                <w:sz w:val="21"/>
                <w:szCs w:val="21"/>
                <w:highlight w:val="none"/>
              </w:rPr>
              <w:t>B7人员管理</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highlight w:val="none"/>
                <w:lang w:eastAsia="zh-CN"/>
              </w:rPr>
            </w:pPr>
            <w:r>
              <w:rPr>
                <w:rFonts w:hint="eastAsia" w:ascii="Times New Roman" w:hAnsi="Times New Roman" w:eastAsia="仿宋_GB2312" w:cs="Times New Roman"/>
                <w:b/>
                <w:bCs/>
                <w:color w:val="auto"/>
                <w:kern w:val="0"/>
                <w:sz w:val="21"/>
                <w:szCs w:val="21"/>
                <w:highlight w:val="none"/>
                <w:lang w:val="en-US" w:eastAsia="zh-CN"/>
              </w:rPr>
              <w:t>2</w:t>
            </w:r>
            <w:r>
              <w:rPr>
                <w:rFonts w:hint="default" w:ascii="Times New Roman" w:hAnsi="Times New Roman" w:eastAsia="仿宋_GB2312" w:cs="Times New Roman"/>
                <w:b/>
                <w:bCs/>
                <w:color w:val="auto"/>
                <w:kern w:val="0"/>
                <w:sz w:val="21"/>
                <w:szCs w:val="21"/>
                <w:highlight w:val="none"/>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highlight w:val="none"/>
                <w:lang w:eastAsia="zh-CN"/>
              </w:rPr>
            </w:pPr>
            <w:r>
              <w:rPr>
                <w:rFonts w:hint="eastAsia" w:ascii="Times New Roman" w:hAnsi="Times New Roman" w:eastAsia="仿宋_GB2312" w:cs="Times New Roman"/>
                <w:b/>
                <w:bCs/>
                <w:color w:val="auto"/>
                <w:kern w:val="0"/>
                <w:sz w:val="21"/>
                <w:szCs w:val="21"/>
                <w:highlight w:val="none"/>
                <w:lang w:val="en-US" w:eastAsia="zh-CN"/>
              </w:rPr>
              <w:t>2</w:t>
            </w:r>
            <w:r>
              <w:rPr>
                <w:rFonts w:hint="default" w:ascii="Times New Roman" w:hAnsi="Times New Roman" w:eastAsia="仿宋_GB2312" w:cs="Times New Roman"/>
                <w:b/>
                <w:bCs/>
                <w:color w:val="auto"/>
                <w:kern w:val="0"/>
                <w:sz w:val="21"/>
                <w:szCs w:val="21"/>
                <w:highlight w:val="none"/>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highlight w:val="none"/>
                <w:lang w:val="en-US" w:eastAsia="zh-CN" w:bidi="ar-SA"/>
              </w:rPr>
            </w:pPr>
            <w:r>
              <w:rPr>
                <w:rFonts w:hint="default" w:ascii="Times New Roman" w:hAnsi="Times New Roman" w:eastAsia="仿宋_GB2312" w:cs="Times New Roman"/>
                <w:b/>
                <w:bCs/>
                <w:color w:val="auto"/>
                <w:kern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B71人员管理制度健全性</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default" w:ascii="Times New Roman" w:hAnsi="Times New Roman" w:eastAsia="仿宋_GB2312" w:cs="Times New Roman"/>
                <w:color w:val="auto"/>
                <w:kern w:val="0"/>
                <w:sz w:val="21"/>
                <w:szCs w:val="21"/>
                <w:highlight w:val="none"/>
              </w:rPr>
              <w:t>1.00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default" w:ascii="Times New Roman" w:hAnsi="Times New Roman" w:eastAsia="仿宋_GB2312" w:cs="Times New Roman"/>
                <w:color w:val="auto"/>
                <w:kern w:val="0"/>
                <w:sz w:val="21"/>
                <w:szCs w:val="21"/>
                <w:highlight w:val="none"/>
              </w:rPr>
              <w:t>1.00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1"/>
                <w:szCs w:val="21"/>
                <w:highlight w:val="none"/>
              </w:rPr>
              <w:t>B72在职人员控制率</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1</w:t>
            </w:r>
            <w:r>
              <w:rPr>
                <w:rFonts w:hint="default" w:ascii="Times New Roman" w:hAnsi="Times New Roman" w:eastAsia="仿宋_GB2312" w:cs="Times New Roman"/>
                <w:color w:val="auto"/>
                <w:kern w:val="0"/>
                <w:sz w:val="21"/>
                <w:szCs w:val="21"/>
                <w:highlight w:val="none"/>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color w:val="auto"/>
                <w:kern w:val="0"/>
                <w:sz w:val="21"/>
                <w:szCs w:val="21"/>
                <w:highlight w:val="none"/>
                <w:lang w:eastAsia="zh-CN"/>
              </w:rPr>
            </w:pPr>
            <w:r>
              <w:rPr>
                <w:rFonts w:hint="eastAsia" w:ascii="Times New Roman" w:hAnsi="Times New Roman" w:eastAsia="仿宋_GB2312" w:cs="Times New Roman"/>
                <w:color w:val="auto"/>
                <w:kern w:val="0"/>
                <w:sz w:val="21"/>
                <w:szCs w:val="21"/>
                <w:highlight w:val="none"/>
                <w:lang w:val="en-US" w:eastAsia="zh-CN"/>
              </w:rPr>
              <w:t>1</w:t>
            </w:r>
            <w:r>
              <w:rPr>
                <w:rFonts w:hint="default" w:ascii="Times New Roman" w:hAnsi="Times New Roman" w:eastAsia="仿宋_GB2312" w:cs="Times New Roman"/>
                <w:color w:val="auto"/>
                <w:kern w:val="0"/>
                <w:sz w:val="21"/>
                <w:szCs w:val="21"/>
                <w:highlight w:val="none"/>
              </w:rPr>
              <w:t>.00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color w:val="auto"/>
                <w:kern w:val="0"/>
                <w:sz w:val="21"/>
                <w:szCs w:val="21"/>
                <w:highlight w:val="none"/>
                <w:lang w:val="en-US" w:eastAsia="zh-CN" w:bidi="ar-SA"/>
              </w:rPr>
            </w:pPr>
            <w:r>
              <w:rPr>
                <w:rFonts w:hint="default" w:ascii="Times New Roman" w:hAnsi="Times New Roman" w:eastAsia="仿宋_GB2312" w:cs="Times New Roman"/>
                <w:color w:val="auto"/>
                <w:kern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b/>
                <w:bCs/>
                <w:color w:val="auto"/>
                <w:kern w:val="0"/>
                <w:sz w:val="21"/>
                <w:szCs w:val="21"/>
                <w:highlight w:val="none"/>
              </w:rPr>
              <w:t>合计</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Times New Roman"/>
                <w:b/>
                <w:bCs/>
                <w:color w:val="auto"/>
                <w:kern w:val="0"/>
                <w:sz w:val="21"/>
                <w:szCs w:val="21"/>
                <w:highlight w:val="none"/>
                <w:lang w:eastAsia="zh-CN"/>
              </w:rPr>
            </w:pPr>
            <w:r>
              <w:rPr>
                <w:rFonts w:hint="default" w:ascii="Times New Roman" w:hAnsi="Times New Roman" w:eastAsia="仿宋_GB2312" w:cs="Times New Roman"/>
                <w:b/>
                <w:bCs/>
                <w:color w:val="auto"/>
                <w:kern w:val="0"/>
                <w:sz w:val="21"/>
                <w:szCs w:val="21"/>
                <w:highlight w:val="none"/>
              </w:rPr>
              <w:t>2</w:t>
            </w:r>
            <w:r>
              <w:rPr>
                <w:rFonts w:hint="eastAsia" w:ascii="Times New Roman" w:hAnsi="Times New Roman" w:eastAsia="仿宋_GB2312" w:cs="Times New Roman"/>
                <w:b/>
                <w:bCs/>
                <w:color w:val="auto"/>
                <w:kern w:val="0"/>
                <w:sz w:val="21"/>
                <w:szCs w:val="21"/>
                <w:highlight w:val="none"/>
                <w:lang w:val="en-US" w:eastAsia="zh-CN"/>
              </w:rPr>
              <w:t>8</w:t>
            </w:r>
            <w:r>
              <w:rPr>
                <w:rFonts w:hint="default" w:ascii="Times New Roman" w:hAnsi="Times New Roman" w:eastAsia="仿宋_GB2312" w:cs="Times New Roman"/>
                <w:b/>
                <w:bCs/>
                <w:color w:val="auto"/>
                <w:kern w:val="0"/>
                <w:sz w:val="21"/>
                <w:szCs w:val="21"/>
                <w:highlight w:val="none"/>
              </w:rPr>
              <w:t>.00</w:t>
            </w:r>
          </w:p>
        </w:tc>
        <w:tc>
          <w:tcPr>
            <w:tcW w:w="15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highlight w:val="none"/>
                <w:lang w:val="en-US" w:eastAsia="zh-CN"/>
              </w:rPr>
            </w:pPr>
            <w:r>
              <w:rPr>
                <w:rFonts w:hint="eastAsia" w:ascii="Times New Roman" w:hAnsi="Times New Roman" w:eastAsia="仿宋_GB2312" w:cs="Times New Roman"/>
                <w:b/>
                <w:bCs/>
                <w:color w:val="auto"/>
                <w:kern w:val="0"/>
                <w:sz w:val="21"/>
                <w:szCs w:val="21"/>
                <w:highlight w:val="none"/>
                <w:lang w:val="en-US" w:eastAsia="zh-CN"/>
              </w:rPr>
              <w:t>25.00</w:t>
            </w:r>
          </w:p>
        </w:tc>
        <w:tc>
          <w:tcPr>
            <w:tcW w:w="15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仿宋_GB2312" w:cs="Times New Roman"/>
                <w:b/>
                <w:bCs/>
                <w:color w:val="auto"/>
                <w:kern w:val="0"/>
                <w:sz w:val="21"/>
                <w:szCs w:val="21"/>
                <w:highlight w:val="none"/>
              </w:rPr>
            </w:pPr>
            <w:r>
              <w:rPr>
                <w:rFonts w:hint="eastAsia" w:ascii="Times New Roman" w:hAnsi="Times New Roman" w:eastAsia="仿宋_GB2312" w:cs="Times New Roman"/>
                <w:b/>
                <w:bCs/>
                <w:color w:val="auto"/>
                <w:kern w:val="0"/>
                <w:sz w:val="21"/>
                <w:szCs w:val="21"/>
                <w:highlight w:val="none"/>
                <w:lang w:val="en-US" w:eastAsia="zh-CN"/>
              </w:rPr>
              <w:t>89.29</w:t>
            </w:r>
            <w:r>
              <w:rPr>
                <w:rFonts w:hint="default" w:ascii="Times New Roman" w:hAnsi="Times New Roman" w:eastAsia="仿宋_GB2312" w:cs="Times New Roman"/>
                <w:b/>
                <w:bCs/>
                <w:color w:val="auto"/>
                <w:kern w:val="0"/>
                <w:sz w:val="21"/>
                <w:szCs w:val="21"/>
                <w:highlight w:val="none"/>
              </w:rPr>
              <w:t>%</w:t>
            </w:r>
          </w:p>
        </w:tc>
      </w:tr>
    </w:tbl>
    <w:p>
      <w:pPr>
        <w:pStyle w:val="7"/>
        <w:ind w:firstLine="643"/>
        <w:rPr>
          <w:color w:val="auto"/>
        </w:rPr>
      </w:pPr>
      <w:r>
        <w:rPr>
          <w:rFonts w:hint="eastAsia"/>
          <w:b/>
          <w:color w:val="auto"/>
        </w:rPr>
        <w:t>B</w:t>
      </w:r>
      <w:r>
        <w:rPr>
          <w:b/>
          <w:color w:val="auto"/>
        </w:rPr>
        <w:t>1</w:t>
      </w:r>
      <w:r>
        <w:rPr>
          <w:rFonts w:hint="eastAsia"/>
          <w:b/>
          <w:color w:val="auto"/>
        </w:rPr>
        <w:t>资金投入指标。</w:t>
      </w:r>
      <w:r>
        <w:rPr>
          <w:rFonts w:hint="eastAsia"/>
          <w:color w:val="auto"/>
        </w:rPr>
        <w:t>根据县委党校提供的2</w:t>
      </w:r>
      <w:r>
        <w:rPr>
          <w:color w:val="auto"/>
        </w:rPr>
        <w:t>020</w:t>
      </w:r>
      <w:r>
        <w:rPr>
          <w:rFonts w:hint="eastAsia"/>
          <w:color w:val="auto"/>
        </w:rPr>
        <w:t>年预决算表，本年度预算金额为2</w:t>
      </w:r>
      <w:r>
        <w:rPr>
          <w:rFonts w:hint="eastAsia"/>
          <w:color w:val="auto"/>
          <w:lang w:val="en-US" w:eastAsia="zh-CN"/>
        </w:rPr>
        <w:t>,</w:t>
      </w:r>
      <w:r>
        <w:rPr>
          <w:rFonts w:hint="eastAsia"/>
          <w:color w:val="auto"/>
        </w:rPr>
        <w:t>485</w:t>
      </w:r>
      <w:r>
        <w:rPr>
          <w:rFonts w:hint="eastAsia"/>
          <w:color w:val="auto"/>
          <w:lang w:val="en-US" w:eastAsia="zh-CN"/>
        </w:rPr>
        <w:t>,</w:t>
      </w:r>
      <w:r>
        <w:rPr>
          <w:rFonts w:hint="eastAsia"/>
          <w:color w:val="auto"/>
        </w:rPr>
        <w:t>396.8元，调整预算金额为2</w:t>
      </w:r>
      <w:r>
        <w:rPr>
          <w:rFonts w:hint="eastAsia"/>
          <w:color w:val="auto"/>
          <w:lang w:val="en-US" w:eastAsia="zh-CN"/>
        </w:rPr>
        <w:t>,</w:t>
      </w:r>
      <w:r>
        <w:rPr>
          <w:rFonts w:hint="eastAsia"/>
          <w:color w:val="auto"/>
        </w:rPr>
        <w:t>485</w:t>
      </w:r>
      <w:r>
        <w:rPr>
          <w:rFonts w:hint="eastAsia"/>
          <w:color w:val="auto"/>
          <w:lang w:val="en-US" w:eastAsia="zh-CN"/>
        </w:rPr>
        <w:t>,</w:t>
      </w:r>
      <w:r>
        <w:rPr>
          <w:rFonts w:hint="eastAsia"/>
          <w:color w:val="auto"/>
        </w:rPr>
        <w:t>396.8元，预算调整率为</w:t>
      </w:r>
      <w:r>
        <w:rPr>
          <w:rFonts w:hint="eastAsia"/>
          <w:color w:val="auto"/>
          <w:lang w:val="en-US" w:eastAsia="zh-CN"/>
        </w:rPr>
        <w:t>0</w:t>
      </w:r>
      <w:r>
        <w:rPr>
          <w:rFonts w:hint="eastAsia"/>
          <w:color w:val="auto"/>
        </w:rPr>
        <w:t>，低于2</w:t>
      </w:r>
      <w:r>
        <w:rPr>
          <w:color w:val="auto"/>
        </w:rPr>
        <w:t>0%</w:t>
      </w:r>
      <w:r>
        <w:rPr>
          <w:rFonts w:hint="eastAsia"/>
          <w:color w:val="auto"/>
        </w:rPr>
        <w:t>。本年预算支出金额为1</w:t>
      </w:r>
      <w:r>
        <w:rPr>
          <w:rFonts w:hint="eastAsia"/>
          <w:color w:val="auto"/>
          <w:lang w:val="en-US" w:eastAsia="zh-CN"/>
        </w:rPr>
        <w:t>,</w:t>
      </w:r>
      <w:r>
        <w:rPr>
          <w:rFonts w:hint="eastAsia"/>
          <w:color w:val="auto"/>
        </w:rPr>
        <w:t>778</w:t>
      </w:r>
      <w:r>
        <w:rPr>
          <w:rFonts w:hint="eastAsia"/>
          <w:color w:val="auto"/>
          <w:lang w:val="en-US" w:eastAsia="zh-CN"/>
        </w:rPr>
        <w:t>,</w:t>
      </w:r>
      <w:r>
        <w:rPr>
          <w:rFonts w:hint="eastAsia"/>
          <w:color w:val="auto"/>
        </w:rPr>
        <w:t>678.21元，预算执行率为</w:t>
      </w:r>
      <w:r>
        <w:rPr>
          <w:rFonts w:hint="eastAsia"/>
          <w:color w:val="auto"/>
          <w:lang w:val="en-US" w:eastAsia="zh-CN"/>
        </w:rPr>
        <w:t>71.57</w:t>
      </w:r>
      <w:r>
        <w:rPr>
          <w:color w:val="auto"/>
        </w:rPr>
        <w:t>%</w:t>
      </w:r>
      <w:r>
        <w:rPr>
          <w:rFonts w:hint="eastAsia"/>
          <w:color w:val="auto"/>
          <w:lang w:eastAsia="zh-CN"/>
        </w:rPr>
        <w:t>；</w:t>
      </w:r>
      <w:r>
        <w:rPr>
          <w:rFonts w:hint="eastAsia"/>
          <w:color w:val="auto"/>
        </w:rPr>
        <w:t>上年结转结余数为0，本年度结转结余数为706,718.59元。</w:t>
      </w:r>
    </w:p>
    <w:p>
      <w:pPr>
        <w:pStyle w:val="7"/>
        <w:ind w:firstLine="643"/>
        <w:rPr>
          <w:rFonts w:hint="eastAsia"/>
          <w:color w:val="auto"/>
        </w:rPr>
      </w:pPr>
      <w:r>
        <w:rPr>
          <w:rFonts w:hint="eastAsia"/>
          <w:b/>
          <w:color w:val="auto"/>
        </w:rPr>
        <w:t>B</w:t>
      </w:r>
      <w:r>
        <w:rPr>
          <w:b/>
          <w:color w:val="auto"/>
        </w:rPr>
        <w:t>2</w:t>
      </w:r>
      <w:r>
        <w:rPr>
          <w:rFonts w:hint="eastAsia"/>
          <w:b/>
          <w:color w:val="auto"/>
        </w:rPr>
        <w:t>运行成本指标。</w:t>
      </w:r>
      <w:r>
        <w:rPr>
          <w:rFonts w:hint="eastAsia"/>
          <w:color w:val="auto"/>
        </w:rPr>
        <w:t>“三公”经费</w:t>
      </w:r>
      <w:r>
        <w:rPr>
          <w:rFonts w:hint="eastAsia"/>
          <w:color w:val="auto"/>
          <w:lang w:eastAsia="zh-CN"/>
        </w:rPr>
        <w:t>、</w:t>
      </w:r>
      <w:r>
        <w:rPr>
          <w:rFonts w:hint="eastAsia"/>
          <w:color w:val="auto"/>
        </w:rPr>
        <w:t>人均公用经费2</w:t>
      </w:r>
      <w:r>
        <w:rPr>
          <w:color w:val="auto"/>
        </w:rPr>
        <w:t>020</w:t>
      </w:r>
      <w:r>
        <w:rPr>
          <w:rFonts w:hint="eastAsia"/>
          <w:color w:val="auto"/>
        </w:rPr>
        <w:t>年度与上年相比，未有变化。</w:t>
      </w:r>
    </w:p>
    <w:p>
      <w:pPr>
        <w:pStyle w:val="7"/>
        <w:ind w:firstLine="643"/>
        <w:rPr>
          <w:color w:val="auto"/>
        </w:rPr>
      </w:pPr>
      <w:r>
        <w:rPr>
          <w:rFonts w:hint="eastAsia"/>
          <w:b/>
          <w:color w:val="auto"/>
        </w:rPr>
        <w:t>B</w:t>
      </w:r>
      <w:r>
        <w:rPr>
          <w:b/>
          <w:color w:val="auto"/>
        </w:rPr>
        <w:t>3</w:t>
      </w:r>
      <w:r>
        <w:rPr>
          <w:rFonts w:hint="eastAsia"/>
          <w:b/>
          <w:color w:val="auto"/>
        </w:rPr>
        <w:t>预算管理指标。</w:t>
      </w:r>
      <w:r>
        <w:rPr>
          <w:rFonts w:hint="eastAsia"/>
          <w:color w:val="auto"/>
        </w:rPr>
        <w:t>收入预算完整，将所有预算收入全部编入收入预算；单位支出预算完整。支出预算按人员经费按标准、日常公用经费按定额、专项经费按项目分别编制。预算资金测算依据充分，按照标准编制；预算编制经过科学论证，测算过程详实；预算内容与部门业务匹配、预算确定的支出或项目投资额与工作任务相匹配，预算资源配置对保障核心业务开展扎实有效。</w:t>
      </w:r>
    </w:p>
    <w:p>
      <w:pPr>
        <w:pStyle w:val="7"/>
        <w:ind w:firstLine="643"/>
        <w:rPr>
          <w:color w:val="auto"/>
        </w:rPr>
      </w:pPr>
      <w:r>
        <w:rPr>
          <w:rFonts w:hint="eastAsia"/>
          <w:b/>
          <w:color w:val="auto"/>
        </w:rPr>
        <w:t>B</w:t>
      </w:r>
      <w:r>
        <w:rPr>
          <w:b/>
          <w:color w:val="auto"/>
        </w:rPr>
        <w:t>4</w:t>
      </w:r>
      <w:r>
        <w:rPr>
          <w:rFonts w:hint="eastAsia"/>
          <w:b/>
          <w:color w:val="auto"/>
        </w:rPr>
        <w:t>财务管理指标。</w:t>
      </w:r>
      <w:r>
        <w:rPr>
          <w:rFonts w:hint="eastAsia"/>
          <w:b/>
          <w:color w:val="auto"/>
          <w:lang w:val="en-US" w:eastAsia="zh-CN"/>
        </w:rPr>
        <w:t>淮滨</w:t>
      </w:r>
      <w:r>
        <w:rPr>
          <w:rFonts w:hint="eastAsia"/>
          <w:color w:val="auto"/>
        </w:rPr>
        <w:t>县委党校有适用的部门财务管理制度；建立了专项资金管理办法；资金的管理制度符合相关法律法规要求，内容完整。资金使用规范，资金管理符合法律法规；资金拨付手续完整；资金支出符合预算批复用途；严格执行国库集中支付；不存在截留、挤占、挪用、虚列支出等情况。资金基本支出和项目支出结构合理，不存在基本支出挤占项目支出的情况；项目资金投入结构能够有效支撑核心业务开展。</w:t>
      </w:r>
    </w:p>
    <w:p>
      <w:pPr>
        <w:pStyle w:val="7"/>
        <w:ind w:firstLine="643"/>
        <w:rPr>
          <w:rFonts w:hint="eastAsia"/>
          <w:color w:val="auto"/>
        </w:rPr>
      </w:pPr>
      <w:r>
        <w:rPr>
          <w:b/>
          <w:color w:val="auto"/>
        </w:rPr>
        <w:t>B5</w:t>
      </w:r>
      <w:r>
        <w:rPr>
          <w:rFonts w:hint="eastAsia"/>
          <w:b/>
          <w:color w:val="auto"/>
        </w:rPr>
        <w:t>采购管理指标。</w:t>
      </w:r>
      <w:r>
        <w:rPr>
          <w:rFonts w:hint="eastAsia"/>
          <w:color w:val="auto"/>
        </w:rPr>
        <w:t>采购规范，能够按照政府集中采购目录及政府采购限额标准执行；按照主管部门及当地政策要求的采购程序执行；按规定签订合同；按照合同约定严格执行合同内容。</w:t>
      </w:r>
    </w:p>
    <w:p>
      <w:pPr>
        <w:pStyle w:val="7"/>
        <w:ind w:firstLine="643"/>
        <w:rPr>
          <w:color w:val="auto"/>
        </w:rPr>
      </w:pPr>
      <w:r>
        <w:rPr>
          <w:rFonts w:hint="eastAsia"/>
          <w:b/>
          <w:color w:val="auto"/>
        </w:rPr>
        <w:t>B</w:t>
      </w:r>
      <w:r>
        <w:rPr>
          <w:b/>
          <w:color w:val="auto"/>
        </w:rPr>
        <w:t>6</w:t>
      </w:r>
      <w:r>
        <w:rPr>
          <w:rFonts w:hint="eastAsia"/>
          <w:b/>
          <w:color w:val="auto"/>
        </w:rPr>
        <w:t>资产管理指标。</w:t>
      </w:r>
      <w:r>
        <w:rPr>
          <w:rFonts w:hint="eastAsia"/>
          <w:color w:val="auto"/>
        </w:rPr>
        <w:t>具有适用的资产管理制度；制度合法、合规；明确资产配置、使用、处置、清查等要求。资产保存完整；配置合理；处置规范；账实、账账相符；资产有偿使用及处置收入及时足额上缴。固定资产全部为使用状态，固定资产利用率为1</w:t>
      </w:r>
      <w:r>
        <w:rPr>
          <w:color w:val="auto"/>
        </w:rPr>
        <w:t>00%</w:t>
      </w:r>
      <w:r>
        <w:rPr>
          <w:rFonts w:hint="eastAsia"/>
          <w:color w:val="auto"/>
        </w:rPr>
        <w:t>。</w:t>
      </w:r>
    </w:p>
    <w:p>
      <w:pPr>
        <w:pStyle w:val="7"/>
        <w:ind w:firstLine="643"/>
        <w:rPr>
          <w:color w:val="auto"/>
        </w:rPr>
      </w:pPr>
      <w:r>
        <w:rPr>
          <w:b/>
          <w:color w:val="auto"/>
        </w:rPr>
        <w:t>B7</w:t>
      </w:r>
      <w:r>
        <w:rPr>
          <w:rFonts w:hint="eastAsia"/>
          <w:b/>
          <w:color w:val="auto"/>
        </w:rPr>
        <w:t>人员管理指标。</w:t>
      </w:r>
      <w:r>
        <w:rPr>
          <w:rFonts w:hint="eastAsia"/>
          <w:color w:val="auto"/>
        </w:rPr>
        <w:t>具有健全的培训制度、科学研究制度、师资队伍建设制度</w:t>
      </w:r>
      <w:r>
        <w:rPr>
          <w:color w:val="auto"/>
        </w:rPr>
        <w:t>。</w:t>
      </w:r>
      <w:r>
        <w:rPr>
          <w:rFonts w:hint="eastAsia"/>
          <w:color w:val="auto"/>
        </w:rPr>
        <w:t>建立有人事管理制度；制定绩效目标考核及考核结果应用办法。</w:t>
      </w:r>
    </w:p>
    <w:p>
      <w:pPr>
        <w:pStyle w:val="5"/>
        <w:numPr>
          <w:ilvl w:val="1"/>
          <w:numId w:val="0"/>
        </w:numPr>
        <w:ind w:firstLine="480"/>
        <w:rPr>
          <w:color w:val="auto"/>
          <w:highlight w:val="none"/>
        </w:rPr>
      </w:pPr>
      <w:bookmarkStart w:id="50" w:name="_Toc5452"/>
      <w:r>
        <w:rPr>
          <w:rFonts w:hint="eastAsia"/>
          <w:color w:val="auto"/>
          <w:highlight w:val="none"/>
        </w:rPr>
        <w:t>（三）履职效能类</w:t>
      </w:r>
      <w:bookmarkEnd w:id="50"/>
    </w:p>
    <w:p>
      <w:pPr>
        <w:pStyle w:val="7"/>
        <w:bidi w:val="0"/>
        <w:rPr>
          <w:color w:val="auto"/>
        </w:rPr>
      </w:pPr>
      <w:r>
        <w:rPr>
          <w:rFonts w:hint="eastAsia"/>
          <w:color w:val="auto"/>
        </w:rPr>
        <w:t>部门管理类指标共包含</w:t>
      </w:r>
      <w:r>
        <w:rPr>
          <w:color w:val="auto"/>
        </w:rPr>
        <w:t>4</w:t>
      </w:r>
      <w:r>
        <w:rPr>
          <w:rFonts w:hint="eastAsia"/>
          <w:color w:val="auto"/>
        </w:rPr>
        <w:t>个二级指标，</w:t>
      </w:r>
      <w:r>
        <w:rPr>
          <w:color w:val="auto"/>
        </w:rPr>
        <w:t>1</w:t>
      </w:r>
      <w:r>
        <w:rPr>
          <w:rFonts w:hint="eastAsia"/>
          <w:color w:val="auto"/>
          <w:lang w:val="en-US" w:eastAsia="zh-CN"/>
        </w:rPr>
        <w:t>0</w:t>
      </w:r>
      <w:r>
        <w:rPr>
          <w:rFonts w:hint="eastAsia"/>
          <w:color w:val="auto"/>
        </w:rPr>
        <w:t>个三级指标，权重分</w:t>
      </w:r>
      <w:r>
        <w:rPr>
          <w:color w:val="auto"/>
        </w:rPr>
        <w:t>30</w:t>
      </w:r>
      <w:r>
        <w:rPr>
          <w:rFonts w:hint="eastAsia"/>
          <w:color w:val="auto"/>
        </w:rPr>
        <w:t>.00分，得分2</w:t>
      </w:r>
      <w:r>
        <w:rPr>
          <w:rFonts w:hint="eastAsia"/>
          <w:color w:val="auto"/>
          <w:lang w:val="en-US" w:eastAsia="zh-CN"/>
        </w:rPr>
        <w:t>7.75</w:t>
      </w:r>
      <w:r>
        <w:rPr>
          <w:rFonts w:hint="eastAsia"/>
          <w:color w:val="auto"/>
        </w:rPr>
        <w:t>分，得分率为92.5</w:t>
      </w:r>
      <w:r>
        <w:rPr>
          <w:rFonts w:hint="eastAsia"/>
          <w:color w:val="auto"/>
          <w:lang w:val="en-US" w:eastAsia="zh-CN"/>
        </w:rPr>
        <w:t>0</w:t>
      </w:r>
      <w:r>
        <w:rPr>
          <w:rFonts w:hint="eastAsia"/>
          <w:color w:val="auto"/>
        </w:rPr>
        <w:t>%。主要扣分指标为</w:t>
      </w:r>
      <w:r>
        <w:rPr>
          <w:rFonts w:hint="eastAsia"/>
          <w:color w:val="auto"/>
          <w:highlight w:val="none"/>
        </w:rPr>
        <w:t>科研项目课题完成率、师资队伍优化情况</w:t>
      </w:r>
      <w:r>
        <w:rPr>
          <w:rFonts w:hint="eastAsia"/>
          <w:color w:val="auto"/>
        </w:rPr>
        <w:t>，各指标得分情况详见表</w:t>
      </w:r>
      <w:r>
        <w:rPr>
          <w:color w:val="auto"/>
        </w:rPr>
        <w:t>4</w:t>
      </w:r>
      <w:r>
        <w:rPr>
          <w:rFonts w:hint="eastAsia"/>
          <w:color w:val="auto"/>
        </w:rPr>
        <w:t>-</w:t>
      </w:r>
      <w:r>
        <w:rPr>
          <w:color w:val="auto"/>
        </w:rPr>
        <w:t>3</w:t>
      </w:r>
      <w:r>
        <w:rPr>
          <w:rFonts w:hint="eastAsia"/>
          <w:color w:val="auto"/>
        </w:rPr>
        <w:t>。</w:t>
      </w:r>
    </w:p>
    <w:p>
      <w:pPr>
        <w:pStyle w:val="28"/>
        <w:ind w:firstLine="482" w:firstLineChars="200"/>
        <w:jc w:val="center"/>
        <w:rPr>
          <w:rFonts w:hint="default" w:ascii="Times New Roman" w:hAnsi="Times New Roman" w:eastAsia="仿宋_GB2312" w:cs="Times New Roman"/>
          <w:b/>
          <w:bCs/>
          <w:color w:val="auto"/>
          <w:sz w:val="24"/>
          <w:szCs w:val="24"/>
          <w:lang w:val="zh-CN"/>
        </w:rPr>
      </w:pPr>
      <w:r>
        <w:rPr>
          <w:rFonts w:hint="default" w:ascii="Times New Roman" w:hAnsi="Times New Roman" w:eastAsia="仿宋_GB2312" w:cs="Times New Roman"/>
          <w:b/>
          <w:bCs/>
          <w:color w:val="auto"/>
          <w:sz w:val="24"/>
          <w:szCs w:val="24"/>
          <w:lang w:val="zh-CN"/>
        </w:rPr>
        <w:t>表</w:t>
      </w:r>
      <w:r>
        <w:rPr>
          <w:rFonts w:hint="default" w:ascii="Times New Roman" w:hAnsi="Times New Roman" w:eastAsia="仿宋_GB2312" w:cs="Times New Roman"/>
          <w:b/>
          <w:bCs/>
          <w:color w:val="auto"/>
          <w:sz w:val="24"/>
          <w:szCs w:val="24"/>
        </w:rPr>
        <w:t>4-3履职效能</w:t>
      </w:r>
      <w:r>
        <w:rPr>
          <w:rFonts w:hint="default" w:ascii="Times New Roman" w:hAnsi="Times New Roman" w:eastAsia="仿宋_GB2312" w:cs="Times New Roman"/>
          <w:b/>
          <w:bCs/>
          <w:color w:val="auto"/>
          <w:sz w:val="24"/>
          <w:szCs w:val="24"/>
          <w:lang w:val="zh-CN"/>
        </w:rPr>
        <w:t>类指标得分情况表</w:t>
      </w:r>
    </w:p>
    <w:tbl>
      <w:tblPr>
        <w:tblStyle w:val="22"/>
        <w:tblW w:w="8359" w:type="dxa"/>
        <w:tblInd w:w="0" w:type="dxa"/>
        <w:tblLayout w:type="autofit"/>
        <w:tblCellMar>
          <w:top w:w="0" w:type="dxa"/>
          <w:left w:w="108" w:type="dxa"/>
          <w:bottom w:w="0" w:type="dxa"/>
          <w:right w:w="108" w:type="dxa"/>
        </w:tblCellMar>
      </w:tblPr>
      <w:tblGrid>
        <w:gridCol w:w="4375"/>
        <w:gridCol w:w="1328"/>
        <w:gridCol w:w="1328"/>
        <w:gridCol w:w="1328"/>
      </w:tblGrid>
      <w:tr>
        <w:tblPrEx>
          <w:tblCellMar>
            <w:top w:w="0" w:type="dxa"/>
            <w:left w:w="108" w:type="dxa"/>
            <w:bottom w:w="0" w:type="dxa"/>
            <w:right w:w="108" w:type="dxa"/>
          </w:tblCellMar>
        </w:tblPrEx>
        <w:trPr>
          <w:trHeight w:val="420" w:hRule="atLeast"/>
          <w:tblHeader/>
        </w:trPr>
        <w:tc>
          <w:tcPr>
            <w:tcW w:w="4375" w:type="dxa"/>
            <w:tcBorders>
              <w:top w:val="single" w:color="auto" w:sz="4" w:space="0"/>
              <w:left w:val="single" w:color="auto" w:sz="4" w:space="0"/>
              <w:bottom w:val="single" w:color="auto" w:sz="4" w:space="0"/>
              <w:right w:val="single" w:color="auto" w:sz="4" w:space="0"/>
            </w:tcBorders>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指标名称</w:t>
            </w:r>
          </w:p>
        </w:tc>
        <w:tc>
          <w:tcPr>
            <w:tcW w:w="1328" w:type="dxa"/>
            <w:tcBorders>
              <w:top w:val="single" w:color="auto" w:sz="4" w:space="0"/>
              <w:left w:val="nil"/>
              <w:bottom w:val="single" w:color="auto" w:sz="4" w:space="0"/>
              <w:right w:val="single" w:color="auto" w:sz="4" w:space="0"/>
            </w:tcBorders>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权重分</w:t>
            </w:r>
          </w:p>
        </w:tc>
        <w:tc>
          <w:tcPr>
            <w:tcW w:w="1328" w:type="dxa"/>
            <w:tcBorders>
              <w:top w:val="single" w:color="auto" w:sz="4" w:space="0"/>
              <w:left w:val="nil"/>
              <w:bottom w:val="single" w:color="auto" w:sz="4" w:space="0"/>
              <w:right w:val="single" w:color="auto" w:sz="4" w:space="0"/>
            </w:tcBorders>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指标得分</w:t>
            </w:r>
          </w:p>
        </w:tc>
        <w:tc>
          <w:tcPr>
            <w:tcW w:w="1328" w:type="dxa"/>
            <w:tcBorders>
              <w:top w:val="single" w:color="auto" w:sz="4" w:space="0"/>
              <w:left w:val="nil"/>
              <w:bottom w:val="single" w:color="auto" w:sz="4" w:space="0"/>
              <w:right w:val="single" w:color="auto" w:sz="4" w:space="0"/>
            </w:tcBorders>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得分率</w:t>
            </w:r>
          </w:p>
        </w:tc>
      </w:tr>
      <w:tr>
        <w:tblPrEx>
          <w:tblCellMar>
            <w:top w:w="0" w:type="dxa"/>
            <w:left w:w="108" w:type="dxa"/>
            <w:bottom w:w="0" w:type="dxa"/>
            <w:right w:w="108" w:type="dxa"/>
          </w:tblCellMar>
        </w:tblPrEx>
        <w:trPr>
          <w:trHeight w:val="31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C1教学培训</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1</w:t>
            </w:r>
            <w:r>
              <w:rPr>
                <w:rFonts w:hint="eastAsia" w:ascii="Times New Roman" w:hAnsi="Times New Roman" w:eastAsia="仿宋_GB2312" w:cs="Times New Roman"/>
                <w:b/>
                <w:bCs/>
                <w:color w:val="auto"/>
                <w:kern w:val="0"/>
                <w:lang w:val="en-US" w:eastAsia="zh-CN"/>
              </w:rPr>
              <w:t>4</w:t>
            </w:r>
            <w:r>
              <w:rPr>
                <w:rFonts w:hint="default" w:ascii="Times New Roman" w:hAnsi="Times New Roman" w:eastAsia="仿宋_GB2312" w:cs="Times New Roman"/>
                <w:b/>
                <w:bCs/>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1</w:t>
            </w:r>
            <w:r>
              <w:rPr>
                <w:rFonts w:hint="eastAsia" w:ascii="Times New Roman" w:hAnsi="Times New Roman" w:eastAsia="仿宋_GB2312" w:cs="Times New Roman"/>
                <w:b/>
                <w:bCs/>
                <w:color w:val="auto"/>
                <w:kern w:val="0"/>
                <w:lang w:val="en-US" w:eastAsia="zh-CN"/>
              </w:rPr>
              <w:t>4</w:t>
            </w:r>
            <w:r>
              <w:rPr>
                <w:rFonts w:hint="default" w:ascii="Times New Roman" w:hAnsi="Times New Roman" w:eastAsia="仿宋_GB2312" w:cs="Times New Roman"/>
                <w:b/>
                <w:bCs/>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color w:val="auto"/>
                <w:kern w:val="0"/>
              </w:rPr>
            </w:pPr>
            <w:r>
              <w:rPr>
                <w:rFonts w:hint="eastAsia" w:ascii="Times New Roman" w:hAnsi="Times New Roman" w:eastAsia="仿宋_GB2312" w:cs="Times New Roman"/>
                <w:b/>
                <w:bCs/>
                <w:color w:val="auto"/>
                <w:kern w:val="0"/>
                <w:lang w:val="en-US" w:eastAsia="zh-CN"/>
              </w:rPr>
              <w:t>100.00</w:t>
            </w:r>
            <w:r>
              <w:rPr>
                <w:rFonts w:hint="default" w:ascii="Times New Roman" w:hAnsi="Times New Roman" w:eastAsia="仿宋_GB2312" w:cs="Times New Roman"/>
                <w:b/>
                <w:bCs/>
                <w:color w:val="auto"/>
                <w:kern w:val="0"/>
              </w:rPr>
              <w:t>%</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C11培训工作完成率</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4</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4</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C12党性教育工作完成情况</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4</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4</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C13培训班次规范性</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3</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3</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C14培训方式科学性</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3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eastAsia" w:ascii="Times New Roman" w:hAnsi="Times New Roman" w:eastAsia="仿宋_GB2312" w:cs="Times New Roman"/>
                <w:color w:val="auto"/>
                <w:kern w:val="0"/>
                <w:lang w:val="en-US" w:eastAsia="zh-CN"/>
              </w:rPr>
              <w:t>100.00</w:t>
            </w:r>
            <w:r>
              <w:rPr>
                <w:rFonts w:hint="default" w:ascii="Times New Roman" w:hAnsi="Times New Roman" w:eastAsia="仿宋_GB2312" w:cs="Times New Roman"/>
                <w:color w:val="auto"/>
                <w:kern w:val="0"/>
              </w:rPr>
              <w:t>%</w:t>
            </w:r>
          </w:p>
        </w:tc>
      </w:tr>
      <w:tr>
        <w:tblPrEx>
          <w:tblCellMar>
            <w:top w:w="0" w:type="dxa"/>
            <w:left w:w="108" w:type="dxa"/>
            <w:bottom w:w="0" w:type="dxa"/>
            <w:right w:w="108" w:type="dxa"/>
          </w:tblCellMar>
        </w:tblPrEx>
        <w:trPr>
          <w:trHeight w:val="339"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C2科学研究</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3</w:t>
            </w:r>
            <w:r>
              <w:rPr>
                <w:rFonts w:hint="default" w:ascii="Times New Roman" w:hAnsi="Times New Roman" w:eastAsia="仿宋_GB2312" w:cs="Times New Roman"/>
                <w:b/>
                <w:bCs/>
                <w:color w:val="auto"/>
                <w:kern w:val="0"/>
              </w:rPr>
              <w:t>.00</w:t>
            </w:r>
          </w:p>
        </w:tc>
        <w:tc>
          <w:tcPr>
            <w:tcW w:w="13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2.25</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color w:val="auto"/>
                <w:kern w:val="0"/>
              </w:rPr>
            </w:pPr>
            <w:r>
              <w:rPr>
                <w:rFonts w:hint="eastAsia" w:ascii="Times New Roman" w:hAnsi="Times New Roman" w:eastAsia="仿宋_GB2312" w:cs="Times New Roman"/>
                <w:b/>
                <w:bCs/>
                <w:color w:val="auto"/>
                <w:kern w:val="0"/>
                <w:lang w:val="en-US" w:eastAsia="zh-CN"/>
              </w:rPr>
              <w:t>75.00</w:t>
            </w:r>
            <w:r>
              <w:rPr>
                <w:rFonts w:hint="default" w:ascii="Times New Roman" w:hAnsi="Times New Roman" w:eastAsia="仿宋_GB2312" w:cs="Times New Roman"/>
                <w:b/>
                <w:bCs/>
                <w:color w:val="auto"/>
                <w:kern w:val="0"/>
              </w:rPr>
              <w:t>%</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C21科研项目课题完成率</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3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2.25</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eastAsia" w:ascii="Times New Roman" w:hAnsi="Times New Roman" w:eastAsia="仿宋_GB2312" w:cs="Times New Roman"/>
                <w:color w:val="auto"/>
                <w:kern w:val="0"/>
                <w:lang w:val="en-US" w:eastAsia="zh-CN"/>
              </w:rPr>
              <w:t>75</w:t>
            </w:r>
            <w:r>
              <w:rPr>
                <w:rFonts w:hint="default" w:ascii="Times New Roman" w:hAnsi="Times New Roman" w:eastAsia="仿宋_GB2312" w:cs="Times New Roman"/>
                <w:color w:val="auto"/>
                <w:kern w:val="0"/>
              </w:rPr>
              <w:t>.00%</w:t>
            </w:r>
          </w:p>
        </w:tc>
      </w:tr>
      <w:tr>
        <w:tblPrEx>
          <w:tblCellMar>
            <w:top w:w="0" w:type="dxa"/>
            <w:left w:w="108" w:type="dxa"/>
            <w:bottom w:w="0" w:type="dxa"/>
            <w:right w:w="108" w:type="dxa"/>
          </w:tblCellMar>
        </w:tblPrEx>
        <w:trPr>
          <w:trHeight w:val="307"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C3师资队伍建设</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9</w:t>
            </w:r>
            <w:r>
              <w:rPr>
                <w:rFonts w:hint="default" w:ascii="Times New Roman" w:hAnsi="Times New Roman" w:eastAsia="仿宋_GB2312" w:cs="Times New Roman"/>
                <w:b/>
                <w:bCs/>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7.</w:t>
            </w:r>
            <w:r>
              <w:rPr>
                <w:rFonts w:hint="eastAsia" w:ascii="Times New Roman" w:hAnsi="Times New Roman" w:eastAsia="仿宋_GB2312" w:cs="Times New Roman"/>
                <w:b/>
                <w:bCs/>
                <w:color w:val="auto"/>
                <w:kern w:val="0"/>
                <w:lang w:val="en-US" w:eastAsia="zh-CN"/>
              </w:rPr>
              <w:t>5</w:t>
            </w:r>
            <w:r>
              <w:rPr>
                <w:rFonts w:hint="default" w:ascii="Times New Roman" w:hAnsi="Times New Roman" w:eastAsia="仿宋_GB2312" w:cs="Times New Roman"/>
                <w:b/>
                <w:bCs/>
                <w:color w:val="auto"/>
                <w:kern w:val="0"/>
              </w:rPr>
              <w:t>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color w:val="auto"/>
                <w:kern w:val="0"/>
              </w:rPr>
            </w:pPr>
            <w:r>
              <w:rPr>
                <w:rFonts w:hint="eastAsia" w:ascii="Times New Roman" w:hAnsi="Times New Roman" w:eastAsia="仿宋_GB2312" w:cs="Times New Roman"/>
                <w:b/>
                <w:bCs/>
                <w:color w:val="auto"/>
                <w:kern w:val="0"/>
                <w:lang w:val="en-US" w:eastAsia="zh-CN"/>
              </w:rPr>
              <w:t>83.33</w:t>
            </w:r>
            <w:r>
              <w:rPr>
                <w:rFonts w:hint="default" w:ascii="Times New Roman" w:hAnsi="Times New Roman" w:eastAsia="仿宋_GB2312" w:cs="Times New Roman"/>
                <w:b/>
                <w:bCs/>
                <w:color w:val="auto"/>
                <w:kern w:val="0"/>
              </w:rPr>
              <w:t>%</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C31师资队伍优化情况</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1.5</w:t>
            </w:r>
            <w:r>
              <w:rPr>
                <w:rFonts w:hint="default" w:ascii="Times New Roman" w:hAnsi="Times New Roman" w:eastAsia="仿宋_GB2312" w:cs="Times New Roman"/>
                <w:color w:val="auto"/>
                <w:kern w:val="0"/>
              </w:rPr>
              <w:t>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eastAsia" w:ascii="Times New Roman" w:hAnsi="Times New Roman" w:eastAsia="仿宋_GB2312" w:cs="Times New Roman"/>
                <w:color w:val="auto"/>
                <w:kern w:val="0"/>
                <w:lang w:val="en-US" w:eastAsia="zh-CN"/>
              </w:rPr>
              <w:t>5</w:t>
            </w:r>
            <w:r>
              <w:rPr>
                <w:rFonts w:hint="default" w:ascii="Times New Roman" w:hAnsi="Times New Roman" w:eastAsia="仿宋_GB2312" w:cs="Times New Roman"/>
                <w:color w:val="auto"/>
                <w:kern w:val="0"/>
              </w:rPr>
              <w:t>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C32师资库课程库建设情况</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3</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3</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C33教职工培训工作开展情况</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3</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3</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CellMar>
            <w:top w:w="0" w:type="dxa"/>
            <w:left w:w="108" w:type="dxa"/>
            <w:bottom w:w="0" w:type="dxa"/>
            <w:right w:w="108" w:type="dxa"/>
          </w:tblCellMar>
        </w:tblPrEx>
        <w:trPr>
          <w:trHeight w:val="398"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C4服务保障情况</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4</w:t>
            </w:r>
            <w:r>
              <w:rPr>
                <w:rFonts w:hint="default" w:ascii="Times New Roman" w:hAnsi="Times New Roman" w:eastAsia="仿宋_GB2312" w:cs="Times New Roman"/>
                <w:b/>
                <w:bCs/>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4</w:t>
            </w:r>
            <w:r>
              <w:rPr>
                <w:rFonts w:hint="default" w:ascii="Times New Roman" w:hAnsi="Times New Roman" w:eastAsia="仿宋_GB2312" w:cs="Times New Roman"/>
                <w:b/>
                <w:bCs/>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100.00%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C41设备系统运行情况</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2</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2</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C42重大活动服务保障完成情况</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2</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2</w:t>
            </w:r>
            <w:r>
              <w:rPr>
                <w:rFonts w:hint="default" w:ascii="Times New Roman" w:hAnsi="Times New Roman" w:eastAsia="仿宋_GB2312" w:cs="Times New Roman"/>
                <w:color w:val="auto"/>
                <w:kern w:val="0"/>
              </w:rPr>
              <w:t>.00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CellMar>
            <w:top w:w="0" w:type="dxa"/>
            <w:left w:w="108" w:type="dxa"/>
            <w:bottom w:w="0" w:type="dxa"/>
            <w:right w:w="108" w:type="dxa"/>
          </w:tblCellMar>
        </w:tblPrEx>
        <w:trPr>
          <w:trHeight w:val="285" w:hRule="atLeast"/>
        </w:trPr>
        <w:tc>
          <w:tcPr>
            <w:tcW w:w="43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合计</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30.00</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27.75</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92.50%</w:t>
            </w:r>
          </w:p>
        </w:tc>
      </w:tr>
    </w:tbl>
    <w:p>
      <w:pPr>
        <w:pStyle w:val="7"/>
        <w:ind w:firstLine="643"/>
        <w:rPr>
          <w:color w:val="auto"/>
        </w:rPr>
      </w:pPr>
      <w:r>
        <w:rPr>
          <w:rFonts w:hint="eastAsia"/>
          <w:b/>
          <w:color w:val="auto"/>
        </w:rPr>
        <w:t>C</w:t>
      </w:r>
      <w:r>
        <w:rPr>
          <w:b/>
          <w:color w:val="auto"/>
        </w:rPr>
        <w:t>1</w:t>
      </w:r>
      <w:r>
        <w:rPr>
          <w:rFonts w:hint="eastAsia"/>
          <w:b/>
          <w:color w:val="auto"/>
        </w:rPr>
        <w:t>教学培训指标。</w:t>
      </w:r>
      <w:r>
        <w:rPr>
          <w:rFonts w:hint="eastAsia"/>
          <w:color w:val="auto"/>
        </w:rPr>
        <w:t>按照《关于进一步加强县级党校主体班次培训工作的通知》（豫组通〔2018〕29号）要求开展培训班20期，培训人次达到2951人次完成了培训计划。其中，党的理论教育和党性教育课程占总课时的8</w:t>
      </w:r>
      <w:r>
        <w:rPr>
          <w:color w:val="auto"/>
        </w:rPr>
        <w:t>0%；开展理论政策宣讲下基层活动；党的理论政策宣讲场次完成率达100%；县委领导班子成员每人每年</w:t>
      </w:r>
      <w:r>
        <w:rPr>
          <w:rFonts w:hint="eastAsia"/>
          <w:color w:val="auto"/>
        </w:rPr>
        <w:t>达到了</w:t>
      </w:r>
      <w:r>
        <w:rPr>
          <w:color w:val="auto"/>
        </w:rPr>
        <w:t>至少到县委党校上一次党课。</w:t>
      </w:r>
    </w:p>
    <w:p>
      <w:pPr>
        <w:pStyle w:val="7"/>
        <w:rPr>
          <w:color w:val="auto"/>
        </w:rPr>
      </w:pPr>
      <w:r>
        <w:rPr>
          <w:rFonts w:hint="eastAsia"/>
          <w:color w:val="auto"/>
        </w:rPr>
        <w:t>此外创新实践研讨式教学、互动式教学和现场教学等多种教学方式；</w:t>
      </w:r>
      <w:r>
        <w:rPr>
          <w:color w:val="auto"/>
        </w:rPr>
        <w:t>完善教案审核制度、集体备课制度及课前试讲、课中观摩、课后测评制度，建立系列教学评估激励机制</w:t>
      </w:r>
      <w:r>
        <w:rPr>
          <w:rFonts w:hint="eastAsia"/>
          <w:color w:val="auto"/>
        </w:rPr>
        <w:t>。但是受疫情影响</w:t>
      </w:r>
      <w:r>
        <w:rPr>
          <w:rFonts w:hint="eastAsia"/>
          <w:color w:val="auto"/>
          <w:lang w:val="en-US" w:eastAsia="zh-CN"/>
        </w:rPr>
        <w:t>很多</w:t>
      </w:r>
      <w:r>
        <w:rPr>
          <w:color w:val="auto"/>
        </w:rPr>
        <w:t>现场教学</w:t>
      </w:r>
      <w:r>
        <w:rPr>
          <w:rFonts w:hint="eastAsia"/>
          <w:color w:val="auto"/>
          <w:lang w:val="en-US" w:eastAsia="zh-CN"/>
        </w:rPr>
        <w:t>工作未开展</w:t>
      </w:r>
      <w:r>
        <w:rPr>
          <w:rFonts w:hint="eastAsia"/>
          <w:color w:val="auto"/>
        </w:rPr>
        <w:t>。</w:t>
      </w:r>
    </w:p>
    <w:p>
      <w:pPr>
        <w:pStyle w:val="7"/>
        <w:ind w:firstLine="643"/>
        <w:rPr>
          <w:rFonts w:hint="eastAsia" w:eastAsia="仿宋"/>
          <w:color w:val="auto"/>
          <w:lang w:eastAsia="zh-CN"/>
        </w:rPr>
      </w:pPr>
      <w:r>
        <w:rPr>
          <w:b/>
          <w:color w:val="auto"/>
        </w:rPr>
        <w:t>C2科学研究</w:t>
      </w:r>
      <w:r>
        <w:rPr>
          <w:rFonts w:hint="eastAsia"/>
          <w:b/>
          <w:color w:val="auto"/>
        </w:rPr>
        <w:t>指标。</w:t>
      </w:r>
      <w:r>
        <w:rPr>
          <w:rFonts w:hint="eastAsia"/>
          <w:color w:val="auto"/>
        </w:rPr>
        <w:t>2020年，获得省委党校课题立项1个，市委党校课题立项3个，市级社科课题4个</w:t>
      </w:r>
      <w:r>
        <w:rPr>
          <w:rFonts w:hint="eastAsia"/>
          <w:color w:val="auto"/>
          <w:lang w:eastAsia="zh-CN"/>
        </w:rPr>
        <w:t>。</w:t>
      </w:r>
    </w:p>
    <w:p>
      <w:pPr>
        <w:pStyle w:val="7"/>
        <w:ind w:firstLine="643"/>
        <w:rPr>
          <w:rFonts w:hint="eastAsia"/>
          <w:color w:val="auto"/>
        </w:rPr>
      </w:pPr>
      <w:r>
        <w:rPr>
          <w:b/>
          <w:color w:val="auto"/>
        </w:rPr>
        <w:t>C3师资队伍建设</w:t>
      </w:r>
      <w:r>
        <w:rPr>
          <w:rFonts w:hint="eastAsia"/>
          <w:b/>
          <w:color w:val="auto"/>
        </w:rPr>
        <w:t>指标</w:t>
      </w:r>
      <w:r>
        <w:rPr>
          <w:rFonts w:hint="eastAsia"/>
          <w:color w:val="auto"/>
        </w:rPr>
        <w:t>。淮滨县党校教师总共16人，高级3人，高级职称教师占比18.75%；45岁以下14人，45周岁及以下青年教师</w:t>
      </w:r>
      <w:r>
        <w:rPr>
          <w:rFonts w:hint="eastAsia"/>
          <w:color w:val="auto"/>
          <w:lang w:eastAsia="zh-CN"/>
        </w:rPr>
        <w:t>占比</w:t>
      </w:r>
      <w:r>
        <w:rPr>
          <w:rFonts w:hint="eastAsia"/>
          <w:color w:val="auto"/>
        </w:rPr>
        <w:t>87.5%。</w:t>
      </w:r>
    </w:p>
    <w:p>
      <w:pPr>
        <w:pStyle w:val="7"/>
        <w:ind w:firstLine="643"/>
        <w:rPr>
          <w:color w:val="auto"/>
        </w:rPr>
      </w:pPr>
      <w:r>
        <w:rPr>
          <w:b/>
          <w:color w:val="auto"/>
        </w:rPr>
        <w:t>C4服务保障情况</w:t>
      </w:r>
      <w:r>
        <w:rPr>
          <w:rFonts w:hint="eastAsia"/>
          <w:b/>
          <w:color w:val="auto"/>
        </w:rPr>
        <w:t>指标。</w:t>
      </w:r>
      <w:r>
        <w:rPr>
          <w:rFonts w:hint="eastAsia"/>
          <w:color w:val="auto"/>
        </w:rPr>
        <w:t>供电设施、消防设施等相关设备根据要求定期或不定期进行保养维修，并有相关记录</w:t>
      </w:r>
      <w:r>
        <w:rPr>
          <w:color w:val="auto"/>
        </w:rPr>
        <w:t>；党校设备系统正常运行，未发生过影响教学培训的情况</w:t>
      </w:r>
      <w:r>
        <w:rPr>
          <w:rFonts w:hint="eastAsia"/>
          <w:color w:val="auto"/>
        </w:rPr>
        <w:t>。为县委、县政府在县委党校召开的重要会议、举办的重大活动提供服务保障；未发生因服务保障不到位而影响会议、活动召开的不良现象。</w:t>
      </w:r>
    </w:p>
    <w:p>
      <w:pPr>
        <w:pStyle w:val="5"/>
        <w:numPr>
          <w:ilvl w:val="1"/>
          <w:numId w:val="0"/>
        </w:numPr>
        <w:ind w:firstLine="480"/>
        <w:rPr>
          <w:color w:val="auto"/>
        </w:rPr>
      </w:pPr>
      <w:bookmarkStart w:id="51" w:name="_Toc190"/>
      <w:r>
        <w:rPr>
          <w:rFonts w:hint="eastAsia"/>
          <w:color w:val="auto"/>
        </w:rPr>
        <w:t>（四）履职效益类</w:t>
      </w:r>
      <w:bookmarkEnd w:id="51"/>
    </w:p>
    <w:p>
      <w:pPr>
        <w:pStyle w:val="7"/>
        <w:bidi w:val="0"/>
        <w:rPr>
          <w:color w:val="auto"/>
        </w:rPr>
      </w:pPr>
      <w:r>
        <w:rPr>
          <w:rFonts w:hint="eastAsia"/>
          <w:color w:val="auto"/>
        </w:rPr>
        <w:t>部门管理类指标共包含</w:t>
      </w:r>
      <w:r>
        <w:rPr>
          <w:color w:val="auto"/>
        </w:rPr>
        <w:t>4</w:t>
      </w:r>
      <w:r>
        <w:rPr>
          <w:rFonts w:hint="eastAsia"/>
          <w:color w:val="auto"/>
        </w:rPr>
        <w:t>个二级指标，</w:t>
      </w:r>
      <w:r>
        <w:rPr>
          <w:rFonts w:hint="eastAsia"/>
          <w:color w:val="auto"/>
          <w:lang w:val="en-US" w:eastAsia="zh-CN"/>
        </w:rPr>
        <w:t>12</w:t>
      </w:r>
      <w:r>
        <w:rPr>
          <w:rFonts w:hint="eastAsia"/>
          <w:color w:val="auto"/>
        </w:rPr>
        <w:t>个三级指标，1</w:t>
      </w:r>
      <w:r>
        <w:rPr>
          <w:color w:val="auto"/>
        </w:rPr>
        <w:t>4</w:t>
      </w:r>
      <w:r>
        <w:rPr>
          <w:rFonts w:hint="eastAsia"/>
          <w:color w:val="auto"/>
        </w:rPr>
        <w:t>个四级指标，权重分</w:t>
      </w:r>
      <w:r>
        <w:rPr>
          <w:color w:val="auto"/>
        </w:rPr>
        <w:t>3</w:t>
      </w:r>
      <w:r>
        <w:rPr>
          <w:rFonts w:hint="eastAsia"/>
          <w:color w:val="auto"/>
          <w:lang w:val="en-US" w:eastAsia="zh-CN"/>
        </w:rPr>
        <w:t>2</w:t>
      </w:r>
      <w:r>
        <w:rPr>
          <w:rFonts w:hint="eastAsia"/>
          <w:color w:val="auto"/>
        </w:rPr>
        <w:t>.00分，得分2</w:t>
      </w:r>
      <w:r>
        <w:rPr>
          <w:rFonts w:hint="eastAsia"/>
          <w:color w:val="auto"/>
          <w:lang w:val="en-US" w:eastAsia="zh-CN"/>
        </w:rPr>
        <w:t>9.75</w:t>
      </w:r>
      <w:r>
        <w:rPr>
          <w:rFonts w:hint="eastAsia"/>
          <w:color w:val="auto"/>
        </w:rPr>
        <w:t>分，得分率为</w:t>
      </w:r>
      <w:r>
        <w:rPr>
          <w:color w:val="auto"/>
        </w:rPr>
        <w:t>9</w:t>
      </w:r>
      <w:r>
        <w:rPr>
          <w:rFonts w:hint="eastAsia"/>
          <w:color w:val="auto"/>
          <w:lang w:val="en-US" w:eastAsia="zh-CN"/>
        </w:rPr>
        <w:t>2.97</w:t>
      </w:r>
      <w:r>
        <w:rPr>
          <w:rFonts w:hint="eastAsia"/>
          <w:color w:val="auto"/>
        </w:rPr>
        <w:t>%。主要扣分指标为</w:t>
      </w:r>
      <w:r>
        <w:rPr>
          <w:rFonts w:hint="eastAsia"/>
          <w:color w:val="auto"/>
          <w:highlight w:val="none"/>
        </w:rPr>
        <w:t>科研课题获奖情况、档案管理完备性，</w:t>
      </w:r>
      <w:r>
        <w:rPr>
          <w:rFonts w:hint="eastAsia"/>
          <w:color w:val="auto"/>
        </w:rPr>
        <w:t>各指标得分情况详见表</w:t>
      </w:r>
      <w:r>
        <w:rPr>
          <w:color w:val="auto"/>
        </w:rPr>
        <w:t>4</w:t>
      </w:r>
      <w:r>
        <w:rPr>
          <w:rFonts w:hint="eastAsia"/>
          <w:color w:val="auto"/>
        </w:rPr>
        <w:t>-</w:t>
      </w:r>
      <w:r>
        <w:rPr>
          <w:color w:val="auto"/>
        </w:rPr>
        <w:t>4</w:t>
      </w:r>
      <w:r>
        <w:rPr>
          <w:rFonts w:hint="eastAsia"/>
          <w:color w:val="auto"/>
        </w:rPr>
        <w:t>。</w:t>
      </w:r>
    </w:p>
    <w:p>
      <w:pPr>
        <w:pStyle w:val="28"/>
        <w:ind w:firstLine="482" w:firstLineChars="200"/>
        <w:jc w:val="center"/>
        <w:rPr>
          <w:rFonts w:hint="default" w:ascii="Times New Roman" w:hAnsi="Times New Roman" w:eastAsia="仿宋_GB2312" w:cs="Times New Roman"/>
          <w:b/>
          <w:bCs/>
          <w:color w:val="auto"/>
          <w:sz w:val="24"/>
          <w:szCs w:val="24"/>
          <w:lang w:val="zh-CN"/>
        </w:rPr>
      </w:pPr>
      <w:r>
        <w:rPr>
          <w:rFonts w:hint="default" w:ascii="Times New Roman" w:hAnsi="Times New Roman" w:eastAsia="仿宋_GB2312" w:cs="Times New Roman"/>
          <w:b/>
          <w:bCs/>
          <w:color w:val="auto"/>
          <w:sz w:val="24"/>
          <w:szCs w:val="24"/>
          <w:lang w:val="zh-CN"/>
        </w:rPr>
        <w:t>表</w:t>
      </w:r>
      <w:r>
        <w:rPr>
          <w:rFonts w:hint="default" w:ascii="Times New Roman" w:hAnsi="Times New Roman" w:eastAsia="仿宋_GB2312" w:cs="Times New Roman"/>
          <w:b/>
          <w:bCs/>
          <w:color w:val="auto"/>
          <w:sz w:val="24"/>
          <w:szCs w:val="24"/>
        </w:rPr>
        <w:t>4-4履职效益</w:t>
      </w:r>
      <w:r>
        <w:rPr>
          <w:rFonts w:hint="default" w:ascii="Times New Roman" w:hAnsi="Times New Roman" w:eastAsia="仿宋_GB2312" w:cs="Times New Roman"/>
          <w:b/>
          <w:bCs/>
          <w:color w:val="auto"/>
          <w:sz w:val="24"/>
          <w:szCs w:val="24"/>
          <w:lang w:val="zh-CN"/>
        </w:rPr>
        <w:t>类指标得分情况表</w:t>
      </w:r>
    </w:p>
    <w:tbl>
      <w:tblPr>
        <w:tblStyle w:val="22"/>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0"/>
        <w:gridCol w:w="850"/>
        <w:gridCol w:w="1080"/>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trPr>
        <w:tc>
          <w:tcPr>
            <w:tcW w:w="4390" w:type="dxa"/>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指标名称</w:t>
            </w:r>
          </w:p>
        </w:tc>
        <w:tc>
          <w:tcPr>
            <w:tcW w:w="850" w:type="dxa"/>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权重分</w:t>
            </w:r>
          </w:p>
        </w:tc>
        <w:tc>
          <w:tcPr>
            <w:tcW w:w="1080" w:type="dxa"/>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指标得分</w:t>
            </w:r>
          </w:p>
        </w:tc>
        <w:tc>
          <w:tcPr>
            <w:tcW w:w="1897" w:type="dxa"/>
            <w:shd w:val="clear" w:color="000000" w:fill="BFBFBF"/>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D1社会效益</w:t>
            </w:r>
          </w:p>
        </w:tc>
        <w:tc>
          <w:tcPr>
            <w:tcW w:w="85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1</w:t>
            </w:r>
            <w:r>
              <w:rPr>
                <w:rFonts w:hint="eastAsia" w:ascii="Times New Roman" w:hAnsi="Times New Roman" w:eastAsia="仿宋_GB2312" w:cs="Times New Roman"/>
                <w:b/>
                <w:bCs/>
                <w:color w:val="auto"/>
                <w:kern w:val="0"/>
                <w:lang w:val="en-US" w:eastAsia="zh-CN"/>
              </w:rPr>
              <w:t>5</w:t>
            </w:r>
            <w:r>
              <w:rPr>
                <w:rFonts w:hint="default" w:ascii="Times New Roman" w:hAnsi="Times New Roman" w:eastAsia="仿宋_GB2312" w:cs="Times New Roman"/>
                <w:b/>
                <w:bCs/>
                <w:color w:val="auto"/>
                <w:kern w:val="0"/>
              </w:rPr>
              <w:t>.00</w:t>
            </w:r>
          </w:p>
        </w:tc>
        <w:tc>
          <w:tcPr>
            <w:tcW w:w="108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13.</w:t>
            </w:r>
            <w:r>
              <w:rPr>
                <w:rFonts w:hint="eastAsia" w:ascii="Times New Roman" w:hAnsi="Times New Roman" w:eastAsia="仿宋_GB2312" w:cs="Times New Roman"/>
                <w:b/>
                <w:bCs/>
                <w:color w:val="auto"/>
                <w:kern w:val="0"/>
                <w:lang w:val="en-US" w:eastAsia="zh-CN"/>
              </w:rPr>
              <w:t>5</w:t>
            </w:r>
            <w:r>
              <w:rPr>
                <w:rFonts w:hint="default" w:ascii="Times New Roman" w:hAnsi="Times New Roman" w:eastAsia="仿宋_GB2312" w:cs="Times New Roman"/>
                <w:b/>
                <w:bCs/>
                <w:color w:val="auto"/>
                <w:kern w:val="0"/>
              </w:rPr>
              <w:t>0</w:t>
            </w:r>
          </w:p>
        </w:tc>
        <w:tc>
          <w:tcPr>
            <w:tcW w:w="1897" w:type="dxa"/>
            <w:shd w:val="clear" w:color="auto" w:fill="auto"/>
            <w:vAlign w:val="center"/>
          </w:tcPr>
          <w:p>
            <w:pPr>
              <w:widowControl/>
              <w:jc w:val="center"/>
              <w:rPr>
                <w:rFonts w:hint="default" w:ascii="Times New Roman" w:hAnsi="Times New Roman" w:eastAsia="仿宋_GB2312" w:cs="Times New Roman"/>
                <w:b/>
                <w:bCs/>
                <w:color w:val="auto"/>
                <w:kern w:val="0"/>
              </w:rPr>
            </w:pPr>
            <w:r>
              <w:rPr>
                <w:rFonts w:hint="eastAsia" w:ascii="Times New Roman" w:hAnsi="Times New Roman" w:eastAsia="仿宋_GB2312" w:cs="Times New Roman"/>
                <w:b/>
                <w:bCs/>
                <w:color w:val="auto"/>
                <w:kern w:val="0"/>
                <w:lang w:val="en-US" w:eastAsia="zh-CN"/>
              </w:rPr>
              <w:t>90.00</w:t>
            </w:r>
            <w:r>
              <w:rPr>
                <w:rFonts w:hint="default" w:ascii="Times New Roman" w:hAnsi="Times New Roman" w:eastAsia="仿宋_GB2312" w:cs="Times New Roman"/>
                <w:b/>
                <w:bCs/>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color w:val="auto"/>
                <w:kern w:val="0"/>
              </w:rPr>
            </w:pPr>
            <w:r>
              <w:rPr>
                <w:rFonts w:hint="default" w:ascii="Times New Roman" w:hAnsi="Times New Roman" w:eastAsia="宋体" w:cs="Times New Roman"/>
                <w:i w:val="0"/>
                <w:iCs w:val="0"/>
                <w:color w:val="000000"/>
                <w:kern w:val="0"/>
                <w:sz w:val="21"/>
                <w:szCs w:val="21"/>
                <w:u w:val="none"/>
                <w:lang w:val="en-US" w:eastAsia="zh-CN" w:bidi="ar"/>
              </w:rPr>
              <w:t>D11</w:t>
            </w:r>
            <w:r>
              <w:rPr>
                <w:rFonts w:ascii="仿宋_GB2312" w:hAnsi="Times New Roman" w:eastAsia="仿宋_GB2312" w:cs="仿宋_GB2312"/>
                <w:i w:val="0"/>
                <w:iCs w:val="0"/>
                <w:color w:val="000000"/>
                <w:kern w:val="0"/>
                <w:sz w:val="21"/>
                <w:szCs w:val="21"/>
                <w:u w:val="none"/>
                <w:lang w:val="en-US" w:eastAsia="zh-CN" w:bidi="ar"/>
              </w:rPr>
              <w:t>培训学员考核通过率</w:t>
            </w:r>
          </w:p>
        </w:tc>
        <w:tc>
          <w:tcPr>
            <w:tcW w:w="850"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color w:val="auto"/>
                <w:kern w:val="0"/>
              </w:rPr>
            </w:pPr>
            <w:r>
              <w:rPr>
                <w:rFonts w:hint="default" w:ascii="Times New Roman" w:hAnsi="Times New Roman" w:eastAsia="宋体" w:cs="Times New Roman"/>
                <w:i w:val="0"/>
                <w:iCs w:val="0"/>
                <w:color w:val="000000"/>
                <w:kern w:val="0"/>
                <w:sz w:val="21"/>
                <w:szCs w:val="21"/>
                <w:u w:val="none"/>
                <w:lang w:val="en-US" w:eastAsia="zh-CN" w:bidi="ar"/>
              </w:rPr>
              <w:t>D12</w:t>
            </w:r>
            <w:r>
              <w:rPr>
                <w:rFonts w:ascii="仿宋_GB2312" w:hAnsi="Times New Roman" w:eastAsia="仿宋_GB2312" w:cs="仿宋_GB2312"/>
                <w:i w:val="0"/>
                <w:iCs w:val="0"/>
                <w:color w:val="000000"/>
                <w:kern w:val="0"/>
                <w:sz w:val="21"/>
                <w:szCs w:val="21"/>
                <w:u w:val="none"/>
                <w:lang w:val="en-US" w:eastAsia="zh-CN" w:bidi="ar"/>
              </w:rPr>
              <w:t>学员党性提升率</w:t>
            </w:r>
          </w:p>
        </w:tc>
        <w:tc>
          <w:tcPr>
            <w:tcW w:w="850"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both"/>
              <w:textAlignment w:val="center"/>
              <w:rPr>
                <w:rFonts w:hint="default" w:ascii="Times New Roman" w:hAnsi="Times New Roman" w:eastAsia="仿宋_GB2312" w:cs="Times New Roman"/>
                <w:color w:val="auto"/>
                <w:kern w:val="0"/>
              </w:rPr>
            </w:pPr>
            <w:r>
              <w:rPr>
                <w:rFonts w:hint="default" w:ascii="Times New Roman" w:hAnsi="Times New Roman" w:eastAsia="宋体" w:cs="Times New Roman"/>
                <w:i w:val="0"/>
                <w:iCs w:val="0"/>
                <w:color w:val="000000"/>
                <w:kern w:val="0"/>
                <w:sz w:val="21"/>
                <w:szCs w:val="21"/>
                <w:u w:val="none"/>
                <w:lang w:val="en-US" w:eastAsia="zh-CN" w:bidi="ar"/>
              </w:rPr>
              <w:t>D13</w:t>
            </w:r>
            <w:r>
              <w:rPr>
                <w:rFonts w:ascii="仿宋_GB2312" w:hAnsi="Times New Roman" w:eastAsia="仿宋_GB2312" w:cs="仿宋_GB2312"/>
                <w:i w:val="0"/>
                <w:iCs w:val="0"/>
                <w:color w:val="000000"/>
                <w:kern w:val="0"/>
                <w:sz w:val="21"/>
                <w:szCs w:val="21"/>
                <w:u w:val="none"/>
                <w:lang w:val="en-US" w:eastAsia="zh-CN" w:bidi="ar"/>
              </w:rPr>
              <w:t>重大教学及安全事故发生数</w:t>
            </w:r>
          </w:p>
        </w:tc>
        <w:tc>
          <w:tcPr>
            <w:tcW w:w="850"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b/>
                <w:bCs/>
                <w:color w:val="auto"/>
                <w:kern w:val="0"/>
              </w:rPr>
            </w:pPr>
            <w:r>
              <w:rPr>
                <w:rFonts w:hint="default" w:ascii="Times New Roman" w:hAnsi="Times New Roman" w:eastAsia="宋体" w:cs="Times New Roman"/>
                <w:i w:val="0"/>
                <w:iCs w:val="0"/>
                <w:color w:val="000000"/>
                <w:kern w:val="0"/>
                <w:sz w:val="21"/>
                <w:szCs w:val="21"/>
                <w:u w:val="none"/>
                <w:lang w:val="en-US" w:eastAsia="zh-CN" w:bidi="ar"/>
              </w:rPr>
              <w:t>D14</w:t>
            </w:r>
            <w:r>
              <w:rPr>
                <w:rFonts w:ascii="仿宋_GB2312" w:hAnsi="Times New Roman" w:eastAsia="仿宋_GB2312" w:cs="仿宋_GB2312"/>
                <w:i w:val="0"/>
                <w:iCs w:val="0"/>
                <w:color w:val="000000"/>
                <w:kern w:val="0"/>
                <w:sz w:val="21"/>
                <w:szCs w:val="21"/>
                <w:u w:val="none"/>
                <w:lang w:val="en-US" w:eastAsia="zh-CN" w:bidi="ar"/>
              </w:rPr>
              <w:t>科研课题获奖情况</w:t>
            </w:r>
          </w:p>
        </w:tc>
        <w:tc>
          <w:tcPr>
            <w:tcW w:w="850"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b w:val="0"/>
                <w:bCs w:val="0"/>
                <w:color w:val="auto"/>
                <w:kern w:val="0"/>
                <w:lang w:eastAsia="zh-CN"/>
              </w:rPr>
            </w:pPr>
            <w:r>
              <w:rPr>
                <w:rFonts w:hint="eastAsia" w:ascii="Times New Roman" w:hAnsi="Times New Roman" w:eastAsia="仿宋_GB2312" w:cs="Times New Roman"/>
                <w:b w:val="0"/>
                <w:bCs w:val="0"/>
                <w:color w:val="auto"/>
                <w:kern w:val="0"/>
                <w:lang w:val="en-US" w:eastAsia="zh-CN"/>
              </w:rPr>
              <w:t>1.5</w:t>
            </w:r>
            <w:r>
              <w:rPr>
                <w:rFonts w:hint="default" w:ascii="Times New Roman" w:hAnsi="Times New Roman" w:eastAsia="仿宋_GB2312" w:cs="Times New Roman"/>
                <w:b w:val="0"/>
                <w:bCs w:val="0"/>
                <w:color w:val="auto"/>
                <w:kern w:val="0"/>
              </w:rPr>
              <w:t>0</w:t>
            </w:r>
          </w:p>
        </w:tc>
        <w:tc>
          <w:tcPr>
            <w:tcW w:w="1897" w:type="dxa"/>
            <w:shd w:val="clear" w:color="auto" w:fill="auto"/>
            <w:vAlign w:val="center"/>
          </w:tcPr>
          <w:p>
            <w:pPr>
              <w:widowControl/>
              <w:jc w:val="center"/>
              <w:rPr>
                <w:rFonts w:hint="default" w:ascii="Times New Roman" w:hAnsi="Times New Roman" w:eastAsia="仿宋_GB2312" w:cs="Times New Roman"/>
                <w:b w:val="0"/>
                <w:bCs w:val="0"/>
                <w:color w:val="auto"/>
                <w:kern w:val="0"/>
              </w:rPr>
            </w:pPr>
            <w:r>
              <w:rPr>
                <w:rFonts w:hint="default" w:ascii="Times New Roman" w:hAnsi="Times New Roman" w:eastAsia="仿宋_GB2312" w:cs="Times New Roman"/>
                <w:b w:val="0"/>
                <w:bCs w:val="0"/>
                <w:color w:val="auto"/>
                <w:kern w:val="0"/>
              </w:rPr>
              <w:t>5</w:t>
            </w:r>
            <w:r>
              <w:rPr>
                <w:rFonts w:hint="eastAsia" w:ascii="Times New Roman" w:hAnsi="Times New Roman" w:eastAsia="仿宋_GB2312" w:cs="Times New Roman"/>
                <w:b w:val="0"/>
                <w:bCs w:val="0"/>
                <w:color w:val="auto"/>
                <w:kern w:val="0"/>
                <w:lang w:val="en-US" w:eastAsia="zh-CN"/>
              </w:rPr>
              <w:t>0.00</w:t>
            </w:r>
            <w:r>
              <w:rPr>
                <w:rFonts w:hint="default" w:ascii="Times New Roman" w:hAnsi="Times New Roman" w:eastAsia="仿宋_GB2312" w:cs="Times New Roman"/>
                <w:b w:val="0"/>
                <w:bCs w:val="0"/>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both"/>
              <w:textAlignment w:val="center"/>
              <w:rPr>
                <w:rFonts w:hint="default" w:ascii="Times New Roman" w:hAnsi="Times New Roman" w:eastAsia="仿宋_GB2312" w:cs="Times New Roman"/>
                <w:color w:val="auto"/>
                <w:kern w:val="0"/>
              </w:rPr>
            </w:pPr>
            <w:r>
              <w:rPr>
                <w:rFonts w:hint="default" w:ascii="Times New Roman" w:hAnsi="Times New Roman" w:eastAsia="宋体" w:cs="Times New Roman"/>
                <w:i w:val="0"/>
                <w:iCs w:val="0"/>
                <w:color w:val="000000"/>
                <w:kern w:val="0"/>
                <w:sz w:val="21"/>
                <w:szCs w:val="21"/>
                <w:u w:val="none"/>
                <w:lang w:val="en-US" w:eastAsia="zh-CN" w:bidi="ar"/>
              </w:rPr>
              <w:t>D15</w:t>
            </w:r>
            <w:r>
              <w:rPr>
                <w:rFonts w:ascii="仿宋_GB2312" w:hAnsi="Times New Roman" w:eastAsia="仿宋_GB2312" w:cs="仿宋_GB2312"/>
                <w:i w:val="0"/>
                <w:iCs w:val="0"/>
                <w:color w:val="000000"/>
                <w:kern w:val="0"/>
                <w:sz w:val="21"/>
                <w:szCs w:val="21"/>
                <w:u w:val="none"/>
                <w:lang w:val="en-US" w:eastAsia="zh-CN" w:bidi="ar"/>
              </w:rPr>
              <w:t>省、市级以上刊物论文发表情况</w:t>
            </w:r>
          </w:p>
        </w:tc>
        <w:tc>
          <w:tcPr>
            <w:tcW w:w="850"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D2可持续影响</w:t>
            </w:r>
          </w:p>
        </w:tc>
        <w:tc>
          <w:tcPr>
            <w:tcW w:w="85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7</w:t>
            </w:r>
            <w:r>
              <w:rPr>
                <w:rFonts w:hint="default" w:ascii="Times New Roman" w:hAnsi="Times New Roman" w:eastAsia="仿宋_GB2312" w:cs="Times New Roman"/>
                <w:b/>
                <w:bCs/>
                <w:color w:val="auto"/>
                <w:kern w:val="0"/>
              </w:rPr>
              <w:t>.00</w:t>
            </w:r>
          </w:p>
        </w:tc>
        <w:tc>
          <w:tcPr>
            <w:tcW w:w="108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6.</w:t>
            </w:r>
            <w:r>
              <w:rPr>
                <w:rFonts w:hint="eastAsia" w:ascii="Times New Roman" w:hAnsi="Times New Roman" w:eastAsia="仿宋_GB2312" w:cs="Times New Roman"/>
                <w:b/>
                <w:bCs/>
                <w:color w:val="auto"/>
                <w:kern w:val="0"/>
                <w:lang w:val="en-US" w:eastAsia="zh-CN"/>
              </w:rPr>
              <w:t>25</w:t>
            </w:r>
          </w:p>
        </w:tc>
        <w:tc>
          <w:tcPr>
            <w:tcW w:w="1897" w:type="dxa"/>
            <w:shd w:val="clear" w:color="auto" w:fill="auto"/>
            <w:vAlign w:val="center"/>
          </w:tcPr>
          <w:p>
            <w:pPr>
              <w:widowControl/>
              <w:jc w:val="center"/>
              <w:rPr>
                <w:rFonts w:hint="default" w:ascii="Times New Roman" w:hAnsi="Times New Roman" w:eastAsia="仿宋_GB2312" w:cs="Times New Roman"/>
                <w:b/>
                <w:bCs/>
                <w:color w:val="auto"/>
                <w:kern w:val="0"/>
              </w:rPr>
            </w:pPr>
            <w:r>
              <w:rPr>
                <w:rFonts w:hint="eastAsia" w:ascii="Times New Roman" w:hAnsi="Times New Roman" w:eastAsia="仿宋_GB2312" w:cs="Times New Roman"/>
                <w:b/>
                <w:bCs/>
                <w:color w:val="auto"/>
                <w:kern w:val="0"/>
                <w:lang w:val="en-US" w:eastAsia="zh-CN"/>
              </w:rPr>
              <w:t>89.29</w:t>
            </w:r>
            <w:r>
              <w:rPr>
                <w:rFonts w:hint="default" w:ascii="Times New Roman" w:hAnsi="Times New Roman" w:eastAsia="仿宋_GB2312" w:cs="Times New Roman"/>
                <w:b/>
                <w:bCs/>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color w:val="auto"/>
                <w:kern w:val="0"/>
              </w:rPr>
            </w:pPr>
            <w:r>
              <w:rPr>
                <w:rFonts w:hint="default" w:ascii="Times New Roman" w:hAnsi="Times New Roman" w:eastAsia="宋体" w:cs="Times New Roman"/>
                <w:i w:val="0"/>
                <w:iCs w:val="0"/>
                <w:color w:val="000000"/>
                <w:kern w:val="0"/>
                <w:sz w:val="21"/>
                <w:szCs w:val="21"/>
                <w:u w:val="none"/>
                <w:lang w:val="en-US" w:eastAsia="zh-CN" w:bidi="ar"/>
              </w:rPr>
              <w:t>D21</w:t>
            </w:r>
            <w:r>
              <w:rPr>
                <w:rFonts w:ascii="仿宋_GB2312" w:hAnsi="Times New Roman" w:eastAsia="仿宋_GB2312" w:cs="仿宋_GB2312"/>
                <w:i w:val="0"/>
                <w:iCs w:val="0"/>
                <w:color w:val="000000"/>
                <w:kern w:val="0"/>
                <w:sz w:val="21"/>
                <w:szCs w:val="21"/>
                <w:u w:val="none"/>
                <w:lang w:val="en-US" w:eastAsia="zh-CN" w:bidi="ar"/>
              </w:rPr>
              <w:t>档案管理完备性</w:t>
            </w:r>
          </w:p>
        </w:tc>
        <w:tc>
          <w:tcPr>
            <w:tcW w:w="850"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w:t>
            </w:r>
            <w:r>
              <w:rPr>
                <w:rFonts w:hint="eastAsia" w:ascii="Times New Roman" w:hAnsi="Times New Roman" w:eastAsia="仿宋_GB2312" w:cs="Times New Roman"/>
                <w:color w:val="auto"/>
                <w:kern w:val="0"/>
                <w:lang w:val="en-US" w:eastAsia="zh-CN"/>
              </w:rPr>
              <w:t>25</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eastAsia" w:ascii="Times New Roman" w:hAnsi="Times New Roman" w:eastAsia="仿宋_GB2312" w:cs="Times New Roman"/>
                <w:color w:val="auto"/>
                <w:kern w:val="0"/>
                <w:lang w:val="en-US" w:eastAsia="zh-CN"/>
              </w:rPr>
              <w:t>75</w:t>
            </w:r>
            <w:r>
              <w:rPr>
                <w:rFonts w:hint="default" w:ascii="Times New Roman" w:hAnsi="Times New Roman" w:eastAsia="仿宋_GB2312" w:cs="Times New Roman"/>
                <w:color w:val="auto"/>
                <w:kern w:val="0"/>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both"/>
              <w:textAlignment w:val="center"/>
              <w:rPr>
                <w:rFonts w:hint="default" w:ascii="Times New Roman" w:hAnsi="Times New Roman" w:eastAsia="仿宋_GB2312" w:cs="Times New Roman"/>
                <w:color w:val="auto"/>
                <w:kern w:val="0"/>
              </w:rPr>
            </w:pPr>
            <w:r>
              <w:rPr>
                <w:rFonts w:hint="default" w:ascii="Times New Roman" w:hAnsi="Times New Roman" w:eastAsia="宋体" w:cs="Times New Roman"/>
                <w:i w:val="0"/>
                <w:iCs w:val="0"/>
                <w:color w:val="000000"/>
                <w:kern w:val="0"/>
                <w:sz w:val="21"/>
                <w:szCs w:val="21"/>
                <w:u w:val="none"/>
                <w:lang w:val="en-US" w:eastAsia="zh-CN" w:bidi="ar"/>
              </w:rPr>
              <w:t>D22</w:t>
            </w:r>
            <w:r>
              <w:rPr>
                <w:rFonts w:ascii="仿宋_GB2312" w:hAnsi="Times New Roman" w:eastAsia="仿宋_GB2312" w:cs="仿宋_GB2312"/>
                <w:i w:val="0"/>
                <w:iCs w:val="0"/>
                <w:color w:val="000000"/>
                <w:kern w:val="0"/>
                <w:sz w:val="21"/>
                <w:szCs w:val="21"/>
                <w:u w:val="none"/>
                <w:lang w:val="en-US" w:eastAsia="zh-CN" w:bidi="ar"/>
              </w:rPr>
              <w:t>信息化建设情况</w:t>
            </w:r>
          </w:p>
        </w:tc>
        <w:tc>
          <w:tcPr>
            <w:tcW w:w="850"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color w:val="auto"/>
                <w:kern w:val="0"/>
              </w:rPr>
            </w:pPr>
            <w:r>
              <w:rPr>
                <w:rFonts w:hint="default" w:ascii="Times New Roman" w:hAnsi="Times New Roman" w:eastAsia="宋体" w:cs="Times New Roman"/>
                <w:i w:val="0"/>
                <w:iCs w:val="0"/>
                <w:color w:val="000000"/>
                <w:kern w:val="0"/>
                <w:sz w:val="21"/>
                <w:szCs w:val="21"/>
                <w:u w:val="none"/>
                <w:lang w:val="en-US" w:eastAsia="zh-CN" w:bidi="ar"/>
              </w:rPr>
              <w:t>D23</w:t>
            </w:r>
            <w:r>
              <w:rPr>
                <w:rFonts w:ascii="仿宋_GB2312" w:hAnsi="Times New Roman" w:eastAsia="仿宋_GB2312" w:cs="仿宋_GB2312"/>
                <w:i w:val="0"/>
                <w:iCs w:val="0"/>
                <w:color w:val="000000"/>
                <w:kern w:val="0"/>
                <w:sz w:val="21"/>
                <w:szCs w:val="21"/>
                <w:u w:val="none"/>
                <w:lang w:val="en-US" w:eastAsia="zh-CN" w:bidi="ar"/>
              </w:rPr>
              <w:t>基础设施建设完备性</w:t>
            </w:r>
          </w:p>
        </w:tc>
        <w:tc>
          <w:tcPr>
            <w:tcW w:w="850"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color w:val="auto"/>
                <w:kern w:val="0"/>
                <w:lang w:val="en-US"/>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Times New Roman" w:hAnsi="Times New Roman" w:eastAsia="宋体" w:cs="Times New Roman"/>
                <w:i w:val="0"/>
                <w:iCs w:val="0"/>
                <w:color w:val="000000"/>
                <w:kern w:val="0"/>
                <w:sz w:val="21"/>
                <w:szCs w:val="21"/>
                <w:u w:val="none"/>
                <w:lang w:val="en-US" w:eastAsia="zh-CN" w:bidi="ar"/>
              </w:rPr>
              <w:t>.00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D3服务对象满意度</w:t>
            </w:r>
          </w:p>
        </w:tc>
        <w:tc>
          <w:tcPr>
            <w:tcW w:w="85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6.00</w:t>
            </w:r>
          </w:p>
        </w:tc>
        <w:tc>
          <w:tcPr>
            <w:tcW w:w="108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6.00</w:t>
            </w:r>
          </w:p>
        </w:tc>
        <w:tc>
          <w:tcPr>
            <w:tcW w:w="1897" w:type="dxa"/>
            <w:shd w:val="clear" w:color="auto" w:fill="auto"/>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D31学员满意度</w:t>
            </w:r>
          </w:p>
        </w:tc>
        <w:tc>
          <w:tcPr>
            <w:tcW w:w="850" w:type="dxa"/>
            <w:shd w:val="clear" w:color="auto" w:fill="auto"/>
            <w:noWrap/>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D32工作人员满意度</w:t>
            </w:r>
          </w:p>
        </w:tc>
        <w:tc>
          <w:tcPr>
            <w:tcW w:w="850" w:type="dxa"/>
            <w:shd w:val="clear" w:color="auto" w:fill="auto"/>
            <w:noWrap/>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3.00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widowControl/>
              <w:jc w:val="left"/>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D4社会影响</w:t>
            </w:r>
          </w:p>
        </w:tc>
        <w:tc>
          <w:tcPr>
            <w:tcW w:w="85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4</w:t>
            </w:r>
            <w:r>
              <w:rPr>
                <w:rFonts w:hint="default" w:ascii="Times New Roman" w:hAnsi="Times New Roman" w:eastAsia="仿宋_GB2312" w:cs="Times New Roman"/>
                <w:b/>
                <w:bCs/>
                <w:color w:val="auto"/>
                <w:kern w:val="0"/>
              </w:rPr>
              <w:t>.00</w:t>
            </w:r>
          </w:p>
        </w:tc>
        <w:tc>
          <w:tcPr>
            <w:tcW w:w="108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eastAsia" w:ascii="Times New Roman" w:hAnsi="Times New Roman" w:eastAsia="仿宋_GB2312" w:cs="Times New Roman"/>
                <w:b/>
                <w:bCs/>
                <w:color w:val="auto"/>
                <w:kern w:val="0"/>
                <w:lang w:val="en-US" w:eastAsia="zh-CN"/>
              </w:rPr>
              <w:t>4</w:t>
            </w:r>
            <w:r>
              <w:rPr>
                <w:rFonts w:hint="default" w:ascii="Times New Roman" w:hAnsi="Times New Roman" w:eastAsia="仿宋_GB2312" w:cs="Times New Roman"/>
                <w:b/>
                <w:bCs/>
                <w:color w:val="auto"/>
                <w:kern w:val="0"/>
              </w:rPr>
              <w:t>.00</w:t>
            </w:r>
          </w:p>
        </w:tc>
        <w:tc>
          <w:tcPr>
            <w:tcW w:w="1897" w:type="dxa"/>
            <w:shd w:val="clear" w:color="auto" w:fill="auto"/>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90" w:type="dxa"/>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D41获奖情况</w:t>
            </w:r>
          </w:p>
        </w:tc>
        <w:tc>
          <w:tcPr>
            <w:tcW w:w="850" w:type="dxa"/>
            <w:shd w:val="clear" w:color="auto" w:fill="auto"/>
            <w:noWrap/>
            <w:vAlign w:val="center"/>
          </w:tcPr>
          <w:p>
            <w:pPr>
              <w:widowControl/>
              <w:jc w:val="center"/>
              <w:rPr>
                <w:rFonts w:hint="default" w:ascii="Times New Roman" w:hAnsi="Times New Roman" w:eastAsia="仿宋_GB2312" w:cs="Times New Roman"/>
                <w:color w:val="auto"/>
                <w:kern w:val="0"/>
                <w:lang w:val="en-US" w:eastAsia="zh-CN"/>
              </w:rPr>
            </w:pPr>
            <w:r>
              <w:rPr>
                <w:rFonts w:hint="eastAsia" w:ascii="Times New Roman" w:hAnsi="Times New Roman" w:eastAsia="仿宋_GB2312" w:cs="Times New Roman"/>
                <w:color w:val="auto"/>
                <w:kern w:val="0"/>
                <w:lang w:val="en-US" w:eastAsia="zh-CN"/>
              </w:rPr>
              <w:t>2.00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default" w:ascii="Times New Roman" w:hAnsi="Times New Roman" w:eastAsia="仿宋_GB2312" w:cs="Times New Roman"/>
                <w:color w:val="auto"/>
                <w:kern w:val="0"/>
              </w:rPr>
              <w:t>2.00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390" w:type="dxa"/>
            <w:shd w:val="clear" w:color="auto" w:fill="auto"/>
            <w:vAlign w:val="center"/>
          </w:tcPr>
          <w:p>
            <w:pPr>
              <w:widowControl/>
              <w:ind w:firstLine="210" w:firstLineChars="100"/>
              <w:jc w:val="left"/>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D42违法违纪情况</w:t>
            </w:r>
          </w:p>
        </w:tc>
        <w:tc>
          <w:tcPr>
            <w:tcW w:w="850" w:type="dxa"/>
            <w:shd w:val="clear" w:color="auto" w:fill="auto"/>
            <w:noWrap/>
            <w:vAlign w:val="center"/>
          </w:tcPr>
          <w:p>
            <w:pPr>
              <w:widowControl/>
              <w:jc w:val="center"/>
              <w:rPr>
                <w:rFonts w:hint="default" w:ascii="Times New Roman" w:hAnsi="Times New Roman" w:eastAsia="仿宋_GB2312" w:cs="Times New Roman"/>
                <w:color w:val="auto"/>
                <w:kern w:val="0"/>
                <w:lang w:val="en-US" w:eastAsia="zh-CN"/>
              </w:rPr>
            </w:pPr>
            <w:r>
              <w:rPr>
                <w:rFonts w:hint="eastAsia" w:ascii="Times New Roman" w:hAnsi="Times New Roman" w:eastAsia="仿宋_GB2312" w:cs="Times New Roman"/>
                <w:color w:val="auto"/>
                <w:kern w:val="0"/>
                <w:lang w:val="en-US" w:eastAsia="zh-CN"/>
              </w:rPr>
              <w:t>2.00</w:t>
            </w:r>
          </w:p>
        </w:tc>
        <w:tc>
          <w:tcPr>
            <w:tcW w:w="1080" w:type="dxa"/>
            <w:shd w:val="clear" w:color="auto" w:fill="auto"/>
            <w:vAlign w:val="center"/>
          </w:tcPr>
          <w:p>
            <w:pPr>
              <w:widowControl/>
              <w:jc w:val="center"/>
              <w:rPr>
                <w:rFonts w:hint="eastAsia" w:ascii="Times New Roman" w:hAnsi="Times New Roman" w:eastAsia="仿宋_GB2312" w:cs="Times New Roman"/>
                <w:color w:val="auto"/>
                <w:kern w:val="0"/>
                <w:lang w:eastAsia="zh-CN"/>
              </w:rPr>
            </w:pPr>
            <w:r>
              <w:rPr>
                <w:rFonts w:hint="eastAsia" w:ascii="Times New Roman" w:hAnsi="Times New Roman" w:eastAsia="仿宋_GB2312" w:cs="Times New Roman"/>
                <w:color w:val="auto"/>
                <w:kern w:val="0"/>
                <w:lang w:val="en-US" w:eastAsia="zh-CN"/>
              </w:rPr>
              <w:t>2</w:t>
            </w:r>
            <w:r>
              <w:rPr>
                <w:rFonts w:hint="default" w:ascii="Times New Roman" w:hAnsi="Times New Roman" w:eastAsia="仿宋_GB2312" w:cs="Times New Roman"/>
                <w:color w:val="auto"/>
                <w:kern w:val="0"/>
              </w:rPr>
              <w:t>.00</w:t>
            </w:r>
          </w:p>
        </w:tc>
        <w:tc>
          <w:tcPr>
            <w:tcW w:w="1897" w:type="dxa"/>
            <w:shd w:val="clear" w:color="auto" w:fill="auto"/>
            <w:vAlign w:val="center"/>
          </w:tcPr>
          <w:p>
            <w:pPr>
              <w:widowControl/>
              <w:jc w:val="center"/>
              <w:rPr>
                <w:rFonts w:hint="default" w:ascii="Times New Roman" w:hAnsi="Times New Roman" w:eastAsia="仿宋_GB2312" w:cs="Times New Roman"/>
                <w:color w:val="auto"/>
                <w:kern w:val="0"/>
              </w:rPr>
            </w:pPr>
            <w:r>
              <w:rPr>
                <w:rFonts w:hint="default" w:ascii="Times New Roman" w:hAnsi="Times New Roman" w:eastAsia="仿宋_GB2312" w:cs="Times New Roman"/>
                <w:color w:val="auto"/>
                <w:kern w:val="0"/>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0" w:type="dxa"/>
            <w:shd w:val="clear" w:color="auto" w:fill="auto"/>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color w:val="auto"/>
                <w:kern w:val="0"/>
              </w:rPr>
              <w:t>合计</w:t>
            </w:r>
          </w:p>
        </w:tc>
        <w:tc>
          <w:tcPr>
            <w:tcW w:w="85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30.00</w:t>
            </w:r>
          </w:p>
        </w:tc>
        <w:tc>
          <w:tcPr>
            <w:tcW w:w="1080" w:type="dxa"/>
            <w:shd w:val="clear" w:color="auto" w:fill="auto"/>
            <w:vAlign w:val="center"/>
          </w:tcPr>
          <w:p>
            <w:pPr>
              <w:widowControl/>
              <w:jc w:val="center"/>
              <w:rPr>
                <w:rFonts w:hint="eastAsia" w:ascii="Times New Roman" w:hAnsi="Times New Roman" w:eastAsia="仿宋_GB2312" w:cs="Times New Roman"/>
                <w:b/>
                <w:bCs/>
                <w:color w:val="auto"/>
                <w:kern w:val="0"/>
                <w:lang w:eastAsia="zh-CN"/>
              </w:rPr>
            </w:pPr>
            <w:r>
              <w:rPr>
                <w:rFonts w:hint="default" w:ascii="Times New Roman" w:hAnsi="Times New Roman" w:eastAsia="仿宋_GB2312" w:cs="Times New Roman"/>
                <w:b/>
                <w:bCs/>
                <w:color w:val="auto"/>
                <w:kern w:val="0"/>
              </w:rPr>
              <w:t>2</w:t>
            </w:r>
            <w:r>
              <w:rPr>
                <w:rFonts w:hint="eastAsia" w:ascii="Times New Roman" w:hAnsi="Times New Roman" w:eastAsia="仿宋_GB2312" w:cs="Times New Roman"/>
                <w:b/>
                <w:bCs/>
                <w:color w:val="auto"/>
                <w:kern w:val="0"/>
                <w:lang w:val="en-US" w:eastAsia="zh-CN"/>
              </w:rPr>
              <w:t>9.75</w:t>
            </w:r>
          </w:p>
        </w:tc>
        <w:tc>
          <w:tcPr>
            <w:tcW w:w="1897" w:type="dxa"/>
            <w:shd w:val="clear" w:color="auto" w:fill="auto"/>
            <w:vAlign w:val="center"/>
          </w:tcPr>
          <w:p>
            <w:pPr>
              <w:widowControl/>
              <w:jc w:val="center"/>
              <w:rPr>
                <w:rFonts w:hint="default" w:ascii="Times New Roman" w:hAnsi="Times New Roman" w:eastAsia="仿宋_GB2312" w:cs="Times New Roman"/>
                <w:b/>
                <w:bCs/>
                <w:color w:val="auto"/>
                <w:kern w:val="0"/>
              </w:rPr>
            </w:pPr>
            <w:r>
              <w:rPr>
                <w:rFonts w:hint="default" w:ascii="Times New Roman" w:hAnsi="Times New Roman" w:eastAsia="仿宋_GB2312" w:cs="Times New Roman"/>
                <w:b/>
                <w:bCs/>
                <w:color w:val="auto"/>
                <w:kern w:val="0"/>
              </w:rPr>
              <w:t>9</w:t>
            </w:r>
            <w:r>
              <w:rPr>
                <w:rFonts w:hint="eastAsia" w:ascii="Times New Roman" w:hAnsi="Times New Roman" w:eastAsia="仿宋_GB2312" w:cs="Times New Roman"/>
                <w:b/>
                <w:bCs/>
                <w:color w:val="auto"/>
                <w:kern w:val="0"/>
                <w:lang w:val="en-US" w:eastAsia="zh-CN"/>
              </w:rPr>
              <w:t>2.97</w:t>
            </w:r>
            <w:r>
              <w:rPr>
                <w:rFonts w:hint="default" w:ascii="Times New Roman" w:hAnsi="Times New Roman" w:eastAsia="仿宋_GB2312" w:cs="Times New Roman"/>
                <w:b/>
                <w:bCs/>
                <w:color w:val="auto"/>
                <w:kern w:val="0"/>
              </w:rPr>
              <w:t>%</w:t>
            </w:r>
          </w:p>
        </w:tc>
      </w:tr>
    </w:tbl>
    <w:p>
      <w:pPr>
        <w:pStyle w:val="7"/>
        <w:ind w:firstLine="643"/>
        <w:rPr>
          <w:rFonts w:hint="eastAsia" w:eastAsia="仿宋"/>
          <w:color w:val="auto"/>
          <w:lang w:val="en-US" w:eastAsia="zh-CN"/>
        </w:rPr>
      </w:pPr>
      <w:r>
        <w:rPr>
          <w:b/>
          <w:color w:val="auto"/>
        </w:rPr>
        <w:t>D1社会效益</w:t>
      </w:r>
      <w:r>
        <w:rPr>
          <w:rFonts w:hint="eastAsia"/>
          <w:b/>
          <w:color w:val="auto"/>
        </w:rPr>
        <w:t>指标。在教学培训方面</w:t>
      </w:r>
      <w:r>
        <w:rPr>
          <w:rFonts w:hint="eastAsia"/>
          <w:color w:val="auto"/>
        </w:rPr>
        <w:t>，中共</w:t>
      </w:r>
      <w:r>
        <w:rPr>
          <w:rFonts w:hint="eastAsia"/>
          <w:color w:val="auto"/>
          <w:lang w:eastAsia="zh-CN"/>
        </w:rPr>
        <w:t>淮滨</w:t>
      </w:r>
      <w:r>
        <w:rPr>
          <w:rFonts w:hint="eastAsia"/>
          <w:color w:val="auto"/>
        </w:rPr>
        <w:t>县委党校</w:t>
      </w:r>
      <w:r>
        <w:rPr>
          <w:color w:val="auto"/>
        </w:rPr>
        <w:t>2020年度教学培训</w:t>
      </w:r>
      <w:r>
        <w:rPr>
          <w:rFonts w:hint="eastAsia"/>
          <w:color w:val="auto"/>
        </w:rPr>
        <w:t>学员</w:t>
      </w:r>
      <w:r>
        <w:rPr>
          <w:rFonts w:hint="eastAsia"/>
          <w:color w:val="auto"/>
          <w:lang w:val="en-US" w:eastAsia="zh-CN"/>
        </w:rPr>
        <w:t>2951</w:t>
      </w:r>
      <w:r>
        <w:rPr>
          <w:rFonts w:hint="eastAsia"/>
          <w:color w:val="auto"/>
        </w:rPr>
        <w:t>人，通过</w:t>
      </w:r>
      <w:r>
        <w:rPr>
          <w:color w:val="auto"/>
        </w:rPr>
        <w:t>考核</w:t>
      </w:r>
      <w:r>
        <w:rPr>
          <w:rFonts w:hint="eastAsia"/>
          <w:color w:val="auto"/>
          <w:lang w:val="en-US" w:eastAsia="zh-CN"/>
        </w:rPr>
        <w:t>2951</w:t>
      </w:r>
      <w:r>
        <w:rPr>
          <w:rFonts w:hint="eastAsia"/>
          <w:color w:val="auto"/>
        </w:rPr>
        <w:t>人，对学员党性锻炼及提高起到积极作用，未发生重大教学或安全事故。</w:t>
      </w:r>
      <w:r>
        <w:rPr>
          <w:rFonts w:hint="eastAsia"/>
          <w:b/>
          <w:color w:val="auto"/>
        </w:rPr>
        <w:t>在科学研究方面</w:t>
      </w:r>
      <w:r>
        <w:rPr>
          <w:rFonts w:hint="eastAsia"/>
          <w:color w:val="auto"/>
        </w:rPr>
        <w:t>，2020淮滨区党校科研课题获奖数量3个</w:t>
      </w:r>
      <w:r>
        <w:rPr>
          <w:rFonts w:hint="eastAsia"/>
          <w:color w:val="auto"/>
          <w:lang w:eastAsia="zh-CN"/>
        </w:rPr>
        <w:t>。</w:t>
      </w:r>
    </w:p>
    <w:p>
      <w:pPr>
        <w:pStyle w:val="7"/>
        <w:ind w:firstLine="643"/>
        <w:rPr>
          <w:color w:val="auto"/>
        </w:rPr>
      </w:pPr>
      <w:r>
        <w:rPr>
          <w:b/>
          <w:color w:val="auto"/>
        </w:rPr>
        <w:t>D2可持续影响</w:t>
      </w:r>
      <w:r>
        <w:rPr>
          <w:rFonts w:hint="eastAsia"/>
          <w:b/>
          <w:color w:val="auto"/>
        </w:rPr>
        <w:t>指标。</w:t>
      </w:r>
      <w:r>
        <w:rPr>
          <w:rFonts w:hint="eastAsia"/>
          <w:color w:val="auto"/>
        </w:rPr>
        <w:t>人事档案、工程项目档案、学员档案等资料详实，</w:t>
      </w:r>
      <w:r>
        <w:rPr>
          <w:rFonts w:hint="eastAsia"/>
          <w:color w:val="auto"/>
          <w:lang w:val="en-US" w:eastAsia="zh-CN"/>
        </w:rPr>
        <w:t>但</w:t>
      </w:r>
      <w:r>
        <w:rPr>
          <w:rFonts w:hint="eastAsia"/>
          <w:color w:val="auto"/>
        </w:rPr>
        <w:t>业务档案装订</w:t>
      </w:r>
      <w:r>
        <w:rPr>
          <w:rFonts w:hint="eastAsia"/>
          <w:color w:val="auto"/>
          <w:lang w:val="en-US" w:eastAsia="zh-CN"/>
        </w:rPr>
        <w:t>不</w:t>
      </w:r>
      <w:r>
        <w:rPr>
          <w:rFonts w:hint="eastAsia"/>
          <w:color w:val="auto"/>
        </w:rPr>
        <w:t>整齐，</w:t>
      </w:r>
      <w:r>
        <w:rPr>
          <w:rFonts w:hint="eastAsia"/>
          <w:color w:val="auto"/>
          <w:lang w:val="en-US" w:eastAsia="zh-CN"/>
        </w:rPr>
        <w:t>未</w:t>
      </w:r>
      <w:r>
        <w:rPr>
          <w:rFonts w:hint="eastAsia"/>
          <w:color w:val="auto"/>
        </w:rPr>
        <w:t>配有目录。教学、科研等工作均可通过信息化平台实现，疫情期间通过远程网络授课、视频课件等多种方式进行党员培训。基础设施定期进行维护保养改造，能够发挥有效作用，满足工作开展要求；无闲置设施。</w:t>
      </w:r>
    </w:p>
    <w:p>
      <w:pPr>
        <w:pStyle w:val="7"/>
        <w:ind w:firstLine="643"/>
        <w:rPr>
          <w:color w:val="auto"/>
        </w:rPr>
      </w:pPr>
      <w:r>
        <w:rPr>
          <w:b/>
          <w:color w:val="auto"/>
        </w:rPr>
        <w:t>D3服务对象满意度</w:t>
      </w:r>
      <w:r>
        <w:rPr>
          <w:rFonts w:hint="eastAsia"/>
          <w:b/>
          <w:color w:val="auto"/>
        </w:rPr>
        <w:t>指标。</w:t>
      </w:r>
      <w:r>
        <w:rPr>
          <w:rFonts w:hint="eastAsia"/>
          <w:color w:val="auto"/>
        </w:rPr>
        <w:t>学员对党校教学、服务等的综合满意度高达95.56%，对于授课内容、授课方式、课程安排、教学督导等方面，都较为满意；工作人员对后勤管理服务以及工作人员对人员配置和分工合理程度的满意度高达</w:t>
      </w:r>
      <w:r>
        <w:rPr>
          <w:color w:val="auto"/>
        </w:rPr>
        <w:t>99.29</w:t>
      </w:r>
      <w:r>
        <w:rPr>
          <w:rFonts w:hint="eastAsia"/>
          <w:color w:val="auto"/>
        </w:rPr>
        <w:t>%。</w:t>
      </w:r>
    </w:p>
    <w:p>
      <w:pPr>
        <w:pStyle w:val="7"/>
        <w:ind w:firstLine="643"/>
        <w:rPr>
          <w:rFonts w:hint="eastAsia" w:eastAsia="仿宋"/>
          <w:color w:val="auto"/>
          <w:lang w:eastAsia="zh-CN"/>
        </w:rPr>
      </w:pPr>
      <w:r>
        <w:rPr>
          <w:b/>
          <w:color w:val="auto"/>
        </w:rPr>
        <w:t>D4社会影响</w:t>
      </w:r>
      <w:r>
        <w:rPr>
          <w:rFonts w:hint="eastAsia"/>
          <w:b/>
          <w:color w:val="auto"/>
        </w:rPr>
        <w:t>指标。</w:t>
      </w:r>
      <w:r>
        <w:rPr>
          <w:rFonts w:hint="eastAsia"/>
          <w:color w:val="auto"/>
        </w:rPr>
        <w:t>淮滨区党校获信阳市社会科学优秀成果一等奖2项，河南省党校系统研成果二等奖1项</w:t>
      </w:r>
      <w:r>
        <w:rPr>
          <w:rFonts w:hint="eastAsia"/>
          <w:color w:val="auto"/>
          <w:lang w:eastAsia="zh-CN"/>
        </w:rPr>
        <w:t>。</w:t>
      </w:r>
    </w:p>
    <w:p>
      <w:pPr>
        <w:pStyle w:val="4"/>
        <w:numPr>
          <w:ilvl w:val="0"/>
          <w:numId w:val="4"/>
        </w:numPr>
        <w:tabs>
          <w:tab w:val="left" w:pos="312"/>
        </w:tabs>
        <w:ind w:firstLine="640" w:firstLineChars="200"/>
        <w:rPr>
          <w:rFonts w:hint="eastAsia"/>
          <w:color w:val="auto"/>
          <w:lang w:val="en-US" w:eastAsia="zh-CN"/>
        </w:rPr>
      </w:pPr>
      <w:bookmarkStart w:id="52" w:name="_Toc15205"/>
      <w:bookmarkStart w:id="53" w:name="_Toc21974"/>
      <w:r>
        <w:rPr>
          <w:rFonts w:hint="eastAsia"/>
          <w:color w:val="auto"/>
          <w:lang w:val="en-US" w:eastAsia="zh-CN"/>
        </w:rPr>
        <w:t>主要成绩和经验做法</w:t>
      </w:r>
      <w:bookmarkEnd w:id="52"/>
    </w:p>
    <w:p>
      <w:pPr>
        <w:pStyle w:val="5"/>
        <w:numPr>
          <w:numId w:val="0"/>
        </w:numPr>
        <w:bidi w:val="0"/>
        <w:ind w:firstLine="643" w:firstLineChars="200"/>
        <w:rPr>
          <w:rFonts w:hint="default"/>
          <w:color w:val="auto"/>
          <w:lang w:val="en-US" w:eastAsia="zh-CN"/>
        </w:rPr>
      </w:pPr>
      <w:bookmarkStart w:id="54" w:name="_Toc31914"/>
      <w:r>
        <w:rPr>
          <w:rFonts w:hint="eastAsia"/>
          <w:color w:val="auto"/>
          <w:lang w:val="en-US" w:eastAsia="zh-CN"/>
        </w:rPr>
        <w:t>（一）</w:t>
      </w:r>
      <w:r>
        <w:rPr>
          <w:rFonts w:hint="default"/>
          <w:color w:val="auto"/>
          <w:lang w:val="en-US" w:eastAsia="zh-CN"/>
        </w:rPr>
        <w:t>高度重视政治理论学习，做政治理论学习的表率</w:t>
      </w:r>
      <w:bookmarkEnd w:id="54"/>
    </w:p>
    <w:p>
      <w:pPr>
        <w:pStyle w:val="7"/>
        <w:bidi w:val="0"/>
        <w:rPr>
          <w:rFonts w:hint="default"/>
          <w:color w:val="auto"/>
          <w:lang w:val="en-US" w:eastAsia="zh-CN"/>
        </w:rPr>
      </w:pPr>
      <w:r>
        <w:rPr>
          <w:rFonts w:hint="default"/>
          <w:color w:val="auto"/>
          <w:lang w:val="en-US" w:eastAsia="zh-CN"/>
        </w:rPr>
        <w:t>坚持先学一步、学深一层。一是</w:t>
      </w:r>
      <w:r>
        <w:rPr>
          <w:rFonts w:hint="eastAsia"/>
          <w:color w:val="auto"/>
          <w:lang w:val="en-US" w:eastAsia="zh-CN"/>
        </w:rPr>
        <w:t>组织</w:t>
      </w:r>
      <w:r>
        <w:rPr>
          <w:rFonts w:hint="default"/>
          <w:color w:val="auto"/>
          <w:lang w:val="en-US" w:eastAsia="zh-CN"/>
        </w:rPr>
        <w:t>每周按时集中学习。把每周二定为集中学习日，学习党的十九届四中、五中全会精神，学习习近平总书记系列重要讲话，特别是《习近平谈治国理政第三卷》和考察调研河南深入信阳革命老区的重要讲话精神</w:t>
      </w:r>
      <w:r>
        <w:rPr>
          <w:rFonts w:hint="eastAsia"/>
          <w:color w:val="auto"/>
          <w:lang w:val="en-US" w:eastAsia="zh-CN"/>
        </w:rPr>
        <w:t>，</w:t>
      </w:r>
      <w:r>
        <w:rPr>
          <w:rFonts w:hint="default"/>
          <w:color w:val="auto"/>
          <w:lang w:val="en-US" w:eastAsia="zh-CN"/>
        </w:rPr>
        <w:t>并用讲话精神指导工作实践。二是集中研讨调研。在深入全面学习理论的基础上，结合淮滨实际，围绕红色淮滨等开展深入调研，挖掘红色资源，用身边事教育身边人。三是纳入培训班课程。把党的十九届四中、五中全会和习近平总书记系列重要讲话精神，作为主体班培训主要课程，提升了干部培训的针对性和实效性。</w:t>
      </w:r>
    </w:p>
    <w:p>
      <w:pPr>
        <w:pStyle w:val="5"/>
        <w:bidi w:val="0"/>
        <w:rPr>
          <w:rFonts w:hint="default"/>
          <w:color w:val="auto"/>
          <w:lang w:val="en-US" w:eastAsia="zh-CN"/>
        </w:rPr>
      </w:pPr>
      <w:bookmarkStart w:id="55" w:name="_Toc27803"/>
      <w:r>
        <w:rPr>
          <w:rFonts w:hint="eastAsia"/>
          <w:color w:val="auto"/>
          <w:lang w:val="en-US" w:eastAsia="zh-CN"/>
        </w:rPr>
        <w:t>（二）</w:t>
      </w:r>
      <w:r>
        <w:rPr>
          <w:rFonts w:hint="default"/>
          <w:color w:val="auto"/>
          <w:lang w:val="en-US" w:eastAsia="zh-CN"/>
        </w:rPr>
        <w:t>科研工作深入开展，为提升教学水平奠定了基础</w:t>
      </w:r>
      <w:bookmarkEnd w:id="55"/>
    </w:p>
    <w:p>
      <w:pPr>
        <w:pStyle w:val="7"/>
        <w:bidi w:val="0"/>
        <w:rPr>
          <w:rFonts w:hint="eastAsia"/>
          <w:color w:val="auto"/>
          <w:lang w:val="en-US" w:eastAsia="zh-CN"/>
        </w:rPr>
      </w:pPr>
      <w:r>
        <w:rPr>
          <w:rFonts w:hint="eastAsia"/>
          <w:color w:val="auto"/>
          <w:lang w:val="en-US" w:eastAsia="zh-CN"/>
        </w:rPr>
        <w:t>科研是开展教学的基础，党校科研紧紧围绕党委中心工作和课题展开。围绕淮滨县委的中心工作，积极开展科研活动。2019年完成市级课题3篇，在省级以上刊物发表论文5篇，获信阳市社会科学优秀成果一等奖2项，河南省党校系统研成果二等奖1项，信阳市社会科学规划课题重点招标课题1项。2020年，获得河南省委党校课题立项1个，信阳市委党校课题立项3个，信阳市级社科课题4个，立项课题数量处在信阳市领先地位，科研工作的发展为党校教学提升奠定了基础。</w:t>
      </w:r>
    </w:p>
    <w:p>
      <w:pPr>
        <w:pStyle w:val="5"/>
        <w:bidi w:val="0"/>
        <w:rPr>
          <w:rFonts w:hint="eastAsia"/>
          <w:lang w:val="en-US" w:eastAsia="zh-CN"/>
        </w:rPr>
      </w:pPr>
      <w:bookmarkStart w:id="56" w:name="_Toc11069"/>
      <w:r>
        <w:rPr>
          <w:rFonts w:hint="eastAsia"/>
          <w:lang w:val="en-US" w:eastAsia="zh-CN"/>
        </w:rPr>
        <w:t>（三）发挥两个远程教学站作用，共享优质教学资源</w:t>
      </w:r>
      <w:bookmarkEnd w:id="56"/>
    </w:p>
    <w:p>
      <w:pPr>
        <w:pStyle w:val="7"/>
        <w:bidi w:val="0"/>
        <w:rPr>
          <w:rFonts w:hint="eastAsia"/>
          <w:color w:val="auto"/>
          <w:lang w:val="en-US" w:eastAsia="zh-CN"/>
        </w:rPr>
      </w:pPr>
      <w:r>
        <w:rPr>
          <w:rFonts w:hint="eastAsia"/>
          <w:color w:val="auto"/>
          <w:lang w:val="en-US" w:eastAsia="zh-CN"/>
        </w:rPr>
        <w:t>淮滨县党校与清华大学继续学院沟通联系续签了远程教学协议，开通了清华大学远程教学乡村振兴淮滨站点，申请中央党校网上党校教学账号，收看中央党校和清华大学教育教学现场视频，组织学员收听收看30多场，有力提升了淮滨县党校教学水平。</w:t>
      </w:r>
    </w:p>
    <w:p>
      <w:pPr>
        <w:pStyle w:val="4"/>
        <w:numPr>
          <w:ilvl w:val="0"/>
          <w:numId w:val="0"/>
        </w:numPr>
        <w:tabs>
          <w:tab w:val="left" w:pos="312"/>
        </w:tabs>
        <w:ind w:firstLine="640" w:firstLineChars="200"/>
        <w:rPr>
          <w:color w:val="auto"/>
        </w:rPr>
      </w:pPr>
      <w:bookmarkStart w:id="57" w:name="_Toc1771"/>
      <w:r>
        <w:rPr>
          <w:rFonts w:hint="eastAsia"/>
          <w:color w:val="auto"/>
          <w:lang w:val="en-US" w:eastAsia="zh-CN"/>
        </w:rPr>
        <w:t>六、</w:t>
      </w:r>
      <w:r>
        <w:rPr>
          <w:rFonts w:hint="eastAsia"/>
          <w:color w:val="auto"/>
        </w:rPr>
        <w:t>存在的问题及原因分析</w:t>
      </w:r>
      <w:bookmarkEnd w:id="53"/>
      <w:bookmarkEnd w:id="57"/>
    </w:p>
    <w:p>
      <w:pPr>
        <w:pStyle w:val="5"/>
        <w:bidi w:val="0"/>
        <w:rPr>
          <w:color w:val="auto"/>
        </w:rPr>
      </w:pPr>
      <w:bookmarkStart w:id="58" w:name="_Toc9300"/>
      <w:r>
        <w:rPr>
          <w:rFonts w:hint="eastAsia"/>
          <w:color w:val="auto"/>
        </w:rPr>
        <w:t>（</w:t>
      </w:r>
      <w:r>
        <w:rPr>
          <w:rFonts w:hint="eastAsia"/>
          <w:color w:val="auto"/>
          <w:lang w:val="en-US" w:eastAsia="zh-CN"/>
        </w:rPr>
        <w:t>一</w:t>
      </w:r>
      <w:r>
        <w:rPr>
          <w:rFonts w:hint="eastAsia"/>
          <w:color w:val="auto"/>
        </w:rPr>
        <w:t>）</w:t>
      </w:r>
      <w:r>
        <w:rPr>
          <w:rFonts w:hint="eastAsia"/>
          <w:color w:val="auto"/>
          <w:lang w:val="en-US" w:eastAsia="zh-CN"/>
        </w:rPr>
        <w:t>教学队伍人员配备较为不足</w:t>
      </w:r>
      <w:r>
        <w:rPr>
          <w:rFonts w:hint="eastAsia"/>
          <w:color w:val="auto"/>
        </w:rPr>
        <w:t>，部门履职效果</w:t>
      </w:r>
      <w:r>
        <w:rPr>
          <w:rFonts w:hint="eastAsia"/>
          <w:color w:val="auto"/>
          <w:lang w:val="en-US" w:eastAsia="zh-CN"/>
        </w:rPr>
        <w:t>相对</w:t>
      </w:r>
      <w:r>
        <w:rPr>
          <w:rFonts w:hint="eastAsia"/>
          <w:color w:val="auto"/>
        </w:rPr>
        <w:t>不佳</w:t>
      </w:r>
      <w:bookmarkEnd w:id="5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 w:cs="Times New Roman"/>
          <w:b w:val="0"/>
          <w:bCs w:val="0"/>
          <w:color w:val="auto"/>
          <w:kern w:val="0"/>
          <w:sz w:val="32"/>
          <w:szCs w:val="32"/>
          <w:lang w:val="en-US" w:eastAsia="zh-CN" w:bidi="ar-SA"/>
        </w:rPr>
      </w:pPr>
      <w:r>
        <w:rPr>
          <w:rFonts w:hint="eastAsia" w:eastAsia="仿宋" w:cs="Times New Roman"/>
          <w:b w:val="0"/>
          <w:bCs w:val="0"/>
          <w:color w:val="auto"/>
          <w:kern w:val="0"/>
          <w:sz w:val="32"/>
          <w:szCs w:val="32"/>
          <w:lang w:val="en-US" w:eastAsia="zh-CN" w:bidi="ar-SA"/>
        </w:rPr>
        <w:t>淮滨</w:t>
      </w:r>
      <w:r>
        <w:rPr>
          <w:rFonts w:hint="eastAsia" w:ascii="Times New Roman" w:hAnsi="Times New Roman" w:eastAsia="仿宋" w:cs="Times New Roman"/>
          <w:b w:val="0"/>
          <w:bCs w:val="0"/>
          <w:color w:val="auto"/>
          <w:kern w:val="0"/>
          <w:sz w:val="32"/>
          <w:szCs w:val="32"/>
          <w:lang w:val="en-US" w:eastAsia="zh-CN" w:bidi="ar-SA"/>
        </w:rPr>
        <w:t>县委党校现有教师16人，其中高级职称仅3人，大多教师仅能满足基本教学需要，教师的教学技能和教学水平离培训需求还有差距，需要加大教师的培训、培养的力度。</w:t>
      </w:r>
    </w:p>
    <w:p>
      <w:pPr>
        <w:pStyle w:val="5"/>
        <w:bidi w:val="0"/>
        <w:rPr>
          <w:color w:val="auto"/>
          <w:highlight w:val="none"/>
        </w:rPr>
      </w:pPr>
      <w:bookmarkStart w:id="59" w:name="_Toc5422"/>
      <w:r>
        <w:rPr>
          <w:rFonts w:hint="eastAsia"/>
          <w:color w:val="auto"/>
          <w:highlight w:val="none"/>
        </w:rPr>
        <w:t>（</w:t>
      </w:r>
      <w:r>
        <w:rPr>
          <w:rFonts w:hint="eastAsia"/>
          <w:color w:val="auto"/>
          <w:highlight w:val="none"/>
          <w:lang w:val="en-US" w:eastAsia="zh-CN"/>
        </w:rPr>
        <w:t>二</w:t>
      </w:r>
      <w:r>
        <w:rPr>
          <w:rFonts w:hint="eastAsia"/>
          <w:color w:val="auto"/>
          <w:highlight w:val="none"/>
        </w:rPr>
        <w:t>）预算</w:t>
      </w:r>
      <w:r>
        <w:rPr>
          <w:rFonts w:hint="eastAsia"/>
          <w:color w:val="auto"/>
          <w:highlight w:val="none"/>
          <w:lang w:val="en-US" w:eastAsia="zh-CN"/>
        </w:rPr>
        <w:t>支出完成率较低</w:t>
      </w:r>
      <w:r>
        <w:rPr>
          <w:rFonts w:hint="eastAsia"/>
          <w:color w:val="auto"/>
          <w:highlight w:val="none"/>
        </w:rPr>
        <w:t>，部门</w:t>
      </w:r>
      <w:r>
        <w:rPr>
          <w:rFonts w:hint="eastAsia"/>
          <w:color w:val="auto"/>
          <w:highlight w:val="none"/>
          <w:lang w:val="en-US" w:eastAsia="zh-CN"/>
        </w:rPr>
        <w:t>预算编制</w:t>
      </w:r>
      <w:r>
        <w:rPr>
          <w:rFonts w:hint="eastAsia"/>
          <w:color w:val="auto"/>
          <w:highlight w:val="none"/>
        </w:rPr>
        <w:t>不规范</w:t>
      </w:r>
      <w:bookmarkEnd w:id="59"/>
    </w:p>
    <w:p>
      <w:pPr>
        <w:pStyle w:val="7"/>
        <w:rPr>
          <w:rFonts w:hint="default"/>
          <w:lang w:eastAsia="zh-CN"/>
        </w:rPr>
      </w:pPr>
      <w:r>
        <w:rPr>
          <w:rFonts w:hint="eastAsia"/>
          <w:color w:val="auto"/>
        </w:rPr>
        <w:t>2020年度，淮滨县委党校支出预算2,485,396.8元，支出决算1,778,678.21元，其中本年支出1,778,678.21元，</w:t>
      </w:r>
      <w:r>
        <w:rPr>
          <w:rFonts w:hint="eastAsia"/>
          <w:color w:val="auto"/>
          <w:lang w:val="en-US" w:eastAsia="zh-CN"/>
        </w:rPr>
        <w:t>剩余资金全部结转至下年，完成年初预算的</w:t>
      </w:r>
      <w:r>
        <w:rPr>
          <w:rFonts w:hint="eastAsia"/>
          <w:color w:val="auto"/>
        </w:rPr>
        <w:t>71.57%。</w:t>
      </w:r>
      <w:r>
        <w:rPr>
          <w:rFonts w:hint="default"/>
        </w:rPr>
        <w:t>资金支出进度总体较缓，存在财政资金结余、闲置，资金使用效益相对较低</w:t>
      </w:r>
      <w:r>
        <w:rPr>
          <w:rFonts w:hint="default"/>
          <w:lang w:eastAsia="zh-CN"/>
        </w:rPr>
        <w:t>。</w:t>
      </w:r>
    </w:p>
    <w:p>
      <w:pPr>
        <w:pStyle w:val="5"/>
        <w:bidi w:val="0"/>
        <w:rPr>
          <w:rFonts w:hint="default" w:ascii="Times New Roman" w:hAnsi="Times New Roman" w:eastAsia="楷体"/>
          <w:color w:val="auto"/>
          <w:highlight w:val="none"/>
          <w:lang w:val="en-US" w:eastAsia="zh-CN"/>
        </w:rPr>
      </w:pPr>
      <w:bookmarkStart w:id="60" w:name="_Toc6161"/>
      <w:r>
        <w:rPr>
          <w:rFonts w:hint="eastAsia" w:ascii="Times New Roman" w:hAnsi="Times New Roman"/>
          <w:color w:val="auto"/>
          <w:highlight w:val="none"/>
        </w:rPr>
        <w:t>（</w:t>
      </w:r>
      <w:r>
        <w:rPr>
          <w:rFonts w:hint="eastAsia" w:ascii="Times New Roman" w:hAnsi="Times New Roman"/>
          <w:color w:val="auto"/>
          <w:highlight w:val="none"/>
          <w:lang w:val="en-US" w:eastAsia="zh-CN"/>
        </w:rPr>
        <w:t>三</w:t>
      </w:r>
      <w:r>
        <w:rPr>
          <w:rFonts w:hint="eastAsia" w:ascii="Times New Roman" w:hAnsi="Times New Roman"/>
          <w:color w:val="auto"/>
          <w:highlight w:val="none"/>
        </w:rPr>
        <w:t>）</w:t>
      </w:r>
      <w:r>
        <w:rPr>
          <w:rFonts w:hint="eastAsia" w:ascii="Times New Roman" w:hAnsi="Times New Roman"/>
          <w:color w:val="auto"/>
          <w:highlight w:val="none"/>
          <w:lang w:val="en-US" w:eastAsia="zh-CN"/>
        </w:rPr>
        <w:t>未制订中长期规划，部门整体发展统筹水平较差</w:t>
      </w:r>
      <w:bookmarkEnd w:id="60"/>
    </w:p>
    <w:p>
      <w:pPr>
        <w:ind w:firstLine="640" w:firstLineChars="200"/>
        <w:rPr>
          <w:rFonts w:hint="default" w:ascii="Times New Roman" w:hAnsi="Times New Roman" w:eastAsia="仿宋" w:cs="Times New Roman"/>
          <w:color w:val="auto"/>
          <w:kern w:val="0"/>
          <w:sz w:val="32"/>
          <w:szCs w:val="32"/>
          <w:lang w:val="en-US" w:eastAsia="zh-CN" w:bidi="ar-SA"/>
        </w:rPr>
      </w:pPr>
      <w:r>
        <w:rPr>
          <w:rFonts w:hint="eastAsia" w:ascii="Times New Roman" w:hAnsi="Times New Roman" w:eastAsia="仿宋" w:cs="Times New Roman"/>
          <w:color w:val="auto"/>
          <w:kern w:val="0"/>
          <w:sz w:val="32"/>
          <w:szCs w:val="32"/>
          <w:lang w:val="en-US" w:eastAsia="zh-CN" w:bidi="ar-SA"/>
        </w:rPr>
        <w:t>评价组实地调研发现，淮滨区党校未制订部门中长期规划，对部门总体目标、计划实施内容、时间进度、资金筹措、人员配置未有明确安排。未制订中长期规划难以衡量淮滨县党校中长期发展方向是否偏离上级领导部门制订的整体发展规划，以及难以提升对党校工作的指导、约束能力。</w:t>
      </w:r>
    </w:p>
    <w:p>
      <w:pPr>
        <w:pStyle w:val="4"/>
        <w:numPr>
          <w:ilvl w:val="0"/>
          <w:numId w:val="0"/>
        </w:numPr>
        <w:tabs>
          <w:tab w:val="left" w:pos="312"/>
        </w:tabs>
        <w:ind w:firstLine="640" w:firstLineChars="200"/>
        <w:rPr>
          <w:color w:val="auto"/>
        </w:rPr>
      </w:pPr>
      <w:bookmarkStart w:id="61" w:name="_Toc6050"/>
      <w:bookmarkStart w:id="62" w:name="_Toc15618"/>
      <w:r>
        <w:rPr>
          <w:rFonts w:hint="eastAsia"/>
          <w:color w:val="auto"/>
          <w:lang w:val="en-US" w:eastAsia="zh-CN"/>
        </w:rPr>
        <w:t>七、</w:t>
      </w:r>
      <w:r>
        <w:rPr>
          <w:rFonts w:hint="eastAsia"/>
          <w:color w:val="auto"/>
        </w:rPr>
        <w:t>有关建议</w:t>
      </w:r>
      <w:bookmarkEnd w:id="61"/>
      <w:bookmarkEnd w:id="62"/>
    </w:p>
    <w:p>
      <w:pPr>
        <w:pStyle w:val="5"/>
        <w:bidi w:val="0"/>
        <w:rPr>
          <w:rFonts w:hint="default" w:eastAsia="楷体"/>
          <w:color w:val="auto"/>
          <w:lang w:val="en-US" w:eastAsia="zh-CN"/>
        </w:rPr>
      </w:pPr>
      <w:bookmarkStart w:id="63" w:name="_Toc31638"/>
      <w:r>
        <w:rPr>
          <w:rFonts w:hint="eastAsia"/>
          <w:color w:val="auto"/>
        </w:rPr>
        <w:t>（</w:t>
      </w:r>
      <w:r>
        <w:rPr>
          <w:rFonts w:hint="eastAsia"/>
          <w:color w:val="auto"/>
          <w:lang w:val="en-US" w:eastAsia="zh-CN"/>
        </w:rPr>
        <w:t>一</w:t>
      </w:r>
      <w:r>
        <w:rPr>
          <w:rFonts w:hint="eastAsia"/>
          <w:color w:val="auto"/>
        </w:rPr>
        <w:t>）根据</w:t>
      </w:r>
      <w:r>
        <w:rPr>
          <w:rFonts w:hint="eastAsia"/>
          <w:color w:val="auto"/>
          <w:lang w:val="en-US" w:eastAsia="zh-CN"/>
        </w:rPr>
        <w:t>实际教学</w:t>
      </w:r>
      <w:r>
        <w:rPr>
          <w:rFonts w:hint="eastAsia"/>
          <w:color w:val="auto"/>
        </w:rPr>
        <w:t>需求做好</w:t>
      </w:r>
      <w:r>
        <w:rPr>
          <w:rFonts w:hint="eastAsia"/>
          <w:color w:val="auto"/>
          <w:lang w:val="en-US" w:eastAsia="zh-CN"/>
        </w:rPr>
        <w:t>教员培训工作</w:t>
      </w:r>
      <w:r>
        <w:rPr>
          <w:rFonts w:hint="eastAsia"/>
          <w:color w:val="auto"/>
        </w:rPr>
        <w:t>，</w:t>
      </w:r>
      <w:r>
        <w:rPr>
          <w:rFonts w:hint="eastAsia"/>
          <w:color w:val="auto"/>
          <w:lang w:val="en-US" w:eastAsia="zh-CN"/>
        </w:rPr>
        <w:t>强化教员能力</w:t>
      </w:r>
      <w:bookmarkEnd w:id="63"/>
    </w:p>
    <w:p>
      <w:pPr>
        <w:pStyle w:val="7"/>
        <w:rPr>
          <w:rFonts w:hint="default"/>
          <w:color w:val="auto"/>
          <w:lang w:val="en-US" w:eastAsia="zh-CN"/>
        </w:rPr>
      </w:pPr>
      <w:r>
        <w:rPr>
          <w:rFonts w:hint="eastAsia"/>
          <w:color w:val="auto"/>
        </w:rPr>
        <w:t>建议</w:t>
      </w:r>
      <w:r>
        <w:rPr>
          <w:rFonts w:hint="eastAsia"/>
          <w:color w:val="auto"/>
          <w:lang w:eastAsia="zh-CN"/>
        </w:rPr>
        <w:t>淮滨</w:t>
      </w:r>
      <w:r>
        <w:rPr>
          <w:rFonts w:hint="eastAsia"/>
          <w:color w:val="auto"/>
        </w:rPr>
        <w:t>县委党校，根据实际</w:t>
      </w:r>
      <w:r>
        <w:rPr>
          <w:rFonts w:hint="eastAsia"/>
          <w:color w:val="auto"/>
          <w:lang w:val="en-US" w:eastAsia="zh-CN"/>
        </w:rPr>
        <w:t>培训</w:t>
      </w:r>
      <w:r>
        <w:rPr>
          <w:rFonts w:hint="eastAsia"/>
          <w:color w:val="auto"/>
        </w:rPr>
        <w:t>工作开展需求，</w:t>
      </w:r>
      <w:r>
        <w:rPr>
          <w:rFonts w:hint="eastAsia"/>
          <w:color w:val="auto"/>
          <w:lang w:val="en-US" w:eastAsia="zh-CN"/>
        </w:rPr>
        <w:t>加大对教员的培训力度。一是加强对中央、省、市党校的学习，以现场学习、网络视频学习为主；二是提升选派进修学习的效果。2020年淮滨区党校选派5名到上级党校、清华大学进修学习，适当加大向多个学校、以及优秀的党校组织单位的沟通、进修学习的频次，以提升淮滨区党校教员的教学能力，</w:t>
      </w:r>
    </w:p>
    <w:p>
      <w:pPr>
        <w:pStyle w:val="7"/>
        <w:ind w:left="0" w:leftChars="0" w:firstLine="0" w:firstLineChars="0"/>
        <w:rPr>
          <w:rFonts w:hint="eastAsia"/>
          <w:color w:val="auto"/>
        </w:rPr>
      </w:pPr>
      <w:r>
        <w:rPr>
          <w:rFonts w:hint="eastAsia"/>
          <w:color w:val="auto"/>
          <w:lang w:val="en-US" w:eastAsia="zh-CN"/>
        </w:rPr>
        <w:t>进而</w:t>
      </w:r>
      <w:r>
        <w:rPr>
          <w:rFonts w:hint="eastAsia"/>
          <w:color w:val="auto"/>
        </w:rPr>
        <w:t>推动部门履职及效果发挥。</w:t>
      </w:r>
    </w:p>
    <w:p>
      <w:pPr>
        <w:pStyle w:val="7"/>
        <w:ind w:left="0" w:leftChars="0" w:firstLine="643" w:firstLineChars="200"/>
        <w:outlineLvl w:val="1"/>
        <w:rPr>
          <w:rFonts w:hint="eastAsia" w:ascii="Times New Roman" w:hAnsi="Times New Roman" w:eastAsia="楷体" w:cstheme="majorBidi"/>
          <w:b/>
          <w:bCs/>
          <w:color w:val="auto"/>
          <w:kern w:val="2"/>
          <w:sz w:val="32"/>
          <w:szCs w:val="32"/>
          <w:lang w:val="en-US" w:eastAsia="zh-CN" w:bidi="ar-SA"/>
        </w:rPr>
      </w:pPr>
      <w:bookmarkStart w:id="64" w:name="_Toc21777"/>
      <w:r>
        <w:rPr>
          <w:rFonts w:hint="eastAsia" w:ascii="Times New Roman" w:hAnsi="Times New Roman" w:eastAsia="楷体" w:cstheme="majorBidi"/>
          <w:b/>
          <w:bCs/>
          <w:color w:val="auto"/>
          <w:kern w:val="2"/>
          <w:sz w:val="32"/>
          <w:szCs w:val="32"/>
          <w:lang w:val="en-US" w:eastAsia="zh-CN" w:bidi="ar-SA"/>
        </w:rPr>
        <w:t>（二）科学编制预算方案，提升资金使用效果</w:t>
      </w:r>
      <w:bookmarkEnd w:id="64"/>
    </w:p>
    <w:p>
      <w:pPr>
        <w:pStyle w:val="7"/>
        <w:ind w:left="0" w:leftChars="0" w:firstLine="640" w:firstLineChars="200"/>
        <w:rPr>
          <w:rFonts w:hint="default" w:ascii="Times New Roman" w:hAnsi="Times New Roman" w:eastAsia="仿宋" w:cs="Times New Roman"/>
          <w:b w:val="0"/>
          <w:bCs w:val="0"/>
          <w:color w:val="auto"/>
          <w:kern w:val="0"/>
          <w:sz w:val="32"/>
          <w:szCs w:val="32"/>
          <w:lang w:val="en-US" w:eastAsia="zh-CN" w:bidi="ar-SA"/>
        </w:rPr>
      </w:pPr>
      <w:r>
        <w:rPr>
          <w:rFonts w:hint="eastAsia" w:ascii="Times New Roman" w:hAnsi="Times New Roman" w:cs="Times New Roman"/>
          <w:b w:val="0"/>
          <w:bCs w:val="0"/>
          <w:color w:val="auto"/>
          <w:kern w:val="0"/>
          <w:sz w:val="32"/>
          <w:szCs w:val="32"/>
          <w:lang w:val="en-US" w:eastAsia="zh-CN" w:bidi="ar-SA"/>
        </w:rPr>
        <w:t>建议淮滨县党校</w:t>
      </w:r>
      <w:r>
        <w:rPr>
          <w:rFonts w:hint="default" w:ascii="Times New Roman" w:hAnsi="Times New Roman" w:eastAsia="仿宋" w:cs="Times New Roman"/>
          <w:b w:val="0"/>
          <w:bCs w:val="0"/>
          <w:color w:val="auto"/>
          <w:kern w:val="0"/>
          <w:sz w:val="32"/>
          <w:szCs w:val="32"/>
          <w:lang w:val="en-US" w:eastAsia="zh-CN" w:bidi="ar-SA"/>
        </w:rPr>
        <w:t>合理编制</w:t>
      </w:r>
      <w:r>
        <w:rPr>
          <w:rFonts w:hint="eastAsia" w:ascii="Times New Roman" w:hAnsi="Times New Roman" w:cs="Times New Roman"/>
          <w:b w:val="0"/>
          <w:bCs w:val="0"/>
          <w:color w:val="auto"/>
          <w:kern w:val="0"/>
          <w:sz w:val="32"/>
          <w:szCs w:val="32"/>
          <w:lang w:val="en-US" w:eastAsia="zh-CN" w:bidi="ar-SA"/>
        </w:rPr>
        <w:t>部门</w:t>
      </w:r>
      <w:r>
        <w:rPr>
          <w:rFonts w:hint="default" w:ascii="Times New Roman" w:hAnsi="Times New Roman" w:eastAsia="仿宋" w:cs="Times New Roman"/>
          <w:b w:val="0"/>
          <w:bCs w:val="0"/>
          <w:color w:val="auto"/>
          <w:kern w:val="0"/>
          <w:sz w:val="32"/>
          <w:szCs w:val="32"/>
          <w:lang w:val="en-US" w:eastAsia="zh-CN" w:bidi="ar-SA"/>
        </w:rPr>
        <w:t>预算，完善预算审核机制</w:t>
      </w:r>
      <w:r>
        <w:rPr>
          <w:rFonts w:hint="eastAsia" w:ascii="Times New Roman" w:hAnsi="Times New Roman" w:cs="Times New Roman"/>
          <w:b w:val="0"/>
          <w:bCs w:val="0"/>
          <w:color w:val="auto"/>
          <w:kern w:val="0"/>
          <w:sz w:val="32"/>
          <w:szCs w:val="32"/>
          <w:lang w:val="en-US" w:eastAsia="zh-CN" w:bidi="ar-SA"/>
        </w:rPr>
        <w:t>，</w:t>
      </w:r>
      <w:r>
        <w:rPr>
          <w:rFonts w:hint="default" w:ascii="Times New Roman" w:hAnsi="Times New Roman" w:eastAsia="仿宋" w:cs="Times New Roman"/>
          <w:b w:val="0"/>
          <w:bCs w:val="0"/>
          <w:color w:val="auto"/>
          <w:kern w:val="0"/>
          <w:sz w:val="32"/>
          <w:szCs w:val="32"/>
          <w:lang w:val="en-US" w:eastAsia="zh-CN" w:bidi="ar-SA"/>
        </w:rPr>
        <w:t>合理界定</w:t>
      </w:r>
      <w:r>
        <w:rPr>
          <w:rFonts w:hint="eastAsia" w:ascii="Times New Roman" w:hAnsi="Times New Roman" w:cs="Times New Roman"/>
          <w:b w:val="0"/>
          <w:bCs w:val="0"/>
          <w:color w:val="auto"/>
          <w:kern w:val="0"/>
          <w:sz w:val="32"/>
          <w:szCs w:val="32"/>
          <w:lang w:val="en-US" w:eastAsia="zh-CN" w:bidi="ar-SA"/>
        </w:rPr>
        <w:t>资金</w:t>
      </w:r>
      <w:r>
        <w:rPr>
          <w:rFonts w:hint="default" w:ascii="Times New Roman" w:hAnsi="Times New Roman" w:eastAsia="仿宋" w:cs="Times New Roman"/>
          <w:b w:val="0"/>
          <w:bCs w:val="0"/>
          <w:color w:val="auto"/>
          <w:kern w:val="0"/>
          <w:sz w:val="32"/>
          <w:szCs w:val="32"/>
          <w:lang w:val="en-US" w:eastAsia="zh-CN" w:bidi="ar-SA"/>
        </w:rPr>
        <w:t>支出内涵与外延。强化零基预算理念，结合中期财政规划管理，建立统一、规范的项目预算审核机制。推进项目预算评审工作规范化、专业化、常态化，合理安排项目资金，从根本上减少存量资金的产生</w:t>
      </w:r>
      <w:r>
        <w:rPr>
          <w:rFonts w:hint="eastAsia" w:ascii="Times New Roman" w:hAnsi="Times New Roman" w:cs="Times New Roman"/>
          <w:b w:val="0"/>
          <w:bCs w:val="0"/>
          <w:color w:val="auto"/>
          <w:kern w:val="0"/>
          <w:sz w:val="32"/>
          <w:szCs w:val="32"/>
          <w:lang w:val="en-US" w:eastAsia="zh-CN" w:bidi="ar-SA"/>
        </w:rPr>
        <w:t>，进而达到提升财政资金的使用效果</w:t>
      </w:r>
      <w:r>
        <w:rPr>
          <w:rFonts w:hint="default" w:ascii="Times New Roman" w:hAnsi="Times New Roman" w:eastAsia="仿宋" w:cs="Times New Roman"/>
          <w:b w:val="0"/>
          <w:bCs w:val="0"/>
          <w:color w:val="auto"/>
          <w:kern w:val="0"/>
          <w:sz w:val="32"/>
          <w:szCs w:val="32"/>
          <w:lang w:val="en-US" w:eastAsia="zh-CN" w:bidi="ar-SA"/>
        </w:rPr>
        <w:t>。</w:t>
      </w:r>
    </w:p>
    <w:p>
      <w:pPr>
        <w:pStyle w:val="5"/>
        <w:bidi w:val="0"/>
        <w:rPr>
          <w:rFonts w:hint="default" w:eastAsia="楷体"/>
          <w:color w:val="auto"/>
          <w:highlight w:val="none"/>
          <w:lang w:val="en-US" w:eastAsia="zh-CN"/>
        </w:rPr>
      </w:pPr>
      <w:bookmarkStart w:id="65" w:name="_Toc28845"/>
      <w:r>
        <w:rPr>
          <w:rFonts w:hint="eastAsia"/>
          <w:color w:val="auto"/>
          <w:highlight w:val="none"/>
        </w:rPr>
        <w:t>（</w:t>
      </w:r>
      <w:r>
        <w:rPr>
          <w:rFonts w:hint="eastAsia"/>
          <w:color w:val="auto"/>
          <w:highlight w:val="none"/>
          <w:lang w:val="en-US" w:eastAsia="zh-CN"/>
        </w:rPr>
        <w:t>三</w:t>
      </w:r>
      <w:r>
        <w:rPr>
          <w:rFonts w:hint="eastAsia"/>
          <w:color w:val="auto"/>
          <w:highlight w:val="none"/>
        </w:rPr>
        <w:t>）</w:t>
      </w:r>
      <w:r>
        <w:rPr>
          <w:rFonts w:hint="eastAsia"/>
          <w:color w:val="auto"/>
          <w:highlight w:val="none"/>
          <w:lang w:val="en-US" w:eastAsia="zh-CN"/>
        </w:rPr>
        <w:t>制订部门中长期规划，</w:t>
      </w:r>
      <w:r>
        <w:rPr>
          <w:rFonts w:hint="default"/>
          <w:lang w:val="en-US" w:eastAsia="zh-CN"/>
        </w:rPr>
        <w:t>提高部门履职效率</w:t>
      </w:r>
      <w:bookmarkEnd w:id="6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kern w:val="0"/>
          <w:sz w:val="32"/>
          <w:szCs w:val="32"/>
          <w:lang w:val="en-US" w:eastAsia="zh-CN" w:bidi="ar-SA"/>
        </w:rPr>
      </w:pPr>
      <w:r>
        <w:rPr>
          <w:rFonts w:hint="eastAsia" w:ascii="Times New Roman" w:hAnsi="Times New Roman" w:eastAsia="仿宋" w:cs="Times New Roman"/>
          <w:color w:val="auto"/>
          <w:kern w:val="0"/>
          <w:sz w:val="32"/>
          <w:szCs w:val="32"/>
          <w:lang w:val="en-US" w:eastAsia="zh-CN" w:bidi="ar-SA"/>
        </w:rPr>
        <w:t>建议淮滨县党校制订部门中长期规划，对部门总体目标、计划实施内容、时间进度、资金筹措、人员配置进行明确安排，并对部门各项职能的履行进行完整规划，为部门整体发展提供了方向，进而确保部门发展方向和上级党委制订的发展目标一致。同时，制订部门中长期规划，增强对部门整体工作开展的指导、约束能力。</w:t>
      </w:r>
    </w:p>
    <w:p>
      <w:pPr>
        <w:pStyle w:val="7"/>
        <w:spacing w:line="500" w:lineRule="exact"/>
        <w:ind w:firstLine="0" w:firstLineChars="0"/>
        <w:rPr>
          <w:rFonts w:hint="eastAsia"/>
          <w:color w:val="auto"/>
          <w:lang w:val="en-US" w:eastAsia="zh-CN"/>
        </w:rPr>
      </w:pPr>
    </w:p>
    <w:p>
      <w:pPr>
        <w:pStyle w:val="7"/>
        <w:spacing w:line="500" w:lineRule="exact"/>
        <w:ind w:firstLine="0" w:firstLineChars="0"/>
        <w:rPr>
          <w:rFonts w:hint="eastAsia"/>
          <w:color w:val="auto"/>
          <w:lang w:val="en-US" w:eastAsia="zh-CN"/>
        </w:rPr>
      </w:pPr>
      <w:r>
        <w:rPr>
          <w:rFonts w:hint="eastAsia"/>
          <w:color w:val="auto"/>
          <w:lang w:val="en-US" w:eastAsia="zh-CN"/>
        </w:rPr>
        <w:t>附件 绩效评价指标体系综合评分表</w:t>
      </w:r>
    </w:p>
    <w:p>
      <w:pPr>
        <w:pStyle w:val="7"/>
        <w:numPr>
          <w:ilvl w:val="0"/>
          <w:numId w:val="0"/>
        </w:numPr>
        <w:spacing w:line="500" w:lineRule="exact"/>
        <w:ind w:left="960" w:leftChars="0"/>
        <w:rPr>
          <w:rFonts w:hint="default"/>
          <w:color w:val="auto"/>
          <w:lang w:val="en-US" w:eastAsia="zh-CN"/>
        </w:rPr>
      </w:pPr>
    </w:p>
    <w:p>
      <w:pPr>
        <w:rPr>
          <w:rFonts w:hint="eastAsia"/>
          <w:color w:val="auto"/>
          <w:sz w:val="32"/>
          <w:szCs w:val="32"/>
        </w:rPr>
        <w:sectPr>
          <w:footerReference r:id="rId6" w:type="default"/>
          <w:pgSz w:w="11906" w:h="16838"/>
          <w:pgMar w:top="1440" w:right="1800" w:bottom="1440" w:left="1800" w:header="851" w:footer="992" w:gutter="0"/>
          <w:pgNumType w:fmt="decimal" w:start="1"/>
          <w:cols w:space="0" w:num="1"/>
          <w:rtlGutter w:val="0"/>
          <w:docGrid w:type="lines" w:linePitch="312" w:charSpace="0"/>
        </w:sectPr>
      </w:pPr>
      <w:bookmarkStart w:id="66" w:name="_Toc9754"/>
    </w:p>
    <w:p>
      <w:pPr>
        <w:pStyle w:val="4"/>
        <w:ind w:firstLine="640"/>
        <w:rPr>
          <w:color w:val="auto"/>
          <w:sz w:val="32"/>
          <w:szCs w:val="32"/>
        </w:rPr>
      </w:pPr>
      <w:bookmarkStart w:id="67" w:name="_Toc11937"/>
      <w:r>
        <w:rPr>
          <w:rFonts w:hint="eastAsia"/>
          <w:color w:val="auto"/>
          <w:sz w:val="32"/>
          <w:szCs w:val="32"/>
        </w:rPr>
        <w:t>附件</w:t>
      </w:r>
      <w:r>
        <w:rPr>
          <w:rFonts w:hint="eastAsia"/>
          <w:color w:val="auto"/>
          <w:sz w:val="32"/>
          <w:szCs w:val="32"/>
          <w:lang w:val="en-US" w:eastAsia="zh-CN"/>
        </w:rPr>
        <w:t xml:space="preserve"> </w:t>
      </w:r>
      <w:r>
        <w:rPr>
          <w:rFonts w:hint="eastAsia"/>
          <w:color w:val="auto"/>
          <w:sz w:val="32"/>
          <w:szCs w:val="32"/>
        </w:rPr>
        <w:t>绩效评价指标体</w:t>
      </w:r>
      <w:r>
        <w:rPr>
          <w:rFonts w:hint="eastAsia"/>
          <w:color w:val="auto"/>
          <w:sz w:val="32"/>
          <w:szCs w:val="32"/>
          <w:lang w:val="en-US" w:eastAsia="zh-CN"/>
        </w:rPr>
        <w:t>综合评分</w:t>
      </w:r>
      <w:r>
        <w:rPr>
          <w:rFonts w:hint="eastAsia"/>
          <w:color w:val="auto"/>
          <w:sz w:val="32"/>
          <w:szCs w:val="32"/>
        </w:rPr>
        <w:t>表</w:t>
      </w:r>
      <w:bookmarkEnd w:id="66"/>
      <w:bookmarkEnd w:id="67"/>
    </w:p>
    <w:tbl>
      <w:tblPr>
        <w:tblStyle w:val="2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6"/>
        <w:gridCol w:w="1107"/>
        <w:gridCol w:w="1077"/>
        <w:gridCol w:w="686"/>
        <w:gridCol w:w="842"/>
        <w:gridCol w:w="3799"/>
        <w:gridCol w:w="3799"/>
        <w:gridCol w:w="935"/>
        <w:gridCol w:w="10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98"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一级指标</w:t>
            </w:r>
          </w:p>
        </w:tc>
        <w:tc>
          <w:tcPr>
            <w:tcW w:w="391"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二级指标</w:t>
            </w:r>
          </w:p>
        </w:tc>
        <w:tc>
          <w:tcPr>
            <w:tcW w:w="380"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权重</w:t>
            </w:r>
          </w:p>
        </w:tc>
        <w:tc>
          <w:tcPr>
            <w:tcW w:w="297"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目标值</w:t>
            </w:r>
          </w:p>
        </w:tc>
        <w:tc>
          <w:tcPr>
            <w:tcW w:w="1340"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评价标准</w:t>
            </w:r>
          </w:p>
        </w:tc>
        <w:tc>
          <w:tcPr>
            <w:tcW w:w="1340" w:type="pct"/>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评价过程</w:t>
            </w:r>
          </w:p>
        </w:tc>
        <w:tc>
          <w:tcPr>
            <w:tcW w:w="330"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得分</w:t>
            </w:r>
          </w:p>
        </w:tc>
        <w:tc>
          <w:tcPr>
            <w:tcW w:w="379"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得分率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A部门决策（10）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A1部门职能（2）</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A11部门职能明确性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明确</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①部门具有明确的职能；②部门各处室职能划分明确；③部门职能符合上级要求。以上三项各占1/3权重分，符合得分，否则不得分。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评价组根据实地调研和查阅资料发现①部门具有明确的职能；②部门各处室职能划分明确；③部门职能符合上级要求。根据评分标准，本三级指标不扣分。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A2部门战略规划（2）</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A21部门中长期规划明确性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明确</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部门具有中长期规划；②中长期规划对总体目标、规划实施内容、时间安排有明确安排；③部门中长期规划中的各项规划均符合部门职能要求；④部门中长期目标对部门各项职能的履行均进行了完整规划。①占40%权重分，符合得分，否则该指标总体不得分；②③④各占20%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评价组根据实地调研和查阅资料发现部门未制订部门中长期规划。根据评分标准，本三级指标扣2分。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A3部门绩效目标设定（3）</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A31年度绩效目标合理性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合理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①绩效目标设置符合国家法律法规、国民经济和社会发展总体规划；②符合部门“三定”方案确定的职责；③符合部门制定的中长期实施规划。以上各占1/3权重分，符合得分，否则不得分。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评价组根据实地调研和查阅资料发现①绩效目标设置符合国家法律法规、国民经济和社会发展总体规划；②符合部门“三定”方案确定的职责。根据评分标准，本三级指标不扣分。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A32年度绩效指标明确性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明确</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绩效指标将部门整体的绩效目标细化分解为具体的绩效指标；②通过清晰、可衡量的指标值予以体现；③与部门年度的任务数或计划数相对应；④与本年度部门预算资金相匹配。以上要素各占1/4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绩效指标未将部门整体的绩效目标细化分解为具体的绩效指标；②未通过清晰、可衡量的指标值予以体现；③与部门年度的任务数或计划数相对应；④与本年度部门预算资金相匹配。根据评分标准，本三级指标扣1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A4部门年度工作计划（3）</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A41年度工作计划明确性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明确</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部门整体、各科室具有年度工作计划得50%权重分，上述两项各占25%权重分，符合则得分，否则扣除对应权重分；②年度工作计划对总体目标、计划实施内容、时间进度、资金筹措、人员配置有明确安排，以上要素各占10%权重分，符合则得分，否则扣除对应权重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评价组根据实地调研和查阅资料发现各科室无年度工作计划。根据评分标准，本三级指标扣2分。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A42年度工作计划匹配性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匹配</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①部门年度工作计划符合部门职能；②与上级战略相匹配。以上要素各占50%权重分，符合得分，否则不得分。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评价组根据实地调研和查阅资料发现各科室无年度工作计划。根据评分标准，本三级指标扣1分。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B部门管理（28）</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B1资金投入（5）</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B11预算调整率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预算调整率=（预算调整数/年初预算数）×100%。其中，预算调整数：部门（单位）在本年度内涉及预算的追加、追减或结构调整的资金总和（因落实国家政策、发生不可抗力、上级部门或本级党委政府临时交办而产生的调整除外）。预算调整率控制在20%，得满分权重分。否则，每高1个百分点扣5%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评价组根据实地调研和查阅资料发现预算调整率=0。根据评分标准，本三级指标不扣分。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B12预算执行率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预算支出完成率=（预算支出完成数/预算数）×100%。其中，预算支出完成数：部门（单位）本年度实际完成的预算数。预算数：财政部门批复的本年度部门（单位）预算数。</w:t>
            </w:r>
            <w:r>
              <w:rPr>
                <w:rFonts w:hint="default" w:ascii="Times New Roman" w:hAnsi="Times New Roman" w:eastAsia="仿宋_GB2312" w:cs="Times New Roman"/>
                <w:i w:val="0"/>
                <w:iCs w:val="0"/>
                <w:color w:val="000000"/>
                <w:kern w:val="0"/>
                <w:sz w:val="21"/>
                <w:szCs w:val="21"/>
                <w:u w:val="none"/>
                <w:lang w:val="en-US" w:eastAsia="zh-CN" w:bidi="ar"/>
              </w:rPr>
              <w:br w:type="textWrapping"/>
            </w:r>
            <w:r>
              <w:rPr>
                <w:rFonts w:hint="default" w:ascii="Times New Roman" w:hAnsi="Times New Roman" w:eastAsia="仿宋_GB2312" w:cs="Times New Roman"/>
                <w:i w:val="0"/>
                <w:iCs w:val="0"/>
                <w:color w:val="000000"/>
                <w:kern w:val="0"/>
                <w:sz w:val="21"/>
                <w:szCs w:val="21"/>
                <w:u w:val="none"/>
                <w:lang w:val="en-US" w:eastAsia="zh-CN" w:bidi="ar"/>
              </w:rPr>
              <w:t>①基本支出预算完成率；②项目支出预算完成率。以上两项各占1/2权重分，达到100%得对应权重分，否则每降低1%扣5%权重分，扣完为止。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评价组根据实地调研和查阅资料发现①基本支出预算完成率=71.57%；②项目支出预算完成率=71.57%。根据评分标准，本三级指标扣2分。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B13结余结转变动率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结转结余变动率=[（本年度累计结转结余资金总额</w:t>
            </w:r>
            <w:r>
              <w:rPr>
                <w:rFonts w:hint="eastAsia" w:ascii="Times New Roman" w:hAnsi="Times New Roman" w:eastAsia="仿宋_GB2312" w:cs="Times New Roman"/>
                <w:i w:val="0"/>
                <w:iCs w:val="0"/>
                <w:color w:val="000000"/>
                <w:kern w:val="0"/>
                <w:sz w:val="21"/>
                <w:szCs w:val="21"/>
                <w:u w:val="none"/>
                <w:lang w:val="en-US" w:eastAsia="zh-CN" w:bidi="ar"/>
              </w:rPr>
              <w:t>－</w:t>
            </w:r>
            <w:r>
              <w:rPr>
                <w:rFonts w:hint="default" w:ascii="Times New Roman" w:hAnsi="Times New Roman" w:eastAsia="仿宋_GB2312" w:cs="Times New Roman"/>
                <w:i w:val="0"/>
                <w:iCs w:val="0"/>
                <w:color w:val="000000"/>
                <w:kern w:val="0"/>
                <w:sz w:val="21"/>
                <w:szCs w:val="21"/>
                <w:u w:val="none"/>
                <w:lang w:val="en-US" w:eastAsia="zh-CN" w:bidi="ar"/>
              </w:rPr>
              <w:t>上年度累计结转结余资金总额）/上年度累计结转结余资金总额]×100%。结转结余变动率下降的，不扣分；变动率上升的，每偏离1%，扣除10%权重分，扣完为止。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评价组根据实地调研和查阅资料发现上年结转结余数为0，本年度结转结余数为706,718.59元。根据评分标准，本三级指标扣1分。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B2运行成本（4）</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B21“三公经费”变动率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“三公经费”变动率=[（本年度“三公经费”总额</w:t>
            </w:r>
            <w:r>
              <w:rPr>
                <w:rFonts w:hint="eastAsia" w:ascii="Times New Roman" w:hAnsi="Times New Roman" w:eastAsia="仿宋_GB2312" w:cs="Times New Roman"/>
                <w:i w:val="0"/>
                <w:iCs w:val="0"/>
                <w:color w:val="000000"/>
                <w:kern w:val="0"/>
                <w:sz w:val="21"/>
                <w:szCs w:val="21"/>
                <w:u w:val="none"/>
                <w:lang w:val="en-US" w:eastAsia="zh-CN" w:bidi="ar"/>
              </w:rPr>
              <w:t>－</w:t>
            </w:r>
            <w:r>
              <w:rPr>
                <w:rFonts w:hint="default" w:ascii="Times New Roman" w:hAnsi="Times New Roman" w:eastAsia="仿宋_GB2312" w:cs="Times New Roman"/>
                <w:i w:val="0"/>
                <w:iCs w:val="0"/>
                <w:color w:val="000000"/>
                <w:kern w:val="0"/>
                <w:sz w:val="21"/>
                <w:szCs w:val="21"/>
                <w:u w:val="none"/>
                <w:lang w:val="en-US" w:eastAsia="zh-CN" w:bidi="ar"/>
              </w:rPr>
              <w:t>上年度“三公经费”总额）/上年度“三公经费”总额]×100%达到目标值满分，每增加1%扣5%权重分，扣完为止。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评价组根据实地调研和查阅资料发现“三公经费”变动率为0。根据评分标准，本三级指标不扣分。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B22人均公用经费变动率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人均公用经费变动率=[（本年度人均公用经费</w:t>
            </w:r>
            <w:r>
              <w:rPr>
                <w:rFonts w:hint="eastAsia" w:ascii="Times New Roman" w:hAnsi="Times New Roman" w:eastAsia="仿宋_GB2312" w:cs="Times New Roman"/>
                <w:i w:val="0"/>
                <w:iCs w:val="0"/>
                <w:color w:val="000000"/>
                <w:kern w:val="0"/>
                <w:sz w:val="21"/>
                <w:szCs w:val="21"/>
                <w:u w:val="none"/>
                <w:lang w:val="en-US" w:eastAsia="zh-CN" w:bidi="ar"/>
              </w:rPr>
              <w:t>－</w:t>
            </w:r>
            <w:r>
              <w:rPr>
                <w:rFonts w:hint="default" w:ascii="Times New Roman" w:hAnsi="Times New Roman" w:eastAsia="仿宋_GB2312" w:cs="Times New Roman"/>
                <w:i w:val="0"/>
                <w:iCs w:val="0"/>
                <w:color w:val="000000"/>
                <w:kern w:val="0"/>
                <w:sz w:val="21"/>
                <w:szCs w:val="21"/>
                <w:u w:val="none"/>
                <w:lang w:val="en-US" w:eastAsia="zh-CN" w:bidi="ar"/>
              </w:rPr>
              <w:t>上年度人均公用经费）/上年度人均公用经费]×100%。达到目标值满分，每增加1%扣5%权重分，扣完为止。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评价组根据实地调研和查阅资料发现人均公用经费变动率=0。根据评分标准，本三级指标不扣分。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B3预算管理（3）</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B31预算编制完整性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完整</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部门收入预算完整。将所有部门预算收入全部编入收入预算；②部门支出预算完整。支出预算按人员经费按标准、日常公用经费按定额、专项经费按项目分别编制。以上各占50%权重分，符合得分，不符合相应扣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部门收入预算完整。将所有部门预算收入全部编入收入预算；②部门支出预算完整。支出预算按人员经费按标准、日常公用经费按定额、专项经费按项目分别编制。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B32预算编制科学性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科学</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预算资金测算依据充分，按照标准编制；②预算编制经过科学论证，测算过程详实；③预算内容与部门业务匹配、预算确定的支出或项目投资额与工作任务相匹配，预算资源配置对保障核心业务开展扎实有效。以上各占1/3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预算资金测算依据充分，按照标准编制；②预算编制经过科学论证，测算过程详实；③预算内容与部门业务匹配、预算确定的支出或项目投资额与工作任务相匹配，预算资源配置对保障核心业务开展扎实有效。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B4财务管理（6）</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B41财务管理制度健全性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健全</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①有适用的部门财务管理制度；②建立专项资金管理办法；③资金管理制度符合相关法律法规要求，内容完整。以上要素各占1/3权重分，符合得对应权重分，否则不得分。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评价组根据实地调研和查阅资料发现①有适用的部门财务管理制度；②建立专项资金管理办法；③资金管理制度符合相关法律法规要求，内容完整。根据评分标准，本三级指标不扣分。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B42资金使用规范性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规范</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资金管理符合法律法规；②资金拨付手续完整；③资金支出符合预算批复用途；④严格执行国库集中支付；⑤不存在截留、挤占、挪用、虚列支出等情况。以上要素各占20%权重分，符合得对应权重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资金管理符合法律法规；②资金拨付手续完整；③资金支出符合预算批复用途；④严格执行国库集中支付；⑤不存在截留、挤占、挪用、虚列支出等情况。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B43支出结构合理性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合理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①基本支出和项目支出结构合理，不存在基本支出挤占项目支出的情况；②项目资金投入结构能够有效支撑核心业务开展。以上要素各占50%权重分，符合得分，否则不得分。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评价组根据实地调研和查阅资料发现①基本支出和项目支出结构合理，不存在基本支出挤占项目支出的情况；②项目资金投入结构能够有效支撑核心业务开展。根据评分标准，本三级指标不扣分。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B5采购管理（2）</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B51政府采购规范性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规范</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①按照政府集中采购目录及政府采购限额标准执行；②按照主管部门及当地政策要求的采购程序执行；③按规定签订合同；④按照合同约定严格执行合同内容。以上要素各占25%权重分，符合得分，否则不得分。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按照政府集中采购目录及政府采购限额标准执行；②按照主管部门及当地政策要求的采购程序执行；③按规定签订合同；④按照合同约定严格执行合同内容。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B6资产管理（6）</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B61资产管理制度健全性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健全</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①有适用的资产管理制度；②制度合法、合规；③明确资产配置、使用、处置、清查等要求。以上要素各占1/3权重分，符合得分，否则不得分。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评价组根据实地调研和查阅资料发现①有适用的资产管理制度；②制度合法、合规；③明确资产配置、使用、处置、清查等要求。根据评分标准，本三级指标不扣分。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B62资产管理到位情况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规范</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①资产保存完整；②配置合理；③处置规范；④账实、账账相符；⑤资产有偿使用及处置收入及时足额上缴。以上要素各占20%权重分，符合得对应权重分，否则不得分。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评价组根据实地调研和查阅资料发现①资产保存完整；②配置合理；④账实、账账相符；⑤资产有偿使用及处置收入及时足额上缴。根据评分标准，本三级指标不扣分。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B63固定资产利用率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固定资产利用率达100%得满分，否则根据实际完成情况得分。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评价组根据实地调研和查阅资料发现党校固定资产利用率达100%。根据评分标准，本三级指标不扣分。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B7人员管理（1）</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B71人员管理制度健全性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健全</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①建立人事管理制度；②制定绩效目标考核及考核结果应用办法。以上要素各占50%权重分，符合得对应权重分，否则不得分。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评价组根据实地调研和查阅资料发现党校①建立人事管理制度；②制定绩效目标考核及考核结果应用办法。根据评分标准，本三级指标不扣分。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B72在职人员控制率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达到目标值得满分，否则每偏离1%扣除10%权重分，扣完为止。如因人员配置问题出现部门履职不到位情况，该项不得分。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评价组根据实地调研和查阅资料发现党校在职人员控制率100%。根据评分标准，本三级指标不扣分。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C履职效能（30）</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C1教学培训（14）</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C11培训工作完成率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4</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培训期数完成率达100%；②培训人次；③按照《关于进一步加强县级党校主体班次培训工作的通知》（豫组通〔2018〕29号）要求开展培训。要点各占1/3权重分。其中，①②③达到目标值得满分，否则根据实际完成情况得分。完成率=实际完成情况/计划完成情况*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县党校按照《关于进一步加强县级党校主体班次培训工作的通知》（豫组通〔2018〕29号）要求开展培训班20期，培训人次达到2951人次完成了培训计划。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4.00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C12党性教育工作完成情况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4</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计划标准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党的理论教育和党性教育课程占总课时的70%以上；②开展理论政策宣讲下基层活动；③党的理论政策宣讲场次完成率达100%；④县委领导班子成员每人每年至少到县委党校上一次党课。各个要素占25%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县党校开展党教工作①党的理论教育和党性教育课程占总课时的80%；②开展了理论政策宣讲下基层活动；③党的理论政策宣讲场次完成率达100%；④县委领导班子成员每人每年达到了至少到县委党校上一次党课。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4.00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C13培训班次规范性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规范</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健全需求调研制度。党校将培训需求调研作为教学计划生成的基础环节，并有需求调研记录；②按分类分层原则设置教学班次、教学内容和课程；③针对居委、社区、“两新”组织等基层党组织负责人进行培训，并设置相应轮训班次；④主体班教学，按省委、市委党校颁布的相关主体班教学大纲组织实施。每个要素各占25%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县党校开展党教工作①健全需求调研制度。党校将培训需求调研作为教学计划生成的基础环节，并有需求调研记录；②按分类分层原则设置教学班次、教学内容和课程；③针对居委、社区、“两新”组织等基层党组织负责人进行培训，并设置相应轮训班次；④主体班教学，按省委、市委党校颁布的相关主体班教学大纲组织实施。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C14培训方式科学性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科学</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创新实践研讨式教学、互动式教学和现场教学等多种教学方式；②完善教案审核制度、集体备课制度及课前试讲、课中观摩、课后测评制度，建立系列教学评估激励机制。每个要素占1/2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县党校开展党教工作①创新实践研讨式教学、互动式教学和现场教学等多种教学方式；②完善教案审核制度、集体备课制度及课前试讲、课中观摩、课后测评制度，建立系列教学评估激励机制。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C2科学研究（3）</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C21科研项目课题完成率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①省委党校课题立项2；②市委党校课题立项4；③市级社科立项4个。要点各占1/3权重分，达到目标值得满分，否则根据实际完成情况按比例得分。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评价组根据实地调研和查阅资料发现淮滨县党校开展党教工作①省委党校课题立项1；②市委党校课题立项3；③市级社科立项4个。根据评分标准，本三级指标扣0.75分。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2.25</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C3师资队伍建设（9）</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C31师资队伍优化情况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计划标准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①高级职称教师占比20%；②45周岁及以下青年教师占比80%。要点各占50%权重分，符合得分，否则不得分。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评价组根据实地调研和查阅资料发现淮滨县党校教师总共16人，高级3人，高级职称教师占比18.75%；45岁以下14人，45周岁及以下青年教师</w:t>
            </w:r>
            <w:r>
              <w:rPr>
                <w:rFonts w:hint="eastAsia" w:ascii="Times New Roman" w:hAnsi="Times New Roman" w:eastAsia="仿宋_GB2312" w:cs="Times New Roman"/>
                <w:i w:val="0"/>
                <w:iCs w:val="0"/>
                <w:color w:val="000000"/>
                <w:kern w:val="0"/>
                <w:sz w:val="21"/>
                <w:szCs w:val="21"/>
                <w:u w:val="none"/>
                <w:lang w:val="en-US" w:eastAsia="zh-CN" w:bidi="ar"/>
              </w:rPr>
              <w:t>占比</w:t>
            </w:r>
            <w:r>
              <w:rPr>
                <w:rFonts w:hint="default" w:ascii="Times New Roman" w:hAnsi="Times New Roman" w:eastAsia="仿宋_GB2312" w:cs="Times New Roman"/>
                <w:i w:val="0"/>
                <w:iCs w:val="0"/>
                <w:color w:val="000000"/>
                <w:kern w:val="0"/>
                <w:sz w:val="21"/>
                <w:szCs w:val="21"/>
                <w:u w:val="none"/>
                <w:lang w:val="en-US" w:eastAsia="zh-CN" w:bidi="ar"/>
              </w:rPr>
              <w:t>87.5%。根据评分标准，本三级指标扣1.5分。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C32师资库课程库建设情况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计划标准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①高层次人才引进数量；②高层次人才培育数量。要点各占50%权重分，达到目标值得满分，否则根据实际完成情况按比例得分。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高层次人才引进数量5人，高层次人才培育数量5人，完成年度计划。根据评分标准，本三级指标不扣分。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C33教职工培训工作开展情况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①创造条件安排教职工到上级党校、高等院校学习培训、挂职进修，教师进修培训完成率达100%；②充分利用各类培训班安排教师跟班学习。</w:t>
            </w:r>
            <w:r>
              <w:rPr>
                <w:rFonts w:hint="default" w:ascii="Times New Roman" w:hAnsi="Times New Roman" w:eastAsia="仿宋_GB2312" w:cs="Times New Roman"/>
                <w:i w:val="0"/>
                <w:iCs w:val="0"/>
                <w:color w:val="000000"/>
                <w:kern w:val="0"/>
                <w:sz w:val="21"/>
                <w:szCs w:val="21"/>
                <w:u w:val="none"/>
                <w:lang w:val="en-US" w:eastAsia="zh-CN" w:bidi="ar"/>
              </w:rPr>
              <w:br w:type="textWrapping"/>
            </w:r>
            <w:r>
              <w:rPr>
                <w:rFonts w:hint="default" w:ascii="Times New Roman" w:hAnsi="Times New Roman" w:eastAsia="仿宋_GB2312" w:cs="Times New Roman"/>
                <w:i w:val="0"/>
                <w:iCs w:val="0"/>
                <w:color w:val="000000"/>
                <w:kern w:val="0"/>
                <w:sz w:val="21"/>
                <w:szCs w:val="21"/>
                <w:u w:val="none"/>
                <w:lang w:val="en-US" w:eastAsia="zh-CN" w:bidi="ar"/>
              </w:rPr>
              <w:t>完成率=实际参与进修培训教师人次/年度计划开展进修培训的教师人次×100%。每个要素各占50%权重分，符合得分，否则不得分。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2020年安排教职工选派5名到上级党校、清华大学进修学习，培训完成率100%。根据评分标准，本三级指标不扣分。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C4服务保障情况（4）</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C41设备系统运行情况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正常</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①相关设备根据要求定期或不定期进行保养维修，并有相关记录；②党校设备系统正常运行，未发生过影响教学培训的情况。每个要素各占50%权重分，符合得分，否则不得分。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电梯、供电设施、消防设施等相关设备根据要求2020年进行保养维修，并有相关记录；党校设备系统正常运行，未发生过影响教学培训的情况。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C42重大活动服务保障完成情况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良好</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①为县委、县政府在县委党校召开的重要会议、举办的重大活动提供服务保障；②未发生因服务保障不到位而影响会议、活动召开的不良现象。每个要素各占50%权重分，符合得分，否则不得分。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为县委、县政府在县委党校召开的重要会议、举办的重大活动提供服务保障；未发生因服务保障不到位而影响会议、活动召开的不良现象。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D履职效益（32）</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D1社会效益（15）</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D11培训学员考核通过率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通过率为100%得满分，否则根据实际考核通过情况按比例得分。</w:t>
            </w:r>
            <w:r>
              <w:rPr>
                <w:rFonts w:hint="default" w:ascii="Times New Roman" w:hAnsi="Times New Roman" w:eastAsia="仿宋_GB2312" w:cs="Times New Roman"/>
                <w:i w:val="0"/>
                <w:iCs w:val="0"/>
                <w:color w:val="000000"/>
                <w:kern w:val="0"/>
                <w:sz w:val="21"/>
                <w:szCs w:val="21"/>
                <w:u w:val="none"/>
                <w:lang w:val="en-US" w:eastAsia="zh-CN" w:bidi="ar"/>
              </w:rPr>
              <w:br w:type="textWrapping"/>
            </w:r>
            <w:r>
              <w:rPr>
                <w:rFonts w:hint="default" w:ascii="Times New Roman" w:hAnsi="Times New Roman" w:eastAsia="仿宋_GB2312" w:cs="Times New Roman"/>
                <w:i w:val="0"/>
                <w:iCs w:val="0"/>
                <w:color w:val="000000"/>
                <w:kern w:val="0"/>
                <w:sz w:val="21"/>
                <w:szCs w:val="21"/>
                <w:u w:val="none"/>
                <w:lang w:val="en-US" w:eastAsia="zh-CN" w:bidi="ar"/>
              </w:rPr>
              <w:t>学员考核通过率=通过考核学员数/参加培训学员数*100%。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评价组根据实地调研和查阅资料发现淮滨区党校2020年度教学培训学员2951人，通过考核2951人，完成培训计划。根据评分标准，本三级指标不扣分。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D12学员党性提升率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全部被调查学员认为通过党校培训自身党性认知及归属感得到提升得满分；每降低1%扣除5%权重分，扣完为止。学员党性提升率=被调查学员党性提升人数/被调查学员总数*100%。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评价组根据实地调研和查阅资料发现淮滨区党校被调查学员认为通过党校培训提升了自身党性认知及归属感。根据评分标准，本三级指标不扣分。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D13重大教学及安全事故发生数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未发生重大教学或安全事故得满分；发生一次及以上不得分。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评价组根据实地调研和查阅资料发现淮滨区党校未发生重大教学或安全事故。根据评分标准，本三级指标不扣分。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D14科研课题获奖情况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科研课题获奖数量增长率≥10，得满分，否则每降低1%，扣除5%权重分，扣完为止。增长率=（2020年实际完成水平</w:t>
            </w:r>
            <w:r>
              <w:rPr>
                <w:rFonts w:hint="eastAsia" w:ascii="Times New Roman" w:hAnsi="Times New Roman" w:eastAsia="仿宋_GB2312" w:cs="Times New Roman"/>
                <w:i w:val="0"/>
                <w:iCs w:val="0"/>
                <w:color w:val="000000"/>
                <w:kern w:val="0"/>
                <w:sz w:val="21"/>
                <w:szCs w:val="21"/>
                <w:u w:val="none"/>
                <w:lang w:val="en-US" w:eastAsia="zh-CN" w:bidi="ar"/>
              </w:rPr>
              <w:t>－</w:t>
            </w:r>
            <w:r>
              <w:rPr>
                <w:rFonts w:hint="default" w:ascii="Times New Roman" w:hAnsi="Times New Roman" w:eastAsia="仿宋_GB2312" w:cs="Times New Roman"/>
                <w:i w:val="0"/>
                <w:iCs w:val="0"/>
                <w:color w:val="000000"/>
                <w:kern w:val="0"/>
                <w:sz w:val="21"/>
                <w:szCs w:val="21"/>
                <w:u w:val="none"/>
                <w:lang w:val="en-US" w:eastAsia="zh-CN" w:bidi="ar"/>
              </w:rPr>
              <w:t>2019年实际完成水平）/2019年实际完成水平*100%。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评价组根据实地调研和查阅资料发现2020淮滨区党校科研课题获奖数量3个，增长率为0。根据评分标准，本三级指标扣1.5分。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D15省、市级以上刊物论文发表情况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省、市级以上刊物论文数量增长率≥20，得满分，否则每降低1%，扣除5%权重分，扣完为止。</w:t>
            </w:r>
            <w:r>
              <w:rPr>
                <w:rFonts w:hint="default" w:ascii="Times New Roman" w:hAnsi="Times New Roman" w:eastAsia="仿宋_GB2312" w:cs="Times New Roman"/>
                <w:i w:val="0"/>
                <w:iCs w:val="0"/>
                <w:color w:val="000000"/>
                <w:kern w:val="0"/>
                <w:sz w:val="21"/>
                <w:szCs w:val="21"/>
                <w:u w:val="none"/>
                <w:lang w:val="en-US" w:eastAsia="zh-CN" w:bidi="ar"/>
              </w:rPr>
              <w:br w:type="textWrapping"/>
            </w:r>
            <w:r>
              <w:rPr>
                <w:rFonts w:hint="default" w:ascii="Times New Roman" w:hAnsi="Times New Roman" w:eastAsia="仿宋_GB2312" w:cs="Times New Roman"/>
                <w:i w:val="0"/>
                <w:iCs w:val="0"/>
                <w:color w:val="000000"/>
                <w:kern w:val="0"/>
                <w:sz w:val="21"/>
                <w:szCs w:val="21"/>
                <w:u w:val="none"/>
                <w:lang w:val="en-US" w:eastAsia="zh-CN" w:bidi="ar"/>
              </w:rPr>
              <w:t>增长率=（2020年实际完成水平</w:t>
            </w:r>
            <w:r>
              <w:rPr>
                <w:rFonts w:hint="eastAsia" w:ascii="Times New Roman" w:hAnsi="Times New Roman" w:eastAsia="仿宋_GB2312" w:cs="Times New Roman"/>
                <w:i w:val="0"/>
                <w:iCs w:val="0"/>
                <w:color w:val="000000"/>
                <w:kern w:val="0"/>
                <w:sz w:val="21"/>
                <w:szCs w:val="21"/>
                <w:u w:val="none"/>
                <w:lang w:val="en-US" w:eastAsia="zh-CN" w:bidi="ar"/>
              </w:rPr>
              <w:t>－</w:t>
            </w:r>
            <w:r>
              <w:rPr>
                <w:rFonts w:hint="default" w:ascii="Times New Roman" w:hAnsi="Times New Roman" w:eastAsia="仿宋_GB2312" w:cs="Times New Roman"/>
                <w:i w:val="0"/>
                <w:iCs w:val="0"/>
                <w:color w:val="000000"/>
                <w:kern w:val="0"/>
                <w:sz w:val="21"/>
                <w:szCs w:val="21"/>
                <w:u w:val="none"/>
                <w:lang w:val="en-US" w:eastAsia="zh-CN" w:bidi="ar"/>
              </w:rPr>
              <w:t>2019年实际完成水平）/2019年实际完成水平*100%。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评价组根据实地调研和查阅资料发现2020</w:t>
            </w:r>
            <w:r>
              <w:rPr>
                <w:rStyle w:val="94"/>
                <w:rFonts w:hint="default" w:ascii="Times New Roman" w:hAnsi="Times New Roman" w:eastAsia="仿宋_GB2312" w:cs="Times New Roman"/>
                <w:sz w:val="21"/>
                <w:szCs w:val="21"/>
                <w:lang w:val="en-US" w:eastAsia="zh-CN" w:bidi="ar"/>
              </w:rPr>
              <w:t>年</w:t>
            </w:r>
            <w:r>
              <w:rPr>
                <w:rFonts w:hint="default" w:ascii="Times New Roman" w:hAnsi="Times New Roman" w:eastAsia="仿宋_GB2312" w:cs="Times New Roman"/>
                <w:i w:val="0"/>
                <w:iCs w:val="0"/>
                <w:color w:val="000000"/>
                <w:kern w:val="0"/>
                <w:sz w:val="21"/>
                <w:szCs w:val="21"/>
                <w:u w:val="none"/>
                <w:lang w:val="en-US" w:eastAsia="zh-CN" w:bidi="ar"/>
              </w:rPr>
              <w:t>淮滨区党校在省级以上发表论文5篇，增长率。根据评分标准，本三级指标不扣分。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D2可持续影响（7）</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D21档案管理完备性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完备</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①人事档案；②业务档案；③工程项目档案；④学员档案。资料详实，装订整齐，且每卷有目录。每个要素各占25%权重分，符合则得分，否则扣除对应权重分。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评价组根据实地调研和查阅资料发现淮滨区党校人事档案、业务档案、工程项目档案、学员档案等资料详实。但部分业务档案未装订，未配有目录。根据评分标准，本三级指标扣0.75分。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2.25</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D22信息化建设情况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良好</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教学、科研、服务工作均可通过信息化平台实现，得100%权重分，有一项不符扣除1/3权重分，扣完为止。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评价组根据实地调研和查阅资料发现淮滨区党校教学、科研等工作均可通过信息化平台实现。根据评分标准，本三级指标不扣分。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D23基础设施建设完备性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完备</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①基础设施建设能够满足工作开展要求；②所有基础设施均能发挥有效作用，即无闲置设施。每个要素各占50%权重分，完全符合得相应权重分的满分；每出现一项不符合扣除相应权重分的50%，扣完为止。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评价组根据实地调研和查阅资料发现淮滨区党校基础设施定期进行维护保养改造，能够发挥有效作用，满足工作开展要求；无闲置设施。根据评分标准，本三级指标不扣分。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D3服务对象满意度（6）</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D31学员满意度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＞90%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考察学员对党校教学、服务等的综合满意度情况，教学包括授课内容、授课方式，课程安排、教学督导等。达到目标值得满分，否则每降低1%扣5%权重分，扣完为止。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通过对党校学员的满意度问卷调查，整体满意程度为95.56%，＞90%。根据评分标准，本三级指标不扣分。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D32工作人员满意度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＞90%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考察工作人员对后勤管理服务以及工作人员对人员配置和分工合理程度的满意度情况。达到目标值得满分，否则每降低1%扣5%权重分，扣完为止。</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通过对党校教职员工的满意度问卷调查，整体满意程度为99.29%，＞90%。</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D4社会影响（4）</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D41获奖情况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考察党校获得党校系统及县级以上奖励情况。最高加2分。县委党校整体或工作人员获得市级奖励1次加0.5分；获得省级以上奖励1次加1分。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评价组根据实地调研和查阅资料发现淮滨区党校获信阳市社会科学优秀成果一等奖2项，河南省党校系统研成果二等奖1项，根据评分标准，本三级指标得2分。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D42违法违纪情况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考察党校违法违纪情况，最高扣2分。县委党校发生1次及以上违法违纪行为扣2分；未发生违法违纪行为不扣分。</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评价组根据实地调研和查阅资料发现，纪检监察部门、财政部门、审计部门、信访部门等外部监督部门未发现违规违法等相关问题及负面评价，舆论媒体未发现有相关负面报道。根据评分标准，本三级指标不扣分。</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0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合计</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86.50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86.50%</w:t>
            </w:r>
          </w:p>
        </w:tc>
      </w:tr>
    </w:tbl>
    <w:p>
      <w:pPr>
        <w:pStyle w:val="7"/>
        <w:spacing w:line="500" w:lineRule="exact"/>
        <w:ind w:firstLine="0" w:firstLineChars="0"/>
        <w:rPr>
          <w:color w:val="auto"/>
          <w:szCs w:val="32"/>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44165B-2942-4E8B-A792-03B74BC628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embedRegular r:id="rId2" w:fontKey="{C09267EF-E663-4A44-AA58-7B8044B6A3C8}"/>
  </w:font>
  <w:font w:name="仿宋">
    <w:panose1 w:val="02010609060101010101"/>
    <w:charset w:val="86"/>
    <w:family w:val="modern"/>
    <w:pitch w:val="default"/>
    <w:sig w:usb0="800002BF" w:usb1="38CF7CFA" w:usb2="00000016" w:usb3="00000000" w:csb0="00040001" w:csb1="00000000"/>
    <w:embedRegular r:id="rId3" w:fontKey="{1D223758-91D1-4A61-9494-18F663842E35}"/>
  </w:font>
  <w:font w:name="等线 Light">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modern"/>
    <w:pitch w:val="default"/>
    <w:sig w:usb0="00000000" w:usb1="00000000" w:usb2="00000000" w:usb3="00000000" w:csb0="00040000" w:csb1="00000000"/>
    <w:embedRegular r:id="rId4" w:fontKey="{23570EEB-6DEE-4626-B4A4-F6AD51D88713}"/>
  </w:font>
  <w:font w:name="仿宋_GB2312">
    <w:panose1 w:val="02010609030101010101"/>
    <w:charset w:val="86"/>
    <w:family w:val="auto"/>
    <w:pitch w:val="default"/>
    <w:sig w:usb0="00000001" w:usb1="080E0000" w:usb2="00000000" w:usb3="00000000" w:csb0="00040000" w:csb1="00000000"/>
    <w:embedRegular r:id="rId5" w:fontKey="{DE085905-4036-4234-B39F-220647F167E1}"/>
  </w:font>
  <w:font w:name="方正小标宋简体">
    <w:panose1 w:val="02000000000000000000"/>
    <w:charset w:val="86"/>
    <w:family w:val="auto"/>
    <w:pitch w:val="default"/>
    <w:sig w:usb0="00000001" w:usb1="08000000" w:usb2="00000000" w:usb3="00000000" w:csb0="00040000" w:csb1="00000000"/>
    <w:embedRegular r:id="rId6" w:fontKey="{853EF059-C066-4754-88DF-75ABA70E621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FangSong_GB2312">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spacing w:line="240" w:lineRule="auto"/>
        <w:ind w:firstLine="420" w:firstLineChars="200"/>
        <w:rPr>
          <w:rFonts w:ascii="Times New Roman" w:hAnsi="Times New Roman" w:eastAsia="FangSong_GB2312"/>
          <w:kern w:val="0"/>
          <w:sz w:val="18"/>
          <w:szCs w:val="18"/>
        </w:rPr>
      </w:pPr>
      <w:r>
        <w:rPr>
          <w:rStyle w:val="27"/>
          <w:sz w:val="21"/>
          <w:szCs w:val="21"/>
        </w:rPr>
        <w:footnoteRef/>
      </w:r>
      <w:r>
        <w:rPr>
          <w:rFonts w:hint="default" w:ascii="Times New Roman" w:hAnsi="Times New Roman" w:eastAsia="FangSong_GB2312" w:cs="Times New Roman"/>
          <w:kern w:val="0"/>
          <w:sz w:val="18"/>
          <w:szCs w:val="18"/>
        </w:rPr>
        <w:t>根据《</w:t>
      </w:r>
      <w:r>
        <w:rPr>
          <w:rFonts w:hint="eastAsia" w:ascii="Times New Roman" w:hAnsi="Times New Roman" w:eastAsia="FangSong_GB2312" w:cs="Times New Roman"/>
          <w:kern w:val="0"/>
          <w:sz w:val="18"/>
          <w:szCs w:val="18"/>
          <w:lang w:val="en-US" w:eastAsia="zh-CN"/>
        </w:rPr>
        <w:t>关于开展2020年度县级财政重点项目和部门整体绩效评价工作的通知</w:t>
      </w:r>
      <w:r>
        <w:rPr>
          <w:rFonts w:hint="default" w:ascii="Times New Roman" w:hAnsi="Times New Roman" w:eastAsia="FangSong_GB2312" w:cs="Times New Roman"/>
          <w:kern w:val="0"/>
          <w:sz w:val="18"/>
          <w:szCs w:val="18"/>
        </w:rPr>
        <w:t>》，</w:t>
      </w:r>
      <w:r>
        <w:rPr>
          <w:rFonts w:hint="eastAsia" w:ascii="Times New Roman" w:hAnsi="Times New Roman" w:eastAsia="FangSong_GB2312" w:cs="Times New Roman"/>
          <w:kern w:val="0"/>
          <w:sz w:val="18"/>
          <w:szCs w:val="18"/>
          <w:lang w:val="en-US" w:eastAsia="zh-CN"/>
        </w:rPr>
        <w:t>绩效评价结果实施百分之和四级分类。</w:t>
      </w:r>
      <w:r>
        <w:rPr>
          <w:rFonts w:hint="default" w:ascii="Times New Roman" w:hAnsi="Times New Roman" w:eastAsia="FangSong_GB2312" w:cs="Times New Roman"/>
          <w:kern w:val="0"/>
          <w:sz w:val="18"/>
          <w:szCs w:val="18"/>
        </w:rPr>
        <w:t>90（含）-100分为优、80（含）-</w:t>
      </w:r>
      <w:r>
        <w:rPr>
          <w:rFonts w:hint="eastAsia" w:ascii="Times New Roman" w:hAnsi="Times New Roman" w:eastAsia="FangSong_GB2312" w:cs="Times New Roman"/>
          <w:kern w:val="0"/>
          <w:sz w:val="18"/>
          <w:szCs w:val="18"/>
          <w:lang w:val="en-US" w:eastAsia="zh-CN"/>
        </w:rPr>
        <w:t>89</w:t>
      </w:r>
      <w:r>
        <w:rPr>
          <w:rFonts w:hint="default" w:ascii="Times New Roman" w:hAnsi="Times New Roman" w:eastAsia="FangSong_GB2312" w:cs="Times New Roman"/>
          <w:kern w:val="0"/>
          <w:sz w:val="18"/>
          <w:szCs w:val="18"/>
        </w:rPr>
        <w:t>分为良、60（含）-</w:t>
      </w:r>
      <w:r>
        <w:rPr>
          <w:rFonts w:hint="eastAsia" w:ascii="Times New Roman" w:hAnsi="Times New Roman" w:eastAsia="FangSong_GB2312" w:cs="Times New Roman"/>
          <w:kern w:val="0"/>
          <w:sz w:val="18"/>
          <w:szCs w:val="18"/>
          <w:lang w:val="en-US" w:eastAsia="zh-CN"/>
        </w:rPr>
        <w:t>79</w:t>
      </w:r>
      <w:r>
        <w:rPr>
          <w:rFonts w:hint="default" w:ascii="Times New Roman" w:hAnsi="Times New Roman" w:eastAsia="FangSong_GB2312" w:cs="Times New Roman"/>
          <w:kern w:val="0"/>
          <w:sz w:val="18"/>
          <w:szCs w:val="18"/>
        </w:rPr>
        <w:t>分为中、</w:t>
      </w:r>
      <w:r>
        <w:rPr>
          <w:rFonts w:hint="eastAsia" w:ascii="Times New Roman" w:hAnsi="Times New Roman" w:eastAsia="FangSong_GB2312" w:cs="Times New Roman"/>
          <w:kern w:val="0"/>
          <w:sz w:val="18"/>
          <w:szCs w:val="18"/>
          <w:lang w:val="en-US" w:eastAsia="zh-CN"/>
        </w:rPr>
        <w:t>0-59分</w:t>
      </w:r>
      <w:r>
        <w:rPr>
          <w:rFonts w:hint="default" w:ascii="Times New Roman" w:hAnsi="Times New Roman" w:eastAsia="FangSong_GB2312" w:cs="Times New Roman"/>
          <w:kern w:val="0"/>
          <w:sz w:val="18"/>
          <w:szCs w:val="18"/>
        </w:rPr>
        <w:t>为差。</w:t>
      </w:r>
    </w:p>
    <w:p>
      <w:pPr>
        <w:pStyle w:val="1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51822F"/>
    <w:multiLevelType w:val="singleLevel"/>
    <w:tmpl w:val="AC51822F"/>
    <w:lvl w:ilvl="0" w:tentative="0">
      <w:start w:val="5"/>
      <w:numFmt w:val="chineseCounting"/>
      <w:suff w:val="nothing"/>
      <w:lvlText w:val="%1、"/>
      <w:lvlJc w:val="left"/>
      <w:rPr>
        <w:rFonts w:hint="eastAsia"/>
      </w:rPr>
    </w:lvl>
  </w:abstractNum>
  <w:abstractNum w:abstractNumId="1">
    <w:nsid w:val="53757CBB"/>
    <w:multiLevelType w:val="multilevel"/>
    <w:tmpl w:val="53757CBB"/>
    <w:lvl w:ilvl="0" w:tentative="0">
      <w:start w:val="1"/>
      <w:numFmt w:val="chineseCountingThousand"/>
      <w:pStyle w:val="74"/>
      <w:suff w:val="space"/>
      <w:lvlText w:val="%1、"/>
      <w:lvlJc w:val="left"/>
      <w:pPr>
        <w:ind w:left="0" w:firstLine="0"/>
      </w:pPr>
      <w:rPr>
        <w:rFonts w:hint="eastAsia"/>
      </w:rPr>
    </w:lvl>
    <w:lvl w:ilvl="1" w:tentative="0">
      <w:start w:val="1"/>
      <w:numFmt w:val="chineseCountingThousand"/>
      <w:pStyle w:val="73"/>
      <w:suff w:val="space"/>
      <w:lvlText w:val="（%2）"/>
      <w:lvlJc w:val="left"/>
      <w:pPr>
        <w:ind w:left="0" w:firstLine="0"/>
      </w:pPr>
      <w:rPr>
        <w:rFonts w:hint="eastAsia"/>
      </w:rPr>
    </w:lvl>
    <w:lvl w:ilvl="2" w:tentative="0">
      <w:start w:val="1"/>
      <w:numFmt w:val="decimal"/>
      <w:suff w:val="space"/>
      <w:lvlText w:val="%3、"/>
      <w:lvlJc w:val="left"/>
      <w:pPr>
        <w:ind w:left="0" w:firstLine="0"/>
      </w:pPr>
      <w:rPr>
        <w:rFonts w:hint="eastAsia"/>
      </w:rPr>
    </w:lvl>
    <w:lvl w:ilvl="3" w:tentative="0">
      <w:start w:val="1"/>
      <w:numFmt w:val="decimal"/>
      <w:suff w:val="space"/>
      <w:lvlText w:val="（%4）"/>
      <w:lvlJc w:val="left"/>
      <w:pPr>
        <w:ind w:left="2693" w:firstLine="0"/>
      </w:pPr>
      <w:rPr>
        <w:rFonts w:hint="eastAsia"/>
        <w:lang w:val="zh-CN"/>
      </w:rPr>
    </w:lvl>
    <w:lvl w:ilvl="4" w:tentative="0">
      <w:start w:val="1"/>
      <w:numFmt w:val="decimal"/>
      <w:suff w:val="space"/>
      <w:lvlText w:val="%5）"/>
      <w:lvlJc w:val="left"/>
      <w:pPr>
        <w:ind w:left="0" w:firstLine="0"/>
      </w:pPr>
      <w:rPr>
        <w:rFonts w:hint="eastAsia"/>
      </w:rPr>
    </w:lvl>
    <w:lvl w:ilvl="5" w:tentative="0">
      <w:start w:val="1"/>
      <w:numFmt w:val="lowerRoman"/>
      <w:suff w:val="space"/>
      <w:lvlText w:val="%6"/>
      <w:lvlJc w:val="left"/>
      <w:pPr>
        <w:ind w:left="0" w:firstLine="0"/>
      </w:pPr>
      <w:rPr>
        <w:rFonts w:hint="eastAsia"/>
      </w:rPr>
    </w:lvl>
    <w:lvl w:ilvl="6" w:tentative="0">
      <w:start w:val="1"/>
      <w:numFmt w:val="lowerRoman"/>
      <w:suff w:val="space"/>
      <w:lvlText w:val="%7）"/>
      <w:lvlJc w:val="left"/>
      <w:pPr>
        <w:ind w:left="0" w:firstLine="0"/>
      </w:pPr>
      <w:rPr>
        <w:rFonts w:hint="default"/>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610671B8"/>
    <w:multiLevelType w:val="multilevel"/>
    <w:tmpl w:val="610671B8"/>
    <w:lvl w:ilvl="0" w:tentative="0">
      <w:start w:val="1"/>
      <w:numFmt w:val="chineseCountingThousand"/>
      <w:suff w:val="nothing"/>
      <w:lvlText w:val="%1、"/>
      <w:lvlJc w:val="left"/>
      <w:pPr>
        <w:ind w:left="425" w:hanging="425"/>
      </w:pPr>
      <w:rPr>
        <w:rFonts w:hint="eastAsia"/>
      </w:rPr>
    </w:lvl>
    <w:lvl w:ilvl="1" w:tentative="0">
      <w:start w:val="1"/>
      <w:numFmt w:val="chineseCountingThousand"/>
      <w:suff w:val="nothing"/>
      <w:lvlText w:val="（%2）"/>
      <w:lvlJc w:val="left"/>
      <w:pPr>
        <w:ind w:left="992" w:hanging="567"/>
      </w:pPr>
      <w:rPr>
        <w:rFonts w:hint="eastAsia"/>
      </w:rPr>
    </w:lvl>
    <w:lvl w:ilvl="2" w:tentative="0">
      <w:start w:val="1"/>
      <w:numFmt w:val="decimal"/>
      <w:suff w:val="nothing"/>
      <w:lvlText w:val="%3. "/>
      <w:lvlJc w:val="left"/>
      <w:pPr>
        <w:ind w:left="992" w:hanging="567"/>
      </w:pPr>
      <w:rPr>
        <w:rFonts w:hint="eastAsia"/>
      </w:rPr>
    </w:lvl>
    <w:lvl w:ilvl="3" w:tentative="0">
      <w:start w:val="1"/>
      <w:numFmt w:val="decimal"/>
      <w:suff w:val="nothing"/>
      <w:lvlText w:val="（%4）"/>
      <w:lvlJc w:val="left"/>
      <w:pPr>
        <w:ind w:left="992" w:hanging="425"/>
      </w:pPr>
      <w:rPr>
        <w:rFonts w:hint="eastAsia"/>
      </w:rPr>
    </w:lvl>
    <w:lvl w:ilvl="4" w:tentative="0">
      <w:start w:val="1"/>
      <w:numFmt w:val="decimal"/>
      <w:pStyle w:val="9"/>
      <w:suff w:val="nothing"/>
      <w:lvlText w:val="%5）"/>
      <w:lvlJc w:val="left"/>
      <w:pPr>
        <w:ind w:left="992" w:hanging="113"/>
      </w:pPr>
      <w:rPr>
        <w:rFonts w:hint="eastAsia"/>
      </w:rPr>
    </w:lvl>
    <w:lvl w:ilvl="5" w:tentative="0">
      <w:start w:val="1"/>
      <w:numFmt w:val="decimal"/>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abstractNum w:abstractNumId="3">
    <w:nsid w:val="765B6547"/>
    <w:multiLevelType w:val="singleLevel"/>
    <w:tmpl w:val="765B6547"/>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3E1"/>
    <w:rsid w:val="00000226"/>
    <w:rsid w:val="0006408C"/>
    <w:rsid w:val="000651A4"/>
    <w:rsid w:val="000A28B0"/>
    <w:rsid w:val="000B33E1"/>
    <w:rsid w:val="000F0DB5"/>
    <w:rsid w:val="000F1ABE"/>
    <w:rsid w:val="0010724C"/>
    <w:rsid w:val="0011183E"/>
    <w:rsid w:val="00111B58"/>
    <w:rsid w:val="001128D1"/>
    <w:rsid w:val="00193D34"/>
    <w:rsid w:val="001D75A9"/>
    <w:rsid w:val="00201F9B"/>
    <w:rsid w:val="00211C81"/>
    <w:rsid w:val="00237A39"/>
    <w:rsid w:val="00293A10"/>
    <w:rsid w:val="002A5711"/>
    <w:rsid w:val="002D6841"/>
    <w:rsid w:val="002F1ED0"/>
    <w:rsid w:val="002F5A36"/>
    <w:rsid w:val="00322079"/>
    <w:rsid w:val="0043065C"/>
    <w:rsid w:val="00432EFE"/>
    <w:rsid w:val="00472BEA"/>
    <w:rsid w:val="004732D6"/>
    <w:rsid w:val="00484C64"/>
    <w:rsid w:val="004A0358"/>
    <w:rsid w:val="004C704D"/>
    <w:rsid w:val="004E22FF"/>
    <w:rsid w:val="00500F0B"/>
    <w:rsid w:val="00542D5F"/>
    <w:rsid w:val="005709D7"/>
    <w:rsid w:val="005915AF"/>
    <w:rsid w:val="0059303C"/>
    <w:rsid w:val="005C7241"/>
    <w:rsid w:val="005E2467"/>
    <w:rsid w:val="005F1ED5"/>
    <w:rsid w:val="0060623B"/>
    <w:rsid w:val="0061621C"/>
    <w:rsid w:val="00625A21"/>
    <w:rsid w:val="00642994"/>
    <w:rsid w:val="006466B8"/>
    <w:rsid w:val="00685DD7"/>
    <w:rsid w:val="006C0FBD"/>
    <w:rsid w:val="006C37B8"/>
    <w:rsid w:val="006C6D2B"/>
    <w:rsid w:val="006D0423"/>
    <w:rsid w:val="00703903"/>
    <w:rsid w:val="0071160C"/>
    <w:rsid w:val="0072797F"/>
    <w:rsid w:val="00780A4C"/>
    <w:rsid w:val="007C719C"/>
    <w:rsid w:val="007E2968"/>
    <w:rsid w:val="007E398F"/>
    <w:rsid w:val="007E61C6"/>
    <w:rsid w:val="008002C7"/>
    <w:rsid w:val="008101D2"/>
    <w:rsid w:val="008374A1"/>
    <w:rsid w:val="00855261"/>
    <w:rsid w:val="008C5A5E"/>
    <w:rsid w:val="008F0731"/>
    <w:rsid w:val="008F622D"/>
    <w:rsid w:val="00903550"/>
    <w:rsid w:val="00906D5B"/>
    <w:rsid w:val="00945FD6"/>
    <w:rsid w:val="0096404A"/>
    <w:rsid w:val="00981179"/>
    <w:rsid w:val="009879E2"/>
    <w:rsid w:val="009C2813"/>
    <w:rsid w:val="009E3484"/>
    <w:rsid w:val="009E538B"/>
    <w:rsid w:val="009F209F"/>
    <w:rsid w:val="00A11304"/>
    <w:rsid w:val="00A27BE9"/>
    <w:rsid w:val="00A52848"/>
    <w:rsid w:val="00A52914"/>
    <w:rsid w:val="00A5345E"/>
    <w:rsid w:val="00A558B3"/>
    <w:rsid w:val="00A810BC"/>
    <w:rsid w:val="00A85D85"/>
    <w:rsid w:val="00AA0157"/>
    <w:rsid w:val="00AA3054"/>
    <w:rsid w:val="00AD415C"/>
    <w:rsid w:val="00B40585"/>
    <w:rsid w:val="00B76D68"/>
    <w:rsid w:val="00BB0C56"/>
    <w:rsid w:val="00BB5A02"/>
    <w:rsid w:val="00BC68FF"/>
    <w:rsid w:val="00BF0559"/>
    <w:rsid w:val="00C95964"/>
    <w:rsid w:val="00CA3FC1"/>
    <w:rsid w:val="00CA77DA"/>
    <w:rsid w:val="00CB775F"/>
    <w:rsid w:val="00CC010E"/>
    <w:rsid w:val="00CD6F9D"/>
    <w:rsid w:val="00CD72CF"/>
    <w:rsid w:val="00CE53C5"/>
    <w:rsid w:val="00D15FD5"/>
    <w:rsid w:val="00D166DF"/>
    <w:rsid w:val="00D16765"/>
    <w:rsid w:val="00D46BD6"/>
    <w:rsid w:val="00D7646C"/>
    <w:rsid w:val="00D93246"/>
    <w:rsid w:val="00DA5F96"/>
    <w:rsid w:val="00DE7F8D"/>
    <w:rsid w:val="00E30F07"/>
    <w:rsid w:val="00E352F7"/>
    <w:rsid w:val="00E4420F"/>
    <w:rsid w:val="00E6597D"/>
    <w:rsid w:val="00E75497"/>
    <w:rsid w:val="00E85AD8"/>
    <w:rsid w:val="00EA559E"/>
    <w:rsid w:val="00ED2718"/>
    <w:rsid w:val="00F07E14"/>
    <w:rsid w:val="00F10108"/>
    <w:rsid w:val="00F87C4D"/>
    <w:rsid w:val="01355A10"/>
    <w:rsid w:val="017107CE"/>
    <w:rsid w:val="019D420C"/>
    <w:rsid w:val="01B151BA"/>
    <w:rsid w:val="01B26319"/>
    <w:rsid w:val="0225052D"/>
    <w:rsid w:val="024F6D04"/>
    <w:rsid w:val="025F0D70"/>
    <w:rsid w:val="0337627D"/>
    <w:rsid w:val="03CE6032"/>
    <w:rsid w:val="056D7CF3"/>
    <w:rsid w:val="05D14803"/>
    <w:rsid w:val="060C4EB0"/>
    <w:rsid w:val="06817769"/>
    <w:rsid w:val="080F2F3C"/>
    <w:rsid w:val="082155AD"/>
    <w:rsid w:val="0861284B"/>
    <w:rsid w:val="086C46D3"/>
    <w:rsid w:val="09BE443A"/>
    <w:rsid w:val="0AB23BF9"/>
    <w:rsid w:val="0AC326E4"/>
    <w:rsid w:val="0BDB1681"/>
    <w:rsid w:val="0BEB41CD"/>
    <w:rsid w:val="0C321CB6"/>
    <w:rsid w:val="0D013BA0"/>
    <w:rsid w:val="0D3545EA"/>
    <w:rsid w:val="0E186848"/>
    <w:rsid w:val="0E3C3A3A"/>
    <w:rsid w:val="0E671151"/>
    <w:rsid w:val="0EE91E83"/>
    <w:rsid w:val="103B47C0"/>
    <w:rsid w:val="10831E63"/>
    <w:rsid w:val="10936E58"/>
    <w:rsid w:val="10CA72A2"/>
    <w:rsid w:val="10CF6BB7"/>
    <w:rsid w:val="11523C9E"/>
    <w:rsid w:val="11D12187"/>
    <w:rsid w:val="14D6670C"/>
    <w:rsid w:val="161A516D"/>
    <w:rsid w:val="165355F0"/>
    <w:rsid w:val="175A3348"/>
    <w:rsid w:val="178075BC"/>
    <w:rsid w:val="1795062E"/>
    <w:rsid w:val="17B8331C"/>
    <w:rsid w:val="184B3A25"/>
    <w:rsid w:val="188567E0"/>
    <w:rsid w:val="19310EA9"/>
    <w:rsid w:val="19B21E30"/>
    <w:rsid w:val="1A252E19"/>
    <w:rsid w:val="1AEB5355"/>
    <w:rsid w:val="1B5A5A7F"/>
    <w:rsid w:val="1B766965"/>
    <w:rsid w:val="1BD10712"/>
    <w:rsid w:val="1BF92EEF"/>
    <w:rsid w:val="1C055822"/>
    <w:rsid w:val="1D7242E8"/>
    <w:rsid w:val="1D8B495A"/>
    <w:rsid w:val="1D9C74C9"/>
    <w:rsid w:val="1E722526"/>
    <w:rsid w:val="1E851454"/>
    <w:rsid w:val="1F0E2997"/>
    <w:rsid w:val="1F1066E2"/>
    <w:rsid w:val="1F16685B"/>
    <w:rsid w:val="21060DC3"/>
    <w:rsid w:val="214A77FC"/>
    <w:rsid w:val="224262CA"/>
    <w:rsid w:val="224C4F13"/>
    <w:rsid w:val="22782717"/>
    <w:rsid w:val="25860CC1"/>
    <w:rsid w:val="258A3ABF"/>
    <w:rsid w:val="26760CDD"/>
    <w:rsid w:val="268D1D18"/>
    <w:rsid w:val="26E06ABE"/>
    <w:rsid w:val="27EF65D9"/>
    <w:rsid w:val="281966A8"/>
    <w:rsid w:val="28245A7F"/>
    <w:rsid w:val="28B054CE"/>
    <w:rsid w:val="28C96DB7"/>
    <w:rsid w:val="29F9070F"/>
    <w:rsid w:val="2A794A63"/>
    <w:rsid w:val="2A9067BA"/>
    <w:rsid w:val="2AB1134D"/>
    <w:rsid w:val="2B547422"/>
    <w:rsid w:val="2C2C56D6"/>
    <w:rsid w:val="2C48750F"/>
    <w:rsid w:val="2D297EE8"/>
    <w:rsid w:val="2F023097"/>
    <w:rsid w:val="2FAB378A"/>
    <w:rsid w:val="313D7B9C"/>
    <w:rsid w:val="322D7F61"/>
    <w:rsid w:val="32775B96"/>
    <w:rsid w:val="32DB1DE6"/>
    <w:rsid w:val="338A5C42"/>
    <w:rsid w:val="346D2033"/>
    <w:rsid w:val="34852E56"/>
    <w:rsid w:val="349013E7"/>
    <w:rsid w:val="34BA3490"/>
    <w:rsid w:val="350551D8"/>
    <w:rsid w:val="356D2543"/>
    <w:rsid w:val="35C178FA"/>
    <w:rsid w:val="36C23EF1"/>
    <w:rsid w:val="36D9782E"/>
    <w:rsid w:val="37026BC8"/>
    <w:rsid w:val="388003BF"/>
    <w:rsid w:val="38A410B2"/>
    <w:rsid w:val="3CFD4641"/>
    <w:rsid w:val="3D176DD3"/>
    <w:rsid w:val="3F184E1C"/>
    <w:rsid w:val="3FA317F1"/>
    <w:rsid w:val="3FBB4DFE"/>
    <w:rsid w:val="3FC77BA8"/>
    <w:rsid w:val="40B347CD"/>
    <w:rsid w:val="40DB4E2D"/>
    <w:rsid w:val="40E7414A"/>
    <w:rsid w:val="42E16FA5"/>
    <w:rsid w:val="43966B52"/>
    <w:rsid w:val="44296D64"/>
    <w:rsid w:val="46903ECA"/>
    <w:rsid w:val="46DF535F"/>
    <w:rsid w:val="47332264"/>
    <w:rsid w:val="47332A29"/>
    <w:rsid w:val="4825356B"/>
    <w:rsid w:val="48BD6585"/>
    <w:rsid w:val="493C4090"/>
    <w:rsid w:val="49E644DE"/>
    <w:rsid w:val="49EB4FA8"/>
    <w:rsid w:val="4A23374C"/>
    <w:rsid w:val="4A313EB9"/>
    <w:rsid w:val="4A516A23"/>
    <w:rsid w:val="4A81143D"/>
    <w:rsid w:val="4B187A53"/>
    <w:rsid w:val="4B5B06D4"/>
    <w:rsid w:val="4E001F66"/>
    <w:rsid w:val="4E1D3E30"/>
    <w:rsid w:val="4E697A83"/>
    <w:rsid w:val="4F3567F9"/>
    <w:rsid w:val="4F3B0A66"/>
    <w:rsid w:val="50094710"/>
    <w:rsid w:val="50C257DF"/>
    <w:rsid w:val="522C0089"/>
    <w:rsid w:val="54EA1089"/>
    <w:rsid w:val="556D0FF1"/>
    <w:rsid w:val="55D14BCB"/>
    <w:rsid w:val="577A7A8E"/>
    <w:rsid w:val="58714E52"/>
    <w:rsid w:val="58B97EC1"/>
    <w:rsid w:val="5AA301AA"/>
    <w:rsid w:val="5B1A2DDB"/>
    <w:rsid w:val="5B253458"/>
    <w:rsid w:val="5B503181"/>
    <w:rsid w:val="5BA74E6C"/>
    <w:rsid w:val="5C3E4995"/>
    <w:rsid w:val="5C5C3ADA"/>
    <w:rsid w:val="5CFE567F"/>
    <w:rsid w:val="5D8C3F75"/>
    <w:rsid w:val="5E9D2544"/>
    <w:rsid w:val="5EAF2E95"/>
    <w:rsid w:val="5EFE1FF9"/>
    <w:rsid w:val="5FE45D2E"/>
    <w:rsid w:val="600C28AF"/>
    <w:rsid w:val="607A2EAD"/>
    <w:rsid w:val="60FF7455"/>
    <w:rsid w:val="640271AB"/>
    <w:rsid w:val="664E5D9E"/>
    <w:rsid w:val="668A2A64"/>
    <w:rsid w:val="67A25B03"/>
    <w:rsid w:val="68954631"/>
    <w:rsid w:val="6921330F"/>
    <w:rsid w:val="699546A9"/>
    <w:rsid w:val="69FA19C4"/>
    <w:rsid w:val="6AE0505D"/>
    <w:rsid w:val="6B134760"/>
    <w:rsid w:val="6B322A8A"/>
    <w:rsid w:val="6B37346D"/>
    <w:rsid w:val="6B6650A2"/>
    <w:rsid w:val="6BF34233"/>
    <w:rsid w:val="6CDF7C90"/>
    <w:rsid w:val="6D1B3E1A"/>
    <w:rsid w:val="6D1E2399"/>
    <w:rsid w:val="6D8E5388"/>
    <w:rsid w:val="6F196FBC"/>
    <w:rsid w:val="6F416FF8"/>
    <w:rsid w:val="6FA57CAC"/>
    <w:rsid w:val="6FD50B7C"/>
    <w:rsid w:val="703B3A73"/>
    <w:rsid w:val="707777EE"/>
    <w:rsid w:val="707C4230"/>
    <w:rsid w:val="708459F5"/>
    <w:rsid w:val="70EE667C"/>
    <w:rsid w:val="7173537B"/>
    <w:rsid w:val="71CA15B1"/>
    <w:rsid w:val="732F51CC"/>
    <w:rsid w:val="73B30F55"/>
    <w:rsid w:val="73F17A12"/>
    <w:rsid w:val="75C64D1D"/>
    <w:rsid w:val="75E611F0"/>
    <w:rsid w:val="75EE000E"/>
    <w:rsid w:val="762753EA"/>
    <w:rsid w:val="77441F63"/>
    <w:rsid w:val="78AF4F20"/>
    <w:rsid w:val="79310A99"/>
    <w:rsid w:val="794D100F"/>
    <w:rsid w:val="794D3BD8"/>
    <w:rsid w:val="79877082"/>
    <w:rsid w:val="7990349B"/>
    <w:rsid w:val="79C55CB1"/>
    <w:rsid w:val="7A0530A1"/>
    <w:rsid w:val="7A100A9E"/>
    <w:rsid w:val="7AA92910"/>
    <w:rsid w:val="7AC5278A"/>
    <w:rsid w:val="7AFA3303"/>
    <w:rsid w:val="7B114808"/>
    <w:rsid w:val="7B675889"/>
    <w:rsid w:val="7C9E21E2"/>
    <w:rsid w:val="7CD12D62"/>
    <w:rsid w:val="7DA32EF1"/>
    <w:rsid w:val="7DAB3A95"/>
    <w:rsid w:val="7DE2782D"/>
    <w:rsid w:val="7F2B5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9" w:semiHidden="0" w:name="heading 3"/>
    <w:lsdException w:qFormat="1" w:unhideWhenUsed="0" w:uiPriority="3"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4">
    <w:name w:val="heading 1"/>
    <w:basedOn w:val="1"/>
    <w:next w:val="1"/>
    <w:link w:val="31"/>
    <w:qFormat/>
    <w:uiPriority w:val="0"/>
    <w:pPr>
      <w:snapToGrid w:val="0"/>
      <w:spacing w:line="560" w:lineRule="exact"/>
      <w:ind w:firstLine="480" w:firstLineChars="200"/>
      <w:jc w:val="left"/>
      <w:outlineLvl w:val="0"/>
    </w:pPr>
    <w:rPr>
      <w:rFonts w:ascii="Times New Roman" w:hAnsi="Times New Roman" w:eastAsia="黑体"/>
      <w:bCs/>
      <w:kern w:val="44"/>
      <w:sz w:val="32"/>
      <w:szCs w:val="32"/>
    </w:rPr>
  </w:style>
  <w:style w:type="paragraph" w:styleId="5">
    <w:name w:val="heading 2"/>
    <w:basedOn w:val="1"/>
    <w:next w:val="1"/>
    <w:link w:val="32"/>
    <w:qFormat/>
    <w:uiPriority w:val="1"/>
    <w:pPr>
      <w:keepNext/>
      <w:keepLines/>
      <w:spacing w:line="560" w:lineRule="exact"/>
      <w:ind w:firstLine="480" w:firstLineChars="200"/>
      <w:outlineLvl w:val="1"/>
    </w:pPr>
    <w:rPr>
      <w:rFonts w:ascii="Times New Roman" w:hAnsi="Times New Roman" w:eastAsia="楷体" w:cstheme="majorBidi"/>
      <w:b/>
      <w:bCs/>
      <w:sz w:val="32"/>
      <w:szCs w:val="32"/>
    </w:rPr>
  </w:style>
  <w:style w:type="paragraph" w:styleId="6">
    <w:name w:val="heading 3"/>
    <w:basedOn w:val="7"/>
    <w:next w:val="7"/>
    <w:link w:val="33"/>
    <w:qFormat/>
    <w:uiPriority w:val="9"/>
    <w:pPr>
      <w:keepNext/>
      <w:keepLines/>
      <w:ind w:firstLine="643"/>
      <w:outlineLvl w:val="2"/>
    </w:pPr>
    <w:rPr>
      <w:b/>
      <w:bCs/>
      <w:szCs w:val="32"/>
    </w:rPr>
  </w:style>
  <w:style w:type="paragraph" w:styleId="8">
    <w:name w:val="heading 4"/>
    <w:basedOn w:val="7"/>
    <w:next w:val="1"/>
    <w:link w:val="34"/>
    <w:qFormat/>
    <w:uiPriority w:val="3"/>
    <w:pPr>
      <w:keepNext/>
      <w:keepLines/>
      <w:ind w:firstLine="643"/>
      <w:outlineLvl w:val="3"/>
    </w:pPr>
    <w:rPr>
      <w:rFonts w:cstheme="majorBidi"/>
      <w:b/>
      <w:bCs/>
    </w:rPr>
  </w:style>
  <w:style w:type="paragraph" w:styleId="9">
    <w:name w:val="heading 5"/>
    <w:basedOn w:val="7"/>
    <w:next w:val="7"/>
    <w:link w:val="35"/>
    <w:unhideWhenUsed/>
    <w:qFormat/>
    <w:uiPriority w:val="9"/>
    <w:pPr>
      <w:keepNext/>
      <w:keepLines/>
      <w:numPr>
        <w:ilvl w:val="4"/>
        <w:numId w:val="1"/>
      </w:numPr>
      <w:spacing w:before="120" w:after="60"/>
      <w:ind w:firstLine="0" w:firstLineChars="0"/>
      <w:outlineLvl w:val="4"/>
    </w:pPr>
    <w:rPr>
      <w:b/>
      <w:bCs/>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42"/>
    <w:unhideWhenUsed/>
    <w:qFormat/>
    <w:uiPriority w:val="99"/>
    <w:pPr>
      <w:ind w:firstLine="420" w:firstLineChars="200"/>
    </w:pPr>
  </w:style>
  <w:style w:type="paragraph" w:styleId="3">
    <w:name w:val="Body Text Indent"/>
    <w:basedOn w:val="1"/>
    <w:link w:val="38"/>
    <w:semiHidden/>
    <w:unhideWhenUsed/>
    <w:qFormat/>
    <w:uiPriority w:val="99"/>
    <w:pPr>
      <w:spacing w:after="120"/>
      <w:ind w:left="420" w:leftChars="200"/>
    </w:pPr>
  </w:style>
  <w:style w:type="paragraph" w:customStyle="1" w:styleId="7">
    <w:name w:val="安策正文"/>
    <w:basedOn w:val="1"/>
    <w:link w:val="48"/>
    <w:qFormat/>
    <w:uiPriority w:val="0"/>
    <w:pPr>
      <w:adjustRightInd w:val="0"/>
      <w:snapToGrid w:val="0"/>
      <w:spacing w:line="560" w:lineRule="exact"/>
      <w:ind w:firstLine="640" w:firstLineChars="200"/>
    </w:pPr>
    <w:rPr>
      <w:rFonts w:ascii="Times New Roman" w:hAnsi="Times New Roman" w:eastAsia="仿宋" w:cs="Times New Roman"/>
      <w:kern w:val="0"/>
      <w:sz w:val="32"/>
      <w:szCs w:val="32"/>
    </w:rPr>
  </w:style>
  <w:style w:type="paragraph" w:styleId="10">
    <w:name w:val="caption"/>
    <w:basedOn w:val="1"/>
    <w:next w:val="1"/>
    <w:unhideWhenUsed/>
    <w:qFormat/>
    <w:uiPriority w:val="35"/>
    <w:rPr>
      <w:rFonts w:eastAsia="黑体" w:asciiTheme="majorHAnsi" w:hAnsiTheme="majorHAnsi" w:cstheme="majorBidi"/>
      <w:sz w:val="20"/>
      <w:szCs w:val="20"/>
    </w:rPr>
  </w:style>
  <w:style w:type="paragraph" w:styleId="11">
    <w:name w:val="annotation text"/>
    <w:basedOn w:val="1"/>
    <w:link w:val="36"/>
    <w:unhideWhenUsed/>
    <w:qFormat/>
    <w:uiPriority w:val="99"/>
    <w:pPr>
      <w:jc w:val="left"/>
    </w:pPr>
  </w:style>
  <w:style w:type="paragraph" w:styleId="12">
    <w:name w:val="Body Text"/>
    <w:basedOn w:val="1"/>
    <w:next w:val="1"/>
    <w:link w:val="37"/>
    <w:qFormat/>
    <w:uiPriority w:val="0"/>
    <w:rPr>
      <w:rFonts w:ascii="Times New Roman" w:hAnsi="Times New Roman"/>
    </w:rPr>
  </w:style>
  <w:style w:type="paragraph" w:styleId="13">
    <w:name w:val="toc 3"/>
    <w:basedOn w:val="1"/>
    <w:next w:val="1"/>
    <w:unhideWhenUsed/>
    <w:qFormat/>
    <w:uiPriority w:val="39"/>
    <w:pPr>
      <w:ind w:left="840" w:leftChars="400"/>
    </w:pPr>
  </w:style>
  <w:style w:type="paragraph" w:styleId="14">
    <w:name w:val="Balloon Text"/>
    <w:basedOn w:val="1"/>
    <w:link w:val="39"/>
    <w:semiHidden/>
    <w:unhideWhenUsed/>
    <w:qFormat/>
    <w:uiPriority w:val="99"/>
    <w:rPr>
      <w:sz w:val="18"/>
      <w:szCs w:val="18"/>
    </w:rPr>
  </w:style>
  <w:style w:type="paragraph" w:styleId="15">
    <w:name w:val="footer"/>
    <w:basedOn w:val="1"/>
    <w:link w:val="30"/>
    <w:unhideWhenUsed/>
    <w:qFormat/>
    <w:uiPriority w:val="99"/>
    <w:pPr>
      <w:tabs>
        <w:tab w:val="center" w:pos="4153"/>
        <w:tab w:val="right" w:pos="8306"/>
      </w:tabs>
      <w:snapToGrid w:val="0"/>
      <w:jc w:val="left"/>
    </w:pPr>
    <w:rPr>
      <w:sz w:val="18"/>
      <w:szCs w:val="18"/>
    </w:rPr>
  </w:style>
  <w:style w:type="paragraph" w:styleId="16">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7"/>
    <w:next w:val="7"/>
    <w:unhideWhenUsed/>
    <w:qFormat/>
    <w:uiPriority w:val="39"/>
    <w:pPr>
      <w:tabs>
        <w:tab w:val="right" w:leader="dot" w:pos="8296"/>
      </w:tabs>
      <w:spacing w:line="460" w:lineRule="exact"/>
      <w:ind w:firstLine="0" w:firstLineChars="0"/>
    </w:pPr>
    <w:rPr>
      <w:b/>
    </w:rPr>
  </w:style>
  <w:style w:type="paragraph" w:styleId="18">
    <w:name w:val="footnote text"/>
    <w:basedOn w:val="1"/>
    <w:link w:val="40"/>
    <w:qFormat/>
    <w:uiPriority w:val="0"/>
    <w:pPr>
      <w:snapToGrid w:val="0"/>
      <w:jc w:val="left"/>
    </w:pPr>
    <w:rPr>
      <w:rFonts w:ascii="Times New Roman" w:hAnsi="Times New Roman" w:eastAsia="FangSong_GB2312"/>
      <w:sz w:val="18"/>
      <w:szCs w:val="18"/>
    </w:rPr>
  </w:style>
  <w:style w:type="paragraph" w:styleId="19">
    <w:name w:val="toc 2"/>
    <w:basedOn w:val="7"/>
    <w:next w:val="7"/>
    <w:unhideWhenUsed/>
    <w:qFormat/>
    <w:uiPriority w:val="39"/>
    <w:pPr>
      <w:tabs>
        <w:tab w:val="right" w:leader="dot" w:pos="8296"/>
      </w:tabs>
      <w:spacing w:line="460" w:lineRule="exact"/>
      <w:ind w:left="200" w:leftChars="200" w:firstLine="0" w:firstLineChars="0"/>
    </w:pPr>
  </w:style>
  <w:style w:type="paragraph" w:styleId="20">
    <w:name w:val="Normal (Web)"/>
    <w:basedOn w:val="1"/>
    <w:unhideWhenUsed/>
    <w:qFormat/>
    <w:uiPriority w:val="99"/>
    <w:rPr>
      <w:sz w:val="24"/>
      <w:szCs w:val="24"/>
    </w:rPr>
  </w:style>
  <w:style w:type="paragraph" w:styleId="21">
    <w:name w:val="annotation subject"/>
    <w:basedOn w:val="11"/>
    <w:next w:val="11"/>
    <w:link w:val="41"/>
    <w:semiHidden/>
    <w:unhideWhenUsed/>
    <w:qFormat/>
    <w:uiPriority w:val="99"/>
    <w:rPr>
      <w:b/>
      <w:bCs/>
    </w:rPr>
  </w:style>
  <w:style w:type="table" w:styleId="23">
    <w:name w:val="Table Grid"/>
    <w:basedOn w:val="22"/>
    <w:qFormat/>
    <w:uiPriority w:val="99"/>
    <w:pPr>
      <w:spacing w:line="300" w:lineRule="exact"/>
      <w:jc w:val="center"/>
    </w:pPr>
    <w:rPr>
      <w:rFonts w:eastAsia="FangSong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styleId="25">
    <w:name w:val="Hyperlink"/>
    <w:basedOn w:val="24"/>
    <w:unhideWhenUsed/>
    <w:qFormat/>
    <w:uiPriority w:val="99"/>
    <w:rPr>
      <w:color w:val="0563C1" w:themeColor="hyperlink"/>
      <w:u w:val="single"/>
      <w14:textFill>
        <w14:solidFill>
          <w14:schemeClr w14:val="hlink"/>
        </w14:solidFill>
      </w14:textFill>
    </w:rPr>
  </w:style>
  <w:style w:type="character" w:styleId="26">
    <w:name w:val="annotation reference"/>
    <w:basedOn w:val="24"/>
    <w:semiHidden/>
    <w:unhideWhenUsed/>
    <w:qFormat/>
    <w:uiPriority w:val="99"/>
    <w:rPr>
      <w:sz w:val="21"/>
      <w:szCs w:val="21"/>
    </w:rPr>
  </w:style>
  <w:style w:type="character" w:styleId="27">
    <w:name w:val="footnote reference"/>
    <w:qFormat/>
    <w:uiPriority w:val="0"/>
    <w:rPr>
      <w:vertAlign w:val="superscript"/>
    </w:rPr>
  </w:style>
  <w:style w:type="paragraph" w:customStyle="1" w:styleId="28">
    <w:name w:val="正文文本 21"/>
    <w:basedOn w:val="1"/>
    <w:qFormat/>
    <w:uiPriority w:val="0"/>
    <w:pPr>
      <w:spacing w:line="480" w:lineRule="auto"/>
    </w:pPr>
  </w:style>
  <w:style w:type="character" w:customStyle="1" w:styleId="29">
    <w:name w:val="页眉 字符"/>
    <w:basedOn w:val="24"/>
    <w:link w:val="16"/>
    <w:qFormat/>
    <w:uiPriority w:val="99"/>
    <w:rPr>
      <w:sz w:val="18"/>
      <w:szCs w:val="18"/>
    </w:rPr>
  </w:style>
  <w:style w:type="character" w:customStyle="1" w:styleId="30">
    <w:name w:val="页脚 字符"/>
    <w:basedOn w:val="24"/>
    <w:link w:val="15"/>
    <w:qFormat/>
    <w:uiPriority w:val="99"/>
    <w:rPr>
      <w:sz w:val="18"/>
      <w:szCs w:val="18"/>
    </w:rPr>
  </w:style>
  <w:style w:type="character" w:customStyle="1" w:styleId="31">
    <w:name w:val="标题 1 字符"/>
    <w:basedOn w:val="24"/>
    <w:link w:val="4"/>
    <w:qFormat/>
    <w:uiPriority w:val="0"/>
    <w:rPr>
      <w:rFonts w:ascii="Times New Roman" w:hAnsi="Times New Roman" w:eastAsia="黑体" w:cs="Times New Roman"/>
      <w:bCs/>
      <w:kern w:val="44"/>
      <w:sz w:val="32"/>
      <w:szCs w:val="32"/>
    </w:rPr>
  </w:style>
  <w:style w:type="character" w:customStyle="1" w:styleId="32">
    <w:name w:val="标题 2 字符"/>
    <w:basedOn w:val="24"/>
    <w:link w:val="5"/>
    <w:qFormat/>
    <w:uiPriority w:val="1"/>
    <w:rPr>
      <w:rFonts w:ascii="Times New Roman" w:hAnsi="Times New Roman" w:eastAsia="楷体" w:cstheme="majorBidi"/>
      <w:b/>
      <w:bCs/>
      <w:sz w:val="32"/>
      <w:szCs w:val="32"/>
    </w:rPr>
  </w:style>
  <w:style w:type="character" w:customStyle="1" w:styleId="33">
    <w:name w:val="标题 3 字符"/>
    <w:basedOn w:val="24"/>
    <w:link w:val="6"/>
    <w:qFormat/>
    <w:uiPriority w:val="9"/>
    <w:rPr>
      <w:rFonts w:ascii="Times New Roman" w:hAnsi="Times New Roman" w:eastAsia="FangSong_GB2312" w:cs="Times New Roman"/>
      <w:b/>
      <w:bCs/>
      <w:kern w:val="0"/>
      <w:sz w:val="32"/>
      <w:szCs w:val="32"/>
    </w:rPr>
  </w:style>
  <w:style w:type="character" w:customStyle="1" w:styleId="34">
    <w:name w:val="标题 4 字符"/>
    <w:basedOn w:val="24"/>
    <w:link w:val="8"/>
    <w:qFormat/>
    <w:uiPriority w:val="3"/>
    <w:rPr>
      <w:rFonts w:ascii="Times New Roman" w:hAnsi="Times New Roman" w:eastAsia="FangSong_GB2312" w:cstheme="majorBidi"/>
      <w:b/>
      <w:bCs/>
      <w:kern w:val="0"/>
      <w:sz w:val="32"/>
      <w:szCs w:val="28"/>
    </w:rPr>
  </w:style>
  <w:style w:type="character" w:customStyle="1" w:styleId="35">
    <w:name w:val="标题 5 字符"/>
    <w:basedOn w:val="24"/>
    <w:link w:val="9"/>
    <w:qFormat/>
    <w:uiPriority w:val="9"/>
    <w:rPr>
      <w:rFonts w:ascii="Times New Roman" w:hAnsi="Times New Roman" w:eastAsia="FangSong_GB2312" w:cs="Times New Roman"/>
      <w:b/>
      <w:bCs/>
      <w:kern w:val="0"/>
      <w:sz w:val="32"/>
      <w:szCs w:val="28"/>
    </w:rPr>
  </w:style>
  <w:style w:type="character" w:customStyle="1" w:styleId="36">
    <w:name w:val="批注文字 字符"/>
    <w:basedOn w:val="24"/>
    <w:link w:val="11"/>
    <w:qFormat/>
    <w:uiPriority w:val="99"/>
    <w:rPr>
      <w:szCs w:val="21"/>
    </w:rPr>
  </w:style>
  <w:style w:type="character" w:customStyle="1" w:styleId="37">
    <w:name w:val="正文文本 字符"/>
    <w:basedOn w:val="24"/>
    <w:link w:val="12"/>
    <w:qFormat/>
    <w:uiPriority w:val="0"/>
    <w:rPr>
      <w:rFonts w:ascii="Times New Roman" w:hAnsi="Times New Roman"/>
      <w:szCs w:val="21"/>
    </w:rPr>
  </w:style>
  <w:style w:type="character" w:customStyle="1" w:styleId="38">
    <w:name w:val="正文文本缩进 字符"/>
    <w:basedOn w:val="24"/>
    <w:link w:val="3"/>
    <w:semiHidden/>
    <w:qFormat/>
    <w:uiPriority w:val="99"/>
    <w:rPr>
      <w:szCs w:val="21"/>
    </w:rPr>
  </w:style>
  <w:style w:type="character" w:customStyle="1" w:styleId="39">
    <w:name w:val="批注框文本 字符"/>
    <w:basedOn w:val="24"/>
    <w:link w:val="14"/>
    <w:semiHidden/>
    <w:qFormat/>
    <w:uiPriority w:val="99"/>
    <w:rPr>
      <w:sz w:val="18"/>
      <w:szCs w:val="18"/>
    </w:rPr>
  </w:style>
  <w:style w:type="character" w:customStyle="1" w:styleId="40">
    <w:name w:val="脚注文本 字符"/>
    <w:basedOn w:val="24"/>
    <w:link w:val="18"/>
    <w:qFormat/>
    <w:uiPriority w:val="0"/>
    <w:rPr>
      <w:rFonts w:ascii="Times New Roman" w:hAnsi="Times New Roman" w:eastAsia="FangSong_GB2312"/>
      <w:sz w:val="18"/>
      <w:szCs w:val="18"/>
    </w:rPr>
  </w:style>
  <w:style w:type="character" w:customStyle="1" w:styleId="41">
    <w:name w:val="批注主题 字符"/>
    <w:basedOn w:val="36"/>
    <w:link w:val="21"/>
    <w:semiHidden/>
    <w:qFormat/>
    <w:uiPriority w:val="99"/>
    <w:rPr>
      <w:b/>
      <w:bCs/>
      <w:szCs w:val="21"/>
    </w:rPr>
  </w:style>
  <w:style w:type="character" w:customStyle="1" w:styleId="42">
    <w:name w:val="正文首行缩进 2 字符"/>
    <w:basedOn w:val="38"/>
    <w:link w:val="2"/>
    <w:qFormat/>
    <w:uiPriority w:val="99"/>
    <w:rPr>
      <w:szCs w:val="21"/>
    </w:rPr>
  </w:style>
  <w:style w:type="paragraph" w:customStyle="1" w:styleId="43">
    <w:name w:val="TOC 标题1"/>
    <w:basedOn w:val="4"/>
    <w:next w:val="1"/>
    <w:unhideWhenUsed/>
    <w:qFormat/>
    <w:uiPriority w:val="39"/>
    <w:pPr>
      <w:widowControl/>
      <w:spacing w:before="240" w:line="259" w:lineRule="auto"/>
      <w:outlineLvl w:val="9"/>
    </w:pPr>
    <w:rPr>
      <w:rFonts w:asciiTheme="majorHAnsi" w:hAnsiTheme="majorHAnsi" w:eastAsiaTheme="majorEastAsia" w:cstheme="majorBidi"/>
      <w:b/>
      <w:bCs w:val="0"/>
      <w:color w:val="2F5597" w:themeColor="accent1" w:themeShade="BF"/>
      <w:kern w:val="0"/>
      <w:szCs w:val="32"/>
    </w:rPr>
  </w:style>
  <w:style w:type="paragraph" w:customStyle="1" w:styleId="44">
    <w:name w:val="安策封面标题"/>
    <w:basedOn w:val="1"/>
    <w:next w:val="45"/>
    <w:qFormat/>
    <w:uiPriority w:val="0"/>
    <w:pPr>
      <w:spacing w:before="480" w:after="360"/>
      <w:jc w:val="center"/>
    </w:pPr>
    <w:rPr>
      <w:rFonts w:ascii="Times New Roman" w:hAnsi="Times New Roman" w:eastAsia="黑体" w:cs="Times New Roman"/>
      <w:b/>
      <w:snapToGrid w:val="0"/>
      <w:sz w:val="32"/>
      <w:szCs w:val="24"/>
    </w:rPr>
  </w:style>
  <w:style w:type="paragraph" w:customStyle="1" w:styleId="45">
    <w:name w:val="安策封面项目信息"/>
    <w:basedOn w:val="1"/>
    <w:next w:val="46"/>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46">
    <w:name w:val="安策封面完成时间"/>
    <w:basedOn w:val="45"/>
    <w:qFormat/>
    <w:uiPriority w:val="0"/>
    <w:pPr>
      <w:ind w:left="0" w:leftChars="0"/>
      <w:jc w:val="center"/>
    </w:pPr>
    <w:rPr>
      <w:b/>
    </w:rPr>
  </w:style>
  <w:style w:type="paragraph" w:customStyle="1" w:styleId="47">
    <w:name w:val="安策页码"/>
    <w:qFormat/>
    <w:uiPriority w:val="6"/>
    <w:pPr>
      <w:jc w:val="center"/>
    </w:pPr>
    <w:rPr>
      <w:rFonts w:ascii="Times New Roman" w:hAnsi="Times New Roman" w:eastAsia="Times New Roman" w:cs="Times New Roman"/>
      <w:sz w:val="21"/>
      <w:szCs w:val="28"/>
      <w:lang w:val="en-US" w:eastAsia="zh-CN" w:bidi="ar-SA"/>
    </w:rPr>
  </w:style>
  <w:style w:type="character" w:customStyle="1" w:styleId="48">
    <w:name w:val="闻政正文 Char"/>
    <w:link w:val="7"/>
    <w:qFormat/>
    <w:uiPriority w:val="0"/>
    <w:rPr>
      <w:rFonts w:ascii="Times New Roman" w:hAnsi="Times New Roman" w:eastAsia="仿宋" w:cs="Times New Roman"/>
      <w:kern w:val="0"/>
      <w:sz w:val="32"/>
      <w:szCs w:val="32"/>
    </w:rPr>
  </w:style>
  <w:style w:type="paragraph" w:customStyle="1" w:styleId="49">
    <w:name w:val="安策摘要标题"/>
    <w:basedOn w:val="1"/>
    <w:qFormat/>
    <w:uiPriority w:val="2"/>
    <w:pPr>
      <w:spacing w:before="480" w:after="360"/>
      <w:jc w:val="center"/>
      <w:outlineLvl w:val="0"/>
    </w:pPr>
    <w:rPr>
      <w:rFonts w:ascii="Times New Roman" w:hAnsi="Times New Roman" w:eastAsia="黑体" w:cs="Times New Roman"/>
      <w:b/>
      <w:snapToGrid w:val="0"/>
      <w:sz w:val="32"/>
      <w:szCs w:val="24"/>
    </w:rPr>
  </w:style>
  <w:style w:type="paragraph" w:customStyle="1" w:styleId="50">
    <w:name w:val="安策图（表）注"/>
    <w:basedOn w:val="1"/>
    <w:link w:val="51"/>
    <w:qFormat/>
    <w:uiPriority w:val="5"/>
    <w:pPr>
      <w:spacing w:before="120"/>
    </w:pPr>
    <w:rPr>
      <w:rFonts w:ascii="Times New Roman" w:hAnsi="Times New Roman" w:eastAsia="FangSong_GB2312" w:cs="Arial"/>
      <w:kern w:val="0"/>
    </w:rPr>
  </w:style>
  <w:style w:type="character" w:customStyle="1" w:styleId="51">
    <w:name w:val="闻政图（表）注 Char"/>
    <w:link w:val="50"/>
    <w:qFormat/>
    <w:uiPriority w:val="5"/>
    <w:rPr>
      <w:rFonts w:ascii="Times New Roman" w:hAnsi="Times New Roman" w:eastAsia="FangSong_GB2312" w:cs="Arial"/>
      <w:kern w:val="0"/>
      <w:szCs w:val="21"/>
    </w:rPr>
  </w:style>
  <w:style w:type="paragraph" w:customStyle="1" w:styleId="52">
    <w:name w:val="安策图表名"/>
    <w:basedOn w:val="1"/>
    <w:link w:val="53"/>
    <w:qFormat/>
    <w:uiPriority w:val="4"/>
    <w:pPr>
      <w:spacing w:before="60" w:after="60"/>
      <w:jc w:val="center"/>
    </w:pPr>
    <w:rPr>
      <w:rFonts w:ascii="Times New Roman" w:hAnsi="Times New Roman" w:eastAsia="FangSong_GB2312" w:cs="Times New Roman"/>
      <w:b/>
      <w:kern w:val="0"/>
      <w:sz w:val="24"/>
      <w:szCs w:val="28"/>
    </w:rPr>
  </w:style>
  <w:style w:type="character" w:customStyle="1" w:styleId="53">
    <w:name w:val="闻政图表名 字符"/>
    <w:link w:val="52"/>
    <w:qFormat/>
    <w:uiPriority w:val="4"/>
    <w:rPr>
      <w:rFonts w:ascii="Times New Roman" w:hAnsi="Times New Roman" w:eastAsia="FangSong_GB2312" w:cs="Times New Roman"/>
      <w:b/>
      <w:kern w:val="0"/>
      <w:sz w:val="24"/>
      <w:szCs w:val="28"/>
    </w:rPr>
  </w:style>
  <w:style w:type="paragraph" w:customStyle="1" w:styleId="54">
    <w:name w:val="安策备注类"/>
    <w:basedOn w:val="7"/>
    <w:qFormat/>
    <w:uiPriority w:val="5"/>
    <w:pPr>
      <w:spacing w:line="240" w:lineRule="auto"/>
      <w:jc w:val="left"/>
    </w:pPr>
    <w:rPr>
      <w:rFonts w:cs="宋体"/>
      <w:sz w:val="21"/>
    </w:rPr>
  </w:style>
  <w:style w:type="paragraph" w:customStyle="1" w:styleId="55">
    <w:name w:val="安策附件标题"/>
    <w:basedOn w:val="7"/>
    <w:qFormat/>
    <w:uiPriority w:val="6"/>
    <w:pPr>
      <w:spacing w:before="120" w:after="60" w:line="240" w:lineRule="auto"/>
      <w:ind w:firstLine="0" w:firstLineChars="0"/>
      <w:outlineLvl w:val="0"/>
    </w:pPr>
    <w:rPr>
      <w:rFonts w:eastAsia="黑体"/>
      <w:b/>
    </w:rPr>
  </w:style>
  <w:style w:type="paragraph" w:customStyle="1" w:styleId="56">
    <w:name w:val="安策附件正文"/>
    <w:basedOn w:val="7"/>
    <w:link w:val="87"/>
    <w:qFormat/>
    <w:uiPriority w:val="6"/>
    <w:rPr>
      <w:sz w:val="24"/>
    </w:rPr>
  </w:style>
  <w:style w:type="paragraph" w:customStyle="1" w:styleId="57">
    <w:name w:val="安策附件报告名"/>
    <w:basedOn w:val="7"/>
    <w:qFormat/>
    <w:uiPriority w:val="9"/>
    <w:pPr>
      <w:spacing w:before="120" w:after="60"/>
      <w:ind w:firstLine="0" w:firstLineChars="0"/>
      <w:jc w:val="center"/>
    </w:pPr>
    <w:rPr>
      <w:b/>
    </w:rPr>
  </w:style>
  <w:style w:type="paragraph" w:customStyle="1" w:styleId="58">
    <w:name w:val="安策附件一级标题"/>
    <w:basedOn w:val="57"/>
    <w:next w:val="56"/>
    <w:qFormat/>
    <w:uiPriority w:val="6"/>
    <w:pPr>
      <w:ind w:firstLine="200" w:firstLineChars="200"/>
      <w:jc w:val="left"/>
    </w:pPr>
    <w:rPr>
      <w:rFonts w:cs="宋体"/>
    </w:rPr>
  </w:style>
  <w:style w:type="paragraph" w:customStyle="1" w:styleId="59">
    <w:name w:val="安策附件二级标题"/>
    <w:basedOn w:val="58"/>
    <w:qFormat/>
    <w:uiPriority w:val="8"/>
    <w:rPr>
      <w:rFonts w:ascii="宋体" w:hAnsi="宋体" w:eastAsia="宋体"/>
    </w:rPr>
  </w:style>
  <w:style w:type="paragraph" w:customStyle="1" w:styleId="60">
    <w:name w:val="安策附件三级标题"/>
    <w:basedOn w:val="59"/>
    <w:qFormat/>
    <w:uiPriority w:val="8"/>
    <w:rPr>
      <w:rFonts w:ascii="Times New Roman" w:hAnsi="Times New Roman" w:eastAsia="FangSong_GB2312"/>
    </w:rPr>
  </w:style>
  <w:style w:type="paragraph" w:customStyle="1" w:styleId="61">
    <w:name w:val="安策附件四级标题"/>
    <w:basedOn w:val="60"/>
    <w:qFormat/>
    <w:uiPriority w:val="9"/>
    <w:pPr>
      <w:spacing w:before="0" w:after="0"/>
    </w:pPr>
    <w:rPr>
      <w:rFonts w:ascii="Times New Roman" w:hAnsi="Times New Roman" w:eastAsia="FangSong_GB2312"/>
    </w:rPr>
  </w:style>
  <w:style w:type="paragraph" w:customStyle="1" w:styleId="62">
    <w:name w:val="安策脚注"/>
    <w:basedOn w:val="7"/>
    <w:qFormat/>
    <w:uiPriority w:val="9"/>
    <w:pPr>
      <w:spacing w:line="400" w:lineRule="exact"/>
      <w:ind w:firstLine="0" w:firstLineChars="0"/>
    </w:pPr>
    <w:rPr>
      <w:sz w:val="18"/>
    </w:rPr>
  </w:style>
  <w:style w:type="paragraph" w:customStyle="1" w:styleId="63">
    <w:name w:val="安策目录标题"/>
    <w:basedOn w:val="44"/>
    <w:qFormat/>
    <w:uiPriority w:val="1"/>
    <w:rPr>
      <w:rFonts w:ascii="Times New Roman" w:hAnsi="Times New Roman"/>
    </w:rPr>
  </w:style>
  <w:style w:type="table" w:customStyle="1" w:styleId="64">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65">
    <w:name w:val="无格式表格 11"/>
    <w:basedOn w:val="22"/>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66">
    <w:name w:val="安策表文字"/>
    <w:basedOn w:val="7"/>
    <w:link w:val="67"/>
    <w:qFormat/>
    <w:uiPriority w:val="5"/>
    <w:pPr>
      <w:widowControl/>
      <w:spacing w:line="320" w:lineRule="exact"/>
      <w:ind w:firstLine="0" w:firstLineChars="0"/>
      <w:jc w:val="center"/>
    </w:pPr>
    <w:rPr>
      <w:rFonts w:cs="宋体"/>
      <w:bCs/>
      <w:color w:val="000000"/>
      <w:sz w:val="22"/>
    </w:rPr>
  </w:style>
  <w:style w:type="character" w:customStyle="1" w:styleId="67">
    <w:name w:val="闻政表文字 字符"/>
    <w:basedOn w:val="48"/>
    <w:link w:val="66"/>
    <w:qFormat/>
    <w:uiPriority w:val="5"/>
    <w:rPr>
      <w:rFonts w:ascii="Times New Roman" w:hAnsi="Times New Roman" w:eastAsia="仿宋" w:cs="宋体"/>
      <w:bCs/>
      <w:color w:val="000000"/>
      <w:kern w:val="0"/>
      <w:sz w:val="22"/>
      <w:szCs w:val="28"/>
    </w:rPr>
  </w:style>
  <w:style w:type="paragraph" w:customStyle="1" w:styleId="68">
    <w:name w:val="七级标题"/>
    <w:basedOn w:val="69"/>
    <w:qFormat/>
    <w:uiPriority w:val="0"/>
    <w:pPr>
      <w:numPr>
        <w:ilvl w:val="6"/>
      </w:numPr>
      <w:outlineLvl w:val="6"/>
    </w:pPr>
  </w:style>
  <w:style w:type="paragraph" w:customStyle="1" w:styleId="69">
    <w:name w:val="六级标题"/>
    <w:basedOn w:val="70"/>
    <w:next w:val="1"/>
    <w:qFormat/>
    <w:uiPriority w:val="0"/>
    <w:pPr>
      <w:numPr>
        <w:ilvl w:val="5"/>
      </w:numPr>
      <w:spacing w:before="50" w:after="50"/>
      <w:outlineLvl w:val="5"/>
    </w:pPr>
    <w:rPr>
      <w:rFonts w:hAnsi="Times New Roman"/>
    </w:rPr>
  </w:style>
  <w:style w:type="paragraph" w:customStyle="1" w:styleId="70">
    <w:name w:val="五级标题"/>
    <w:basedOn w:val="71"/>
    <w:next w:val="1"/>
    <w:qFormat/>
    <w:uiPriority w:val="0"/>
    <w:pPr>
      <w:numPr>
        <w:ilvl w:val="4"/>
      </w:numPr>
      <w:outlineLvl w:val="4"/>
    </w:pPr>
    <w:rPr>
      <w:rFonts w:hAnsi="宋体"/>
    </w:rPr>
  </w:style>
  <w:style w:type="paragraph" w:customStyle="1" w:styleId="71">
    <w:name w:val="四级标题"/>
    <w:basedOn w:val="72"/>
    <w:next w:val="1"/>
    <w:qFormat/>
    <w:uiPriority w:val="0"/>
    <w:pPr>
      <w:numPr>
        <w:ilvl w:val="3"/>
      </w:numPr>
      <w:outlineLvl w:val="3"/>
    </w:pPr>
    <w:rPr>
      <w:sz w:val="22"/>
    </w:rPr>
  </w:style>
  <w:style w:type="paragraph" w:customStyle="1" w:styleId="72">
    <w:name w:val="三级标题"/>
    <w:basedOn w:val="73"/>
    <w:next w:val="1"/>
    <w:qFormat/>
    <w:uiPriority w:val="0"/>
    <w:pPr>
      <w:numPr>
        <w:ilvl w:val="0"/>
        <w:numId w:val="0"/>
      </w:numPr>
      <w:outlineLvl w:val="2"/>
    </w:pPr>
    <w:rPr>
      <w:lang w:val="zh-CN"/>
    </w:rPr>
  </w:style>
  <w:style w:type="paragraph" w:customStyle="1" w:styleId="73">
    <w:name w:val="二级标题"/>
    <w:basedOn w:val="74"/>
    <w:next w:val="1"/>
    <w:qFormat/>
    <w:uiPriority w:val="0"/>
    <w:pPr>
      <w:numPr>
        <w:ilvl w:val="1"/>
      </w:numPr>
      <w:spacing w:before="156" w:after="156"/>
      <w:jc w:val="left"/>
      <w:outlineLvl w:val="1"/>
    </w:pPr>
  </w:style>
  <w:style w:type="paragraph" w:customStyle="1" w:styleId="74">
    <w:name w:val="一级标题"/>
    <w:basedOn w:val="1"/>
    <w:next w:val="1"/>
    <w:qFormat/>
    <w:uiPriority w:val="0"/>
    <w:pPr>
      <w:numPr>
        <w:ilvl w:val="0"/>
        <w:numId w:val="2"/>
      </w:numPr>
      <w:spacing w:before="50" w:beforeLines="50" w:after="50" w:afterLines="50"/>
      <w:jc w:val="center"/>
      <w:outlineLvl w:val="0"/>
    </w:pPr>
    <w:rPr>
      <w:rFonts w:ascii="Times New Roman" w:hAnsi="Times New Roman" w:eastAsia="宋体" w:cs="Times New Roman"/>
      <w:b/>
      <w:sz w:val="24"/>
      <w:szCs w:val="28"/>
    </w:rPr>
  </w:style>
  <w:style w:type="paragraph" w:customStyle="1" w:styleId="75">
    <w:name w:val="图表标题字体"/>
    <w:basedOn w:val="1"/>
    <w:qFormat/>
    <w:uiPriority w:val="0"/>
    <w:pPr>
      <w:spacing w:before="50" w:beforeLines="50"/>
      <w:jc w:val="center"/>
    </w:pPr>
    <w:rPr>
      <w:rFonts w:ascii="Times New Roman" w:hAnsi="Times New Roman" w:eastAsia="宋体" w:cs="Times New Roman"/>
      <w:b/>
    </w:rPr>
  </w:style>
  <w:style w:type="character" w:customStyle="1" w:styleId="76">
    <w:name w:val="font31"/>
    <w:basedOn w:val="24"/>
    <w:qFormat/>
    <w:uiPriority w:val="0"/>
    <w:rPr>
      <w:rFonts w:hint="default" w:ascii="Times New Roman" w:hAnsi="Times New Roman" w:cs="Times New Roman"/>
      <w:color w:val="000000"/>
      <w:sz w:val="22"/>
      <w:szCs w:val="22"/>
      <w:u w:val="none"/>
    </w:rPr>
  </w:style>
  <w:style w:type="character" w:customStyle="1" w:styleId="77">
    <w:name w:val="font01"/>
    <w:basedOn w:val="24"/>
    <w:qFormat/>
    <w:uiPriority w:val="0"/>
    <w:rPr>
      <w:rFonts w:hint="eastAsia" w:ascii="FangSong_GB2312" w:eastAsia="FangSong_GB2312" w:cs="FangSong_GB2312"/>
      <w:color w:val="000000"/>
      <w:sz w:val="22"/>
      <w:szCs w:val="22"/>
      <w:u w:val="none"/>
    </w:rPr>
  </w:style>
  <w:style w:type="paragraph" w:customStyle="1" w:styleId="78">
    <w:name w:val="表格小号字体"/>
    <w:basedOn w:val="1"/>
    <w:qFormat/>
    <w:uiPriority w:val="0"/>
    <w:pPr>
      <w:jc w:val="left"/>
    </w:pPr>
    <w:rPr>
      <w:rFonts w:ascii="Times New Roman" w:hAnsi="Times New Roman" w:eastAsia="宋体" w:cs="Times New Roman"/>
      <w:sz w:val="20"/>
    </w:rPr>
  </w:style>
  <w:style w:type="paragraph" w:customStyle="1" w:styleId="79">
    <w:name w:val="正文格式"/>
    <w:basedOn w:val="1"/>
    <w:qFormat/>
    <w:uiPriority w:val="0"/>
    <w:pPr>
      <w:spacing w:line="264" w:lineRule="auto"/>
      <w:ind w:firstLine="200" w:firstLineChars="200"/>
      <w:jc w:val="left"/>
    </w:pPr>
    <w:rPr>
      <w:rFonts w:ascii="Times New Roman" w:hAnsi="Times New Roman" w:eastAsia="宋体"/>
      <w:sz w:val="22"/>
      <w:szCs w:val="28"/>
    </w:rPr>
  </w:style>
  <w:style w:type="paragraph" w:customStyle="1" w:styleId="80">
    <w:name w:val="UserStyle_0"/>
    <w:qFormat/>
    <w:uiPriority w:val="0"/>
    <w:rPr>
      <w:rFonts w:ascii="FangSong_GB2312" w:hAnsi="Times New Roman" w:eastAsia="FangSong_GB2312" w:cs="Times New Roman"/>
      <w:color w:val="000000"/>
      <w:sz w:val="24"/>
      <w:szCs w:val="24"/>
      <w:lang w:val="en-US" w:eastAsia="zh-CN" w:bidi="ar-SA"/>
    </w:rPr>
  </w:style>
  <w:style w:type="character" w:customStyle="1" w:styleId="81">
    <w:name w:val="font21"/>
    <w:basedOn w:val="24"/>
    <w:qFormat/>
    <w:uiPriority w:val="0"/>
    <w:rPr>
      <w:rFonts w:hint="default" w:ascii="Times New Roman" w:hAnsi="Times New Roman" w:cs="Times New Roman"/>
      <w:color w:val="000000"/>
      <w:sz w:val="21"/>
      <w:szCs w:val="21"/>
      <w:u w:val="none"/>
    </w:rPr>
  </w:style>
  <w:style w:type="character" w:customStyle="1" w:styleId="82">
    <w:name w:val="font51"/>
    <w:basedOn w:val="24"/>
    <w:qFormat/>
    <w:uiPriority w:val="0"/>
    <w:rPr>
      <w:rFonts w:hint="eastAsia" w:ascii="FangSong_GB2312" w:eastAsia="FangSong_GB2312" w:cs="FangSong_GB2312"/>
      <w:color w:val="000000"/>
      <w:sz w:val="20"/>
      <w:szCs w:val="20"/>
      <w:u w:val="none"/>
    </w:rPr>
  </w:style>
  <w:style w:type="character" w:customStyle="1" w:styleId="83">
    <w:name w:val="font41"/>
    <w:basedOn w:val="24"/>
    <w:qFormat/>
    <w:uiPriority w:val="0"/>
    <w:rPr>
      <w:rFonts w:hint="eastAsia" w:ascii="FangSong_GB2312" w:eastAsia="FangSong_GB2312" w:cs="FangSong_GB2312"/>
      <w:color w:val="000000"/>
      <w:sz w:val="21"/>
      <w:szCs w:val="21"/>
      <w:u w:val="none"/>
    </w:rPr>
  </w:style>
  <w:style w:type="character" w:customStyle="1" w:styleId="84">
    <w:name w:val="font61"/>
    <w:basedOn w:val="24"/>
    <w:qFormat/>
    <w:uiPriority w:val="0"/>
    <w:rPr>
      <w:rFonts w:hint="eastAsia" w:ascii="FangSong_GB2312" w:eastAsia="FangSong_GB2312" w:cs="FangSong_GB2312"/>
      <w:color w:val="000000"/>
      <w:sz w:val="21"/>
      <w:szCs w:val="21"/>
      <w:u w:val="none"/>
    </w:rPr>
  </w:style>
  <w:style w:type="character" w:customStyle="1" w:styleId="85">
    <w:name w:val="font11"/>
    <w:basedOn w:val="24"/>
    <w:qFormat/>
    <w:uiPriority w:val="0"/>
    <w:rPr>
      <w:rFonts w:hint="default" w:ascii="Times New Roman" w:hAnsi="Times New Roman" w:cs="Times New Roman"/>
      <w:color w:val="000000"/>
      <w:sz w:val="21"/>
      <w:szCs w:val="21"/>
      <w:u w:val="none"/>
    </w:rPr>
  </w:style>
  <w:style w:type="paragraph" w:customStyle="1" w:styleId="86">
    <w:name w:val="南京正文"/>
    <w:basedOn w:val="1"/>
    <w:qFormat/>
    <w:uiPriority w:val="0"/>
    <w:pPr>
      <w:spacing w:line="560" w:lineRule="exact"/>
      <w:ind w:firstLine="200" w:firstLineChars="200"/>
    </w:pPr>
    <w:rPr>
      <w:rFonts w:ascii="Times New Roman" w:hAnsi="Times New Roman" w:eastAsia="仿宋" w:cs="Times New Roman"/>
      <w:kern w:val="0"/>
      <w:sz w:val="32"/>
      <w:szCs w:val="28"/>
      <w:lang w:val="zh-CN"/>
    </w:rPr>
  </w:style>
  <w:style w:type="character" w:customStyle="1" w:styleId="87">
    <w:name w:val="闻政附件正文 Char"/>
    <w:link w:val="56"/>
    <w:qFormat/>
    <w:uiPriority w:val="6"/>
    <w:rPr>
      <w:rFonts w:ascii="Times New Roman" w:hAnsi="Times New Roman" w:eastAsia="仿宋" w:cs="Times New Roman"/>
      <w:kern w:val="0"/>
      <w:sz w:val="24"/>
      <w:szCs w:val="28"/>
    </w:rPr>
  </w:style>
  <w:style w:type="paragraph" w:customStyle="1" w:styleId="88">
    <w:name w:val="Body text|1"/>
    <w:basedOn w:val="1"/>
    <w:qFormat/>
    <w:uiPriority w:val="0"/>
    <w:pPr>
      <w:spacing w:line="379" w:lineRule="auto"/>
      <w:ind w:firstLine="400"/>
    </w:pPr>
    <w:rPr>
      <w:rFonts w:ascii="宋体" w:hAnsi="宋体" w:eastAsia="宋体" w:cs="宋体"/>
      <w:sz w:val="30"/>
      <w:szCs w:val="30"/>
      <w:lang w:val="zh-TW" w:eastAsia="zh-TW" w:bidi="zh-TW"/>
    </w:rPr>
  </w:style>
  <w:style w:type="character" w:customStyle="1" w:styleId="89">
    <w:name w:val="font71"/>
    <w:basedOn w:val="24"/>
    <w:qFormat/>
    <w:uiPriority w:val="0"/>
    <w:rPr>
      <w:rFonts w:ascii="FangSong_GB2312" w:eastAsia="FangSong_GB2312" w:cs="FangSong_GB2312"/>
      <w:b/>
      <w:color w:val="000000"/>
      <w:sz w:val="21"/>
      <w:szCs w:val="21"/>
      <w:u w:val="none"/>
    </w:rPr>
  </w:style>
  <w:style w:type="character" w:customStyle="1" w:styleId="90">
    <w:name w:val="font81"/>
    <w:basedOn w:val="24"/>
    <w:qFormat/>
    <w:uiPriority w:val="0"/>
    <w:rPr>
      <w:rFonts w:hint="default" w:ascii="FangSong_GB2312" w:eastAsia="FangSong_GB2312" w:cs="FangSong_GB2312"/>
      <w:color w:val="000000"/>
      <w:sz w:val="21"/>
      <w:szCs w:val="21"/>
      <w:u w:val="none"/>
    </w:rPr>
  </w:style>
  <w:style w:type="character" w:customStyle="1" w:styleId="91">
    <w:name w:val="font91"/>
    <w:basedOn w:val="24"/>
    <w:qFormat/>
    <w:uiPriority w:val="0"/>
    <w:rPr>
      <w:rFonts w:hint="eastAsia" w:ascii="FangSong_GB2312" w:eastAsia="FangSong_GB2312" w:cs="FangSong_GB2312"/>
      <w:color w:val="000000"/>
      <w:sz w:val="21"/>
      <w:szCs w:val="21"/>
      <w:u w:val="none"/>
    </w:rPr>
  </w:style>
  <w:style w:type="character" w:customStyle="1" w:styleId="92">
    <w:name w:val="font101"/>
    <w:basedOn w:val="24"/>
    <w:qFormat/>
    <w:uiPriority w:val="0"/>
    <w:rPr>
      <w:rFonts w:ascii="仿宋_GB2312" w:eastAsia="仿宋_GB2312" w:cs="仿宋_GB2312"/>
      <w:b/>
      <w:bCs/>
      <w:color w:val="000000"/>
      <w:sz w:val="21"/>
      <w:szCs w:val="21"/>
      <w:u w:val="none"/>
    </w:rPr>
  </w:style>
  <w:style w:type="character" w:customStyle="1" w:styleId="93">
    <w:name w:val="font112"/>
    <w:basedOn w:val="24"/>
    <w:qFormat/>
    <w:uiPriority w:val="0"/>
    <w:rPr>
      <w:rFonts w:hint="eastAsia" w:ascii="仿宋_GB2312" w:eastAsia="仿宋_GB2312" w:cs="仿宋_GB2312"/>
      <w:b/>
      <w:bCs/>
      <w:color w:val="000000"/>
      <w:sz w:val="21"/>
      <w:szCs w:val="21"/>
      <w:u w:val="none"/>
    </w:rPr>
  </w:style>
  <w:style w:type="character" w:customStyle="1" w:styleId="94">
    <w:name w:val="font121"/>
    <w:basedOn w:val="2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6D922-B5BD-4D78-AC34-A108C25EB9B4}">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77</Pages>
  <Words>32617</Words>
  <Characters>37040</Characters>
  <Lines>264</Lines>
  <Paragraphs>74</Paragraphs>
  <TotalTime>0</TotalTime>
  <ScaleCrop>false</ScaleCrop>
  <LinksUpToDate>false</LinksUpToDate>
  <CharactersWithSpaces>37831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2021-07-06T15:42:00Z</dcterms:created>
  <dc:creator>lingboq@cnwenzheng.com</dc:creator>
  <cp:lastModifiedBy>李闪闪</cp:lastModifiedBy>
  <dcterms:modified xsi:type="dcterms:W3CDTF">2022-02-25T00:55:43Z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8D3C71554E2E4F6EB4EC6B3B58909182</vt:lpwstr>
  </property>
</Properties>
</file>