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pStyle w:val="2"/>
        <w:rPr>
          <w:rFonts w:hint="default" w:ascii="Times New Roman" w:hAnsi="Times New Roman" w:eastAsia="等线" w:cs="Times New Roman"/>
          <w:b/>
          <w:bCs/>
          <w:sz w:val="44"/>
          <w:szCs w:val="44"/>
        </w:rPr>
      </w:pPr>
    </w:p>
    <w:p>
      <w:pPr>
        <w:pStyle w:val="3"/>
        <w:rPr>
          <w:rFonts w:hint="default" w:ascii="Times New Roman" w:hAnsi="Times New Roman" w:eastAsia="方正小标宋简体" w:cs="Times New Roman"/>
          <w:sz w:val="44"/>
          <w:szCs w:val="44"/>
        </w:rPr>
      </w:pPr>
    </w:p>
    <w:p>
      <w:pPr>
        <w:widowControl/>
        <w:spacing w:before="120" w:after="120" w:line="500" w:lineRule="exact"/>
        <w:jc w:val="center"/>
        <w:rPr>
          <w:rFonts w:hint="default" w:ascii="Times New Roman" w:hAnsi="Times New Roman" w:eastAsia="方正小标宋简体" w:cs="Times New Roman"/>
          <w:b w:val="0"/>
          <w:kern w:val="0"/>
          <w:sz w:val="44"/>
          <w:szCs w:val="44"/>
          <w:lang w:bidi="en-US"/>
        </w:rPr>
      </w:pPr>
      <w:r>
        <w:rPr>
          <w:rFonts w:hint="eastAsia" w:ascii="Times New Roman" w:hAnsi="Times New Roman" w:eastAsia="方正小标宋简体" w:cs="Times New Roman"/>
          <w:b w:val="0"/>
          <w:bCs w:val="0"/>
          <w:sz w:val="44"/>
          <w:szCs w:val="44"/>
          <w:lang w:val="en-US" w:eastAsia="zh-CN"/>
        </w:rPr>
        <w:t>2020年贫困村通村通组道路配套桥涵建设项目</w:t>
      </w:r>
      <w:r>
        <w:rPr>
          <w:rFonts w:hint="default" w:ascii="Times New Roman" w:hAnsi="Times New Roman" w:eastAsia="方正小标宋简体" w:cs="Times New Roman"/>
          <w:b w:val="0"/>
          <w:bCs w:val="0"/>
          <w:sz w:val="44"/>
          <w:szCs w:val="44"/>
          <w:lang w:val="en-US" w:eastAsia="zh-CN"/>
        </w:rPr>
        <w:t>绩效评价报告</w:t>
      </w: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lang w:val="zh-CN" w:eastAsia="zh-CN" w:bidi="ar-SA"/>
        </w:rPr>
        <w:t>项目名称</w:t>
      </w:r>
      <w:r>
        <w:rPr>
          <w:rFonts w:hint="default" w:ascii="Times New Roman" w:hAnsi="Times New Roman" w:eastAsia="黑体" w:cs="Times New Roman"/>
          <w:color w:val="auto"/>
          <w:kern w:val="0"/>
          <w:sz w:val="28"/>
          <w:szCs w:val="28"/>
          <w:highlight w:val="none"/>
          <w:lang w:val="zh-CN" w:eastAsia="zh-CN" w:bidi="ar-SA"/>
        </w:rPr>
        <w:t>：</w:t>
      </w:r>
      <w:r>
        <w:rPr>
          <w:rFonts w:hint="default" w:ascii="Times New Roman" w:hAnsi="Times New Roman" w:eastAsia="黑体" w:cs="Times New Roman"/>
          <w:color w:val="auto"/>
          <w:kern w:val="0"/>
          <w:sz w:val="28"/>
          <w:szCs w:val="28"/>
          <w:highlight w:val="none"/>
          <w:lang w:val="en-US" w:eastAsia="zh-CN" w:bidi="ar-SA"/>
        </w:rPr>
        <w:t>2020年贫困村通村通组道路配套桥涵</w:t>
      </w:r>
    </w:p>
    <w:p>
      <w:pPr>
        <w:widowControl w:val="0"/>
        <w:spacing w:before="120"/>
        <w:ind w:firstLine="2800" w:firstLineChars="10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建设项目</w:t>
      </w:r>
    </w:p>
    <w:p>
      <w:pPr>
        <w:widowControl w:val="0"/>
        <w:spacing w:before="12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 xml:space="preserve">          主管部门：</w:t>
      </w:r>
      <w:r>
        <w:rPr>
          <w:rFonts w:hint="eastAsia" w:ascii="Times New Roman" w:hAnsi="Times New Roman" w:eastAsia="黑体" w:cs="Times New Roman"/>
          <w:color w:val="auto"/>
          <w:kern w:val="0"/>
          <w:sz w:val="28"/>
          <w:szCs w:val="28"/>
          <w:highlight w:val="none"/>
          <w:lang w:val="en-US" w:eastAsia="zh-CN" w:bidi="ar-SA"/>
        </w:rPr>
        <w:t>淮滨县交通运输局</w:t>
      </w: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zh-CN" w:eastAsia="zh-CN" w:bidi="ar-SA"/>
        </w:rPr>
        <w:t>委托部门：</w:t>
      </w:r>
      <w:r>
        <w:rPr>
          <w:rFonts w:hint="eastAsia" w:ascii="Times New Roman" w:hAnsi="Times New Roman" w:eastAsia="黑体" w:cs="Times New Roman"/>
          <w:color w:val="auto"/>
          <w:kern w:val="0"/>
          <w:sz w:val="28"/>
          <w:szCs w:val="28"/>
          <w:highlight w:val="none"/>
          <w:lang w:val="en-US" w:eastAsia="zh-CN" w:bidi="ar-SA"/>
        </w:rPr>
        <w:t>淮滨县</w:t>
      </w:r>
      <w:r>
        <w:rPr>
          <w:rFonts w:hint="default" w:ascii="Times New Roman" w:hAnsi="Times New Roman" w:eastAsia="黑体" w:cs="Times New Roman"/>
          <w:color w:val="auto"/>
          <w:kern w:val="0"/>
          <w:sz w:val="28"/>
          <w:szCs w:val="28"/>
          <w:highlight w:val="none"/>
          <w:lang w:val="en-US" w:eastAsia="zh-CN" w:bidi="ar-SA"/>
        </w:rPr>
        <w:t>财政局</w:t>
      </w:r>
    </w:p>
    <w:p>
      <w:pPr>
        <w:widowControl w:val="0"/>
        <w:spacing w:before="120"/>
        <w:ind w:firstLine="1400" w:firstLineChars="500"/>
        <w:jc w:val="left"/>
        <w:rPr>
          <w:rFonts w:hint="default" w:ascii="Times New Roman" w:hAnsi="Times New Roman" w:eastAsia="黑体" w:cs="Times New Roman"/>
          <w:color w:val="auto"/>
          <w:kern w:val="0"/>
          <w:sz w:val="28"/>
          <w:szCs w:val="28"/>
          <w:lang w:val="en-US" w:eastAsia="zh-CN" w:bidi="ar-SA"/>
        </w:rPr>
      </w:pPr>
      <w:r>
        <w:rPr>
          <w:rFonts w:hint="default" w:ascii="Times New Roman" w:hAnsi="Times New Roman" w:eastAsia="黑体" w:cs="Times New Roman"/>
          <w:color w:val="auto"/>
          <w:kern w:val="0"/>
          <w:sz w:val="28"/>
          <w:szCs w:val="28"/>
          <w:highlight w:val="none"/>
          <w:lang w:val="zh-CN" w:eastAsia="zh-CN" w:bidi="ar-SA"/>
        </w:rPr>
        <w:t>评价机构：</w:t>
      </w:r>
      <w:r>
        <w:rPr>
          <w:rFonts w:hint="default" w:ascii="Times New Roman" w:hAnsi="Times New Roman" w:eastAsia="黑体" w:cs="Times New Roman"/>
          <w:color w:val="auto"/>
          <w:kern w:val="0"/>
          <w:sz w:val="28"/>
          <w:szCs w:val="28"/>
          <w:highlight w:val="none"/>
          <w:lang w:val="en-US" w:eastAsia="zh-CN" w:bidi="ar-SA"/>
        </w:rPr>
        <w:t>河南安策绩效信</w:t>
      </w:r>
      <w:r>
        <w:rPr>
          <w:rFonts w:hint="default" w:ascii="Times New Roman" w:hAnsi="Times New Roman" w:eastAsia="黑体" w:cs="Times New Roman"/>
          <w:color w:val="auto"/>
          <w:kern w:val="0"/>
          <w:sz w:val="28"/>
          <w:szCs w:val="28"/>
          <w:lang w:val="en-US" w:eastAsia="zh-CN" w:bidi="ar-SA"/>
        </w:rPr>
        <w:t>息科技有限公司</w:t>
      </w:r>
    </w:p>
    <w:p>
      <w:pPr>
        <w:jc w:val="center"/>
        <w:rPr>
          <w:rFonts w:hint="default" w:ascii="Times New Roman" w:hAnsi="Times New Roman" w:eastAsia="宋体" w:cs="Times New Roman"/>
          <w:color w:val="auto"/>
          <w:kern w:val="0"/>
          <w:sz w:val="32"/>
          <w:szCs w:val="32"/>
          <w:lang w:val="en-US" w:eastAsia="zh-CN" w:bidi="ar-SA"/>
        </w:rPr>
      </w:pPr>
    </w:p>
    <w:p>
      <w:pPr>
        <w:widowControl w:val="0"/>
        <w:spacing w:before="120"/>
        <w:ind w:left="0" w:leftChars="0"/>
        <w:jc w:val="center"/>
        <w:rPr>
          <w:rFonts w:hint="default" w:ascii="Times New Roman" w:hAnsi="Times New Roman" w:eastAsia="黑体" w:cs="Times New Roman"/>
          <w:b/>
          <w:color w:val="auto"/>
          <w:kern w:val="0"/>
          <w:sz w:val="28"/>
          <w:szCs w:val="28"/>
          <w:highlight w:val="none"/>
          <w:lang w:val="zh-CN" w:eastAsia="zh-CN" w:bidi="ar-SA"/>
        </w:rPr>
      </w:pPr>
      <w:r>
        <w:rPr>
          <w:rFonts w:hint="default" w:ascii="Times New Roman" w:hAnsi="Times New Roman" w:eastAsia="黑体" w:cs="Times New Roman"/>
          <w:b/>
          <w:color w:val="auto"/>
          <w:kern w:val="0"/>
          <w:sz w:val="32"/>
          <w:szCs w:val="32"/>
          <w:highlight w:val="none"/>
          <w:lang w:val="en-US" w:eastAsia="zh-CN" w:bidi="ar-SA"/>
        </w:rPr>
        <w:t>202</w:t>
      </w:r>
      <w:r>
        <w:rPr>
          <w:rFonts w:hint="eastAsia" w:ascii="Times New Roman" w:hAnsi="Times New Roman" w:eastAsia="黑体" w:cs="Times New Roman"/>
          <w:b/>
          <w:color w:val="auto"/>
          <w:kern w:val="0"/>
          <w:sz w:val="32"/>
          <w:szCs w:val="32"/>
          <w:highlight w:val="none"/>
          <w:lang w:val="en-US" w:eastAsia="zh-CN" w:bidi="ar-SA"/>
        </w:rPr>
        <w:t>1</w:t>
      </w:r>
      <w:r>
        <w:rPr>
          <w:rFonts w:hint="default" w:ascii="Times New Roman" w:hAnsi="Times New Roman" w:eastAsia="黑体" w:cs="Times New Roman"/>
          <w:b/>
          <w:color w:val="auto"/>
          <w:kern w:val="0"/>
          <w:sz w:val="32"/>
          <w:szCs w:val="32"/>
          <w:highlight w:val="none"/>
          <w:lang w:val="zh-CN" w:eastAsia="zh-CN" w:bidi="ar-SA"/>
        </w:rPr>
        <w:t>年</w:t>
      </w:r>
      <w:r>
        <w:rPr>
          <w:rFonts w:hint="eastAsia" w:ascii="Times New Roman" w:hAnsi="Times New Roman" w:eastAsia="黑体" w:cs="Times New Roman"/>
          <w:b/>
          <w:color w:val="auto"/>
          <w:kern w:val="0"/>
          <w:sz w:val="32"/>
          <w:szCs w:val="32"/>
          <w:highlight w:val="none"/>
          <w:lang w:val="en-US" w:eastAsia="zh-CN" w:bidi="ar-SA"/>
        </w:rPr>
        <w:t>12</w:t>
      </w:r>
      <w:r>
        <w:rPr>
          <w:rFonts w:hint="default" w:ascii="Times New Roman" w:hAnsi="Times New Roman" w:eastAsia="黑体" w:cs="Times New Roman"/>
          <w:b/>
          <w:color w:val="auto"/>
          <w:kern w:val="0"/>
          <w:sz w:val="32"/>
          <w:szCs w:val="32"/>
          <w:highlight w:val="none"/>
          <w:lang w:val="zh-CN" w:eastAsia="zh-CN" w:bidi="ar-SA"/>
        </w:rPr>
        <w:t>月</w:t>
      </w:r>
    </w:p>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kern w:val="2"/>
          <w:sz w:val="21"/>
          <w:szCs w:val="22"/>
          <w:lang w:val="en-US" w:eastAsia="zh-CN" w:bidi="ar-SA"/>
        </w:rPr>
        <w:sectPr>
          <w:headerReference r:id="rId4" w:type="default"/>
          <w:footnotePr>
            <w:numFmt w:val="decimal"/>
            <w:numRestart w:val="eachPage"/>
          </w:footnotePr>
          <w:pgSz w:w="11906" w:h="16838"/>
          <w:pgMar w:top="1440" w:right="1797" w:bottom="1440" w:left="1797" w:header="851" w:footer="992" w:gutter="0"/>
          <w:cols w:space="425" w:num="1"/>
          <w:docGrid w:linePitch="312" w:charSpace="0"/>
        </w:sectPr>
      </w:pPr>
    </w:p>
    <w:sdt>
      <w:sdtPr>
        <w:rPr>
          <w:rFonts w:hint="eastAsia" w:ascii="黑体" w:hAnsi="黑体" w:eastAsia="黑体" w:cs="黑体"/>
          <w:color w:val="000000" w:themeColor="text1"/>
          <w:kern w:val="2"/>
          <w:sz w:val="32"/>
          <w:szCs w:val="32"/>
          <w:lang w:val="en-US" w:eastAsia="zh-CN" w:bidi="ar-SA"/>
          <w14:textFill>
            <w14:solidFill>
              <w14:schemeClr w14:val="tx1"/>
            </w14:solidFill>
          </w14:textFill>
        </w:rPr>
        <w:id w:val="147467125"/>
        <w15:color w:val="DBDBDB"/>
        <w:docPartObj>
          <w:docPartGallery w:val="Table of Contents"/>
          <w:docPartUnique/>
        </w:docPartObj>
      </w:sdtPr>
      <w:sdtEndPr>
        <w:rPr>
          <w:rFonts w:hint="default" w:ascii="Times New Roman" w:hAnsi="Times New Roman" w:eastAsia="仿宋" w:cs="Times New Roman"/>
          <w:b/>
          <w:color w:val="FF0000"/>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color w:val="000000" w:themeColor="text1"/>
              <w:sz w:val="32"/>
              <w:szCs w:val="32"/>
              <w14:textFill>
                <w14:solidFill>
                  <w14:schemeClr w14:val="tx1"/>
                </w14:solidFill>
              </w14:textFill>
            </w:rPr>
          </w:pPr>
          <w:bookmarkStart w:id="0" w:name="_Toc30026"/>
          <w:bookmarkStart w:id="1" w:name="_Toc28631"/>
          <w:r>
            <w:rPr>
              <w:rFonts w:hint="eastAsia" w:ascii="黑体" w:hAnsi="黑体" w:eastAsia="黑体" w:cs="黑体"/>
              <w:color w:val="000000" w:themeColor="text1"/>
              <w:sz w:val="32"/>
              <w:szCs w:val="32"/>
              <w14:textFill>
                <w14:solidFill>
                  <w14:schemeClr w14:val="tx1"/>
                </w14:solidFill>
              </w14:textFill>
            </w:rPr>
            <w:t>目</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录</w:t>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TOC \o "1-2" \h \u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_Toc23167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kern w:val="0"/>
              <w:sz w:val="32"/>
              <w:szCs w:val="32"/>
              <w:lang w:bidi="en-US"/>
            </w:rPr>
            <w:t>摘  要</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_Toc23167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I</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_Toc20479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一、项目基本情况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_Toc20479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_Toc20777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（一）项目概况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_Toc20777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_Toc20637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highlight w:val="none"/>
            </w:rPr>
            <w:t>（二）项目绩效目标</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_Toc20637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_Toc4500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rPr>
            <w:t>二、绩效评价开展情况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_Toc4500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_Toc30759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（一）绩效评价目的</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_Toc30759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_Toc20923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（二）绩效评价原则与方法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_Toc20923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_Toc16394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（三）绩效评价工作过程</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_Toc16394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_Toc23337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三、综合评价过程及指标分析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_Toc23337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_Toc4632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（一）总体评价结论</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_Toc4632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_Toc25876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_Toc25876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_Toc4784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highlight w:val="none"/>
            </w:rPr>
            <w:t>四、项目主要成绩和经验做法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_Toc4784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_Toc11357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一</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建设资金管理规范、使用合规，提高了资金的使用效益</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_Toc11357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_Toc30022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（二）资金投入保障有力，项目建设完成度相对较高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_Toc30022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_Toc8305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（三）加强工程流程管理，保障项目高质量完成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_Toc8305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_Toc30256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五、存在的主要问题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_Toc30256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_Toc29796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（一）部分项目实施方案不够完善，利益链接机制不够健全</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_Toc29796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_Toc7617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（二）预算绩效管理水平有待提高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_Toc7617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tabs>
              <w:tab w:val="right" w:leader="dot" w:pos="8312"/>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_Toc13060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（三）乡（镇）、村级公告公示落实不够规范，永久性公示牌设置缺失</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_Toc13060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_Toc22234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六、</w:t>
          </w:r>
          <w:r>
            <w:rPr>
              <w:rFonts w:hint="default" w:ascii="Times New Roman" w:hAnsi="Times New Roman" w:eastAsia="仿宋" w:cs="Times New Roman"/>
              <w:sz w:val="32"/>
              <w:szCs w:val="32"/>
            </w:rPr>
            <w:t>有关建议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_Toc22234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_Toc5101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七、绩效评价结果应用建议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_Toc5101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_Toc10401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八、其他需要说明的问题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_Toc10401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19</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tabs>
              <w:tab w:val="right" w:leader="dot" w:pos="8312"/>
              <w:tab w:val="clear" w:pos="8296"/>
            </w:tabs>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_Toc30122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附件一 综合评分表</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_Toc30122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20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end"/>
          </w:r>
        </w:p>
      </w:sdtContent>
    </w:sdt>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sectPr>
          <w:footerReference r:id="rId5"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bookmarkStart w:id="2" w:name="_Toc23167"/>
    </w:p>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pPr>
      <w:r>
        <w:rPr>
          <w:rFonts w:hint="default" w:ascii="Times New Roman" w:hAnsi="Times New Roman" w:cs="Times New Roman"/>
          <w:color w:val="000000" w:themeColor="text1"/>
          <w:kern w:val="0"/>
          <w:lang w:bidi="en-US"/>
          <w14:textFill>
            <w14:solidFill>
              <w14:schemeClr w14:val="tx1"/>
            </w14:solidFill>
          </w14:textFill>
        </w:rPr>
        <w:t>摘  要</w:t>
      </w:r>
      <w:bookmarkEnd w:id="0"/>
      <w:bookmarkEnd w:id="1"/>
      <w:bookmarkEnd w:id="2"/>
    </w:p>
    <w:p>
      <w:pPr>
        <w:pStyle w:val="6"/>
        <w:widowControl w:val="0"/>
        <w:bidi w:val="0"/>
        <w:jc w:val="both"/>
        <w:rPr>
          <w:rFonts w:hint="default" w:ascii="Times New Roman" w:hAnsi="Times New Roman" w:cs="Times New Roman"/>
          <w:kern w:val="2"/>
          <w:lang w:val="en-US" w:eastAsia="zh-CN" w:bidi="ar-SA"/>
        </w:rPr>
      </w:pPr>
      <w:r>
        <w:rPr>
          <w:rFonts w:hint="default" w:ascii="Times New Roman" w:hAnsi="Times New Roman" w:eastAsia="仿宋" w:cs="Times New Roman"/>
          <w:kern w:val="2"/>
          <w:sz w:val="32"/>
          <w:szCs w:val="32"/>
          <w:lang w:val="en-US" w:eastAsia="zh-CN" w:bidi="ar-SA"/>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kern w:val="2"/>
          <w:sz w:val="32"/>
          <w:szCs w:val="32"/>
          <w:lang w:val="en-US" w:eastAsia="zh-CN" w:bidi="ar-SA"/>
        </w:rPr>
        <w:t>淮滨</w:t>
      </w:r>
      <w:r>
        <w:rPr>
          <w:rFonts w:hint="default" w:ascii="Times New Roman" w:hAnsi="Times New Roman" w:cs="Times New Roman"/>
          <w:kern w:val="2"/>
          <w:sz w:val="32"/>
          <w:szCs w:val="32"/>
          <w:lang w:val="en-US" w:eastAsia="zh-CN" w:bidi="ar-SA"/>
        </w:rPr>
        <w:t>县</w:t>
      </w:r>
      <w:r>
        <w:rPr>
          <w:rFonts w:hint="default" w:ascii="Times New Roman" w:hAnsi="Times New Roman" w:eastAsia="仿宋" w:cs="Times New Roman"/>
          <w:kern w:val="2"/>
          <w:sz w:val="32"/>
          <w:szCs w:val="32"/>
          <w:lang w:val="en-US" w:eastAsia="zh-CN" w:bidi="ar-SA"/>
        </w:rPr>
        <w:t>财政局委托开展</w:t>
      </w:r>
      <w:r>
        <w:rPr>
          <w:rFonts w:hint="eastAsia" w:cs="Times New Roman"/>
          <w:kern w:val="2"/>
          <w:sz w:val="32"/>
          <w:szCs w:val="32"/>
          <w:lang w:val="en-US" w:eastAsia="zh-CN" w:bidi="ar-SA"/>
        </w:rPr>
        <w:t>淮滨</w:t>
      </w:r>
      <w:r>
        <w:rPr>
          <w:rFonts w:hint="default" w:ascii="Times New Roman" w:hAnsi="Times New Roman" w:eastAsia="仿宋" w:cs="Times New Roman"/>
          <w:kern w:val="2"/>
          <w:sz w:val="32"/>
          <w:szCs w:val="32"/>
          <w:lang w:val="en-US" w:eastAsia="zh-CN" w:bidi="ar-SA"/>
        </w:rPr>
        <w:t>县</w:t>
      </w:r>
      <w:r>
        <w:rPr>
          <w:rFonts w:hint="eastAsia" w:cs="Times New Roman"/>
          <w:kern w:val="2"/>
          <w:sz w:val="32"/>
          <w:szCs w:val="32"/>
          <w:lang w:val="en-US" w:eastAsia="zh-CN" w:bidi="ar-SA"/>
        </w:rPr>
        <w:t>2020年扶贫通村通组道路配套桥涵建设项目</w:t>
      </w:r>
      <w:r>
        <w:rPr>
          <w:rFonts w:hint="default" w:ascii="Times New Roman" w:hAnsi="Times New Roman" w:eastAsia="仿宋" w:cs="Times New Roman"/>
          <w:kern w:val="2"/>
          <w:sz w:val="32"/>
          <w:szCs w:val="32"/>
          <w:lang w:val="en-US" w:eastAsia="zh-CN" w:bidi="ar-SA"/>
        </w:rPr>
        <w:t>绩效评价工作。评价组通过资料搜集、数据采集等环节，于202</w:t>
      </w:r>
      <w:r>
        <w:rPr>
          <w:rFonts w:hint="eastAsia" w:ascii="Times New Roman" w:hAnsi="Times New Roman" w:cs="Times New Roman"/>
          <w:kern w:val="2"/>
          <w:sz w:val="32"/>
          <w:szCs w:val="32"/>
          <w:lang w:val="en-US" w:eastAsia="zh-CN" w:bidi="ar-SA"/>
        </w:rPr>
        <w:t>1</w:t>
      </w:r>
      <w:r>
        <w:rPr>
          <w:rFonts w:hint="default" w:ascii="Times New Roman" w:hAnsi="Times New Roman" w:eastAsia="仿宋" w:cs="Times New Roman"/>
          <w:kern w:val="2"/>
          <w:sz w:val="32"/>
          <w:szCs w:val="32"/>
          <w:lang w:val="en-US" w:eastAsia="zh-CN" w:bidi="ar-SA"/>
        </w:rPr>
        <w:t>年</w:t>
      </w:r>
      <w:r>
        <w:rPr>
          <w:rFonts w:hint="eastAsia" w:ascii="Times New Roman" w:hAnsi="Times New Roman" w:cs="Times New Roman"/>
          <w:kern w:val="2"/>
          <w:sz w:val="32"/>
          <w:szCs w:val="32"/>
          <w:lang w:val="en-US" w:eastAsia="zh-CN" w:bidi="ar-SA"/>
        </w:rPr>
        <w:t>12</w:t>
      </w:r>
      <w:r>
        <w:rPr>
          <w:rFonts w:hint="default" w:ascii="Times New Roman" w:hAnsi="Times New Roman" w:eastAsia="仿宋" w:cs="Times New Roman"/>
          <w:kern w:val="2"/>
          <w:sz w:val="32"/>
          <w:szCs w:val="32"/>
          <w:lang w:val="en-US" w:eastAsia="zh-CN" w:bidi="ar-SA"/>
        </w:rPr>
        <w:t>月完成绩效评价报告。现将主要内容报告如下：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lang w:val="en-US" w:eastAsia="zh-CN"/>
        </w:rPr>
      </w:pPr>
      <w:bookmarkStart w:id="3" w:name="_Toc15141"/>
      <w:bookmarkStart w:id="4" w:name="_Toc21315"/>
      <w:r>
        <w:rPr>
          <w:rFonts w:hint="default" w:ascii="Times New Roman" w:hAnsi="Times New Roman" w:eastAsia="楷体" w:cs="Times New Roman"/>
          <w:b/>
          <w:bCs/>
          <w:sz w:val="32"/>
          <w:szCs w:val="32"/>
          <w:lang w:val="en-US" w:eastAsia="zh-CN"/>
        </w:rPr>
        <w:t>（一）项目概况</w:t>
      </w:r>
      <w:bookmarkEnd w:id="3"/>
      <w:bookmarkEnd w:id="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5" w:name="_Toc21969"/>
      <w:bookmarkStart w:id="6" w:name="_Toc8373"/>
      <w:r>
        <w:rPr>
          <w:rFonts w:hint="default" w:ascii="Times New Roman" w:hAnsi="Times New Roman" w:eastAsia="仿宋" w:cs="Times New Roman"/>
          <w:b/>
          <w:bCs/>
          <w:sz w:val="32"/>
          <w:szCs w:val="32"/>
          <w:lang w:val="en-US" w:eastAsia="zh-CN"/>
        </w:rPr>
        <w:t>1.项目内容及实施情况</w:t>
      </w:r>
      <w:bookmarkEnd w:id="5"/>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准滨县2020年扶贫通村通组道路配套桥涵建设项目，共涉及16个乡镇办，81个行政村，总人口202211人，其中贫困户6119户，贫困人口24623人。项目建成了</w:t>
      </w:r>
      <w:r>
        <w:rPr>
          <w:rFonts w:hint="eastAsia"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广覆盖、 深通达、提品质</w:t>
      </w:r>
      <w:r>
        <w:rPr>
          <w:rFonts w:hint="eastAsia"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的交通运输网络，实现了</w:t>
      </w:r>
      <w:r>
        <w:rPr>
          <w:rFonts w:hint="eastAsia"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外通内联、通村畅乡、 客车到村、安全便捷</w:t>
      </w:r>
      <w:r>
        <w:rPr>
          <w:rFonts w:hint="eastAsia"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该项目于2020年5月开始实施，于2020年9月完工。项目共分为五个标段，按进度实施，目前已全部完成施工任务，项目实施情况已达到规划预期效果。项目完成贫困村公路危桥处置99座，配套桥梁867延米，板涵43座，管涵136延米，决算总资金3198.98万元，目标完成率100%。该项目解决了现有通村通组道路上配套桥涵及危桥、危涵，确保所有通村通组道路通行安全、为建立完整的农村公路交通网打下更坚实的基础，实现淮滨县通村通组硬化道路无断行、无隐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7" w:name="_Toc24541"/>
      <w:bookmarkStart w:id="8" w:name="_Toc23974"/>
      <w:r>
        <w:rPr>
          <w:rFonts w:hint="default" w:ascii="Times New Roman" w:hAnsi="Times New Roman" w:eastAsia="仿宋" w:cs="Times New Roman"/>
          <w:b/>
          <w:bCs/>
          <w:sz w:val="32"/>
          <w:szCs w:val="32"/>
          <w:lang w:val="en-US" w:eastAsia="zh-CN"/>
        </w:rPr>
        <w:t>2.项目资金安排及使用情况</w:t>
      </w:r>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kern w:val="2"/>
          <w:sz w:val="32"/>
          <w:szCs w:val="32"/>
          <w:lang w:val="en-US" w:eastAsia="zh-CN" w:bidi="ar-SA"/>
        </w:rPr>
        <w:t>淮滨县2020年扶贫通村通组道路配套桥涵建设项目预算安排资金3198.98万元。其中，实际到位资金3198.98万元，资金到位率为100%。截至评价期结束，淮滨县2020年扶贫通村通组道路配套桥涵建设项目合计支出资金3198.98万元，总体预算执行率100%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themeColor="text1"/>
          <w:sz w:val="32"/>
          <w:szCs w:val="32"/>
          <w:lang w:val="en-US" w:eastAsia="zh-CN"/>
          <w14:textFill>
            <w14:solidFill>
              <w14:schemeClr w14:val="tx1"/>
            </w14:solidFill>
          </w14:textFill>
        </w:rPr>
      </w:pPr>
      <w:bookmarkStart w:id="9" w:name="_Toc4495"/>
      <w:bookmarkStart w:id="10" w:name="_Toc3164"/>
      <w:r>
        <w:rPr>
          <w:rFonts w:hint="eastAsia" w:ascii="楷体" w:hAnsi="楷体" w:eastAsia="楷体" w:cs="楷体"/>
          <w:b/>
          <w:bCs/>
          <w:color w:val="000000" w:themeColor="text1"/>
          <w:sz w:val="32"/>
          <w:szCs w:val="32"/>
          <w:lang w:val="en-US" w:eastAsia="zh-CN"/>
          <w14:textFill>
            <w14:solidFill>
              <w14:schemeClr w14:val="tx1"/>
            </w14:solidFill>
          </w14:textFill>
        </w:rPr>
        <w:t>（二）总体评价结论</w:t>
      </w:r>
      <w:bookmarkEnd w:id="9"/>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评价组通过梳理项目资料、基础数据，通过访谈和满意度问卷调研，依据设定的指标体系和评分标准，从项目决策、过程、产出、效益等方面对项目资金进行了全面客观评价，最终得分为9</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lang w:val="en-US" w:eastAsia="zh-CN"/>
        </w:rPr>
        <w:t>.90</w:t>
      </w:r>
      <w:r>
        <w:rPr>
          <w:rFonts w:hint="default" w:ascii="Times New Roman" w:hAnsi="Times New Roman" w:eastAsia="仿宋" w:cs="Times New Roman"/>
          <w:sz w:val="32"/>
          <w:szCs w:val="32"/>
        </w:rPr>
        <w:t>分</w:t>
      </w:r>
      <w:r>
        <w:rPr>
          <w:rFonts w:hint="default" w:ascii="Times New Roman" w:hAnsi="Times New Roman" w:eastAsia="仿宋" w:cs="Times New Roman"/>
          <w:sz w:val="32"/>
          <w:szCs w:val="32"/>
          <w:lang w:val="en-US" w:eastAsia="zh-CN"/>
        </w:rPr>
        <w:t>，总体评价等级为</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优</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bookmarkStart w:id="11" w:name="_Toc3206"/>
      <w:bookmarkStart w:id="12" w:name="_Toc27962"/>
      <w:bookmarkStart w:id="13" w:name="_Toc2845"/>
      <w:r>
        <w:rPr>
          <w:rFonts w:hint="default" w:ascii="Times New Roman" w:hAnsi="Times New Roman" w:eastAsia="仿宋" w:cs="Times New Roman"/>
          <w:sz w:val="32"/>
          <w:szCs w:val="32"/>
        </w:rPr>
        <w:t>总体来看，淮滨县2020年扶贫通村通组道路配套桥涵建设项目实施取得了一定的成效。在项目决策方面：该项目立项依据充分，立项程序规范，绩效目标合理、明确，预算编制合理。在项目管理方面：该项目资金到位及时、项目财务管理制度健全、资金使用合规、财务监控有效。资金支出符合国家财经法规和财务管理制度，项目支出符合项目预算批复用途及合同规定用途；项目库建设及管理、政府采购较为规范，淮滨县建立有2020年脱贫攻坚项目库和项目库管理制度，入库项目内容完整，描述准确，范围合理。在项目产出方面，该项目产出数量达标，完成贫困村公路危桥处置99座，配套桥梁867延米，板涵43座，管涵136延米。项目验收合格，道路设计及施工符合现行的国家有关建筑设计规范和行业标准。项目完工及时，验收合格，成本节约情况较好。在项目效益方面，该项目社会效益较为显著。项目实施后，贫困地区建制村通客车率和具备条件的建档立卡贫困村通硬化路率达到100%，贫困地区居民出行平均缩短时间为3小时，受益建档立卡贫困人口数达到目标值24623人。项目带来可持续影响。预计持续发挥作用为10年，持续发挥作用年限达到目标值；新建公路列养率达到100%，养护制度健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但该项目绩效目标设置与计划任务数不够匹配，产出成本未设置指标进行考核。利益联结机制、信息公开和公告公示制度执行不够有效，部分利益联结机制描述过于简单，公示内容不够完整，缺少永久公示牌。项目带贫减贫机制不够有效。项目建立有带贫减贫机制，但项目建立后期无帮扶跟进机制，未明确项目扶持期结束后，贫困户的带贫模式，不具备可持续性、可行性</w:t>
      </w:r>
      <w:r>
        <w:rPr>
          <w:rFonts w:hint="eastAsia" w:ascii="Times New Roman" w:hAnsi="Times New Roman" w:eastAsia="仿宋"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4" w:name="_Toc26536"/>
      <w:bookmarkStart w:id="15" w:name="_Toc23242"/>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）主要成绩</w:t>
      </w:r>
      <w:bookmarkEnd w:id="11"/>
      <w:bookmarkEnd w:id="12"/>
      <w:bookmarkEnd w:id="13"/>
      <w:r>
        <w:rPr>
          <w:rFonts w:hint="eastAsia" w:ascii="楷体" w:hAnsi="楷体" w:eastAsia="楷体" w:cs="楷体"/>
          <w:b/>
          <w:bCs/>
          <w:sz w:val="32"/>
          <w:szCs w:val="32"/>
          <w:lang w:val="en-US" w:eastAsia="zh-CN"/>
        </w:rPr>
        <w:t>及经验做法</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 w:cstheme="majorBidi"/>
          <w:b/>
          <w:bCs/>
          <w:kern w:val="2"/>
          <w:sz w:val="32"/>
          <w:szCs w:val="32"/>
          <w:lang w:val="en-US" w:eastAsia="zh-CN" w:bidi="ar-SA"/>
        </w:rPr>
      </w:pPr>
      <w:bookmarkStart w:id="16" w:name="_Toc15011"/>
      <w:r>
        <w:rPr>
          <w:rFonts w:hint="default" w:ascii="Times New Roman" w:hAnsi="Times New Roman" w:eastAsia="仿宋" w:cs="Times New Roman"/>
          <w:b/>
          <w:bCs/>
          <w:sz w:val="32"/>
          <w:szCs w:val="32"/>
          <w:lang w:val="en-US" w:eastAsia="zh-CN"/>
        </w:rPr>
        <w:t>1.</w:t>
      </w:r>
      <w:r>
        <w:rPr>
          <w:rFonts w:hint="default" w:ascii="Times New Roman" w:hAnsi="Times New Roman" w:eastAsia="仿宋" w:cs="Times New Roman"/>
          <w:b/>
          <w:bCs/>
          <w:sz w:val="32"/>
          <w:szCs w:val="32"/>
        </w:rPr>
        <w:t>建设资金管理规范、使用合规，提高了资金的使用效益</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000000"/>
          <w:kern w:val="2"/>
          <w:sz w:val="32"/>
          <w:szCs w:val="21"/>
          <w:lang w:val="en-US" w:eastAsia="zh-CN" w:bidi="ar-SA"/>
        </w:rPr>
        <w:t>淮滨</w:t>
      </w:r>
      <w:r>
        <w:rPr>
          <w:rFonts w:hint="default" w:ascii="Times New Roman" w:hAnsi="Times New Roman" w:eastAsia="仿宋" w:cs="Times New Roman"/>
          <w:color w:val="000000"/>
          <w:kern w:val="2"/>
          <w:sz w:val="32"/>
          <w:szCs w:val="21"/>
          <w:lang w:val="en-US" w:eastAsia="zh-CN" w:bidi="ar-SA"/>
        </w:rPr>
        <w:t>县</w:t>
      </w:r>
      <w:r>
        <w:rPr>
          <w:rFonts w:hint="eastAsia" w:ascii="Times New Roman" w:hAnsi="Times New Roman" w:eastAsia="仿宋" w:cs="Times New Roman"/>
          <w:color w:val="000000"/>
          <w:kern w:val="2"/>
          <w:sz w:val="32"/>
          <w:szCs w:val="21"/>
          <w:lang w:val="en-US" w:eastAsia="zh-CN" w:bidi="ar-SA"/>
        </w:rPr>
        <w:t>交通运输局</w:t>
      </w:r>
      <w:r>
        <w:rPr>
          <w:rFonts w:hint="default" w:ascii="Times New Roman" w:hAnsi="Times New Roman" w:eastAsia="仿宋" w:cs="Times New Roman"/>
          <w:color w:val="000000"/>
          <w:kern w:val="2"/>
          <w:sz w:val="32"/>
          <w:szCs w:val="21"/>
          <w:lang w:val="en-US" w:eastAsia="zh-CN" w:bidi="ar-SA"/>
        </w:rPr>
        <w:t>根据各村致贫原因及脱贫需求，制定了相应的项目资金管理办法，资金管理办法符合相关财务会计制度的规定，脱贫效果较为显著。在使用建设资金</w:t>
      </w:r>
      <w:r>
        <w:rPr>
          <w:rFonts w:hint="eastAsia" w:ascii="Times New Roman" w:hAnsi="Times New Roman" w:eastAsia="仿宋" w:cs="Times New Roman"/>
          <w:color w:val="000000"/>
          <w:kern w:val="2"/>
          <w:sz w:val="32"/>
          <w:szCs w:val="21"/>
          <w:lang w:val="en-US" w:eastAsia="zh-CN" w:bidi="ar-SA"/>
        </w:rPr>
        <w:t>和</w:t>
      </w:r>
      <w:r>
        <w:rPr>
          <w:rFonts w:hint="default" w:ascii="Times New Roman" w:hAnsi="Times New Roman" w:eastAsia="仿宋" w:cs="Times New Roman"/>
          <w:color w:val="000000"/>
          <w:kern w:val="2"/>
          <w:sz w:val="32"/>
          <w:szCs w:val="21"/>
          <w:lang w:val="en-US" w:eastAsia="zh-CN" w:bidi="ar-SA"/>
        </w:rPr>
        <w:t>财务管理</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计量支付方面</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认真执行国家有关的财政法规及制度</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严格落实扶贫</w:t>
      </w:r>
      <w:r>
        <w:rPr>
          <w:rFonts w:hint="eastAsia" w:ascii="Times New Roman" w:hAnsi="Times New Roman" w:eastAsia="仿宋" w:cs="Times New Roman"/>
          <w:color w:val="000000"/>
          <w:kern w:val="2"/>
          <w:sz w:val="32"/>
          <w:szCs w:val="21"/>
          <w:lang w:val="en-US" w:eastAsia="zh-CN" w:bidi="ar-SA"/>
        </w:rPr>
        <w:t>项</w:t>
      </w:r>
      <w:r>
        <w:rPr>
          <w:rFonts w:hint="default" w:ascii="Times New Roman" w:hAnsi="Times New Roman" w:eastAsia="仿宋" w:cs="Times New Roman"/>
          <w:color w:val="000000"/>
          <w:kern w:val="2"/>
          <w:sz w:val="32"/>
          <w:szCs w:val="21"/>
          <w:lang w:val="en-US" w:eastAsia="zh-CN" w:bidi="ar-SA"/>
        </w:rPr>
        <w:t>目资金报账制度要求</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单独建</w:t>
      </w:r>
      <w:r>
        <w:rPr>
          <w:rFonts w:hint="eastAsia" w:ascii="Times New Roman" w:hAnsi="Times New Roman" w:eastAsia="仿宋" w:cs="Times New Roman"/>
          <w:color w:val="000000"/>
          <w:kern w:val="2"/>
          <w:sz w:val="32"/>
          <w:szCs w:val="21"/>
          <w:lang w:val="en-US" w:eastAsia="zh-CN" w:bidi="ar-SA"/>
        </w:rPr>
        <w:t>账、</w:t>
      </w:r>
      <w:r>
        <w:rPr>
          <w:rFonts w:hint="default" w:ascii="Times New Roman" w:hAnsi="Times New Roman" w:eastAsia="仿宋" w:cs="Times New Roman"/>
          <w:color w:val="000000"/>
          <w:kern w:val="2"/>
          <w:sz w:val="32"/>
          <w:szCs w:val="21"/>
          <w:lang w:val="en-US" w:eastAsia="zh-CN" w:bidi="ar-SA"/>
        </w:rPr>
        <w:t>单独核算</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封闭运行</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并自觉接受财政、审计等部门的监管</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严格按照要求</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逐级审批</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杜绝截留、挤占、挪用和超范围使用项目资金的现象</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提高了资金的使用效益</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保证了计量支付的真实、可靠</w:t>
      </w:r>
      <w:r>
        <w:rPr>
          <w:rFonts w:hint="eastAsia" w:ascii="Times New Roman" w:hAnsi="Times New Roman" w:eastAsia="仿宋" w:cs="Times New Roman"/>
          <w:color w:val="000000"/>
          <w:kern w:val="2"/>
          <w:sz w:val="32"/>
          <w:szCs w:val="21"/>
          <w:lang w:val="en-US" w:eastAsia="zh-CN" w:bidi="ar-SA"/>
        </w:rPr>
        <w:t>，</w:t>
      </w:r>
      <w:r>
        <w:rPr>
          <w:rFonts w:hint="default" w:ascii="Times New Roman" w:hAnsi="Times New Roman" w:eastAsia="仿宋" w:cs="Times New Roman"/>
          <w:color w:val="000000"/>
          <w:kern w:val="2"/>
          <w:sz w:val="32"/>
          <w:szCs w:val="21"/>
          <w:lang w:val="en-US" w:eastAsia="zh-CN" w:bidi="ar-SA"/>
        </w:rPr>
        <w:t>杜绝了重复计量现象。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7" w:name="_Toc26927"/>
      <w:r>
        <w:rPr>
          <w:rFonts w:hint="default" w:ascii="Times New Roman" w:hAnsi="Times New Roman" w:eastAsia="仿宋" w:cs="Times New Roman"/>
          <w:b/>
          <w:bCs/>
          <w:sz w:val="32"/>
          <w:szCs w:val="32"/>
          <w:lang w:val="en-US" w:eastAsia="zh-CN"/>
        </w:rPr>
        <w:t>2.</w:t>
      </w:r>
      <w:bookmarkEnd w:id="17"/>
      <w:r>
        <w:rPr>
          <w:rFonts w:hint="default" w:ascii="Times New Roman" w:hAnsi="Times New Roman" w:eastAsia="仿宋" w:cs="Times New Roman"/>
          <w:b/>
          <w:bCs/>
          <w:sz w:val="32"/>
          <w:szCs w:val="32"/>
        </w:rPr>
        <w:t>资金投入保障有力，项目建设完成度相对较高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auto"/>
          <w:kern w:val="2"/>
          <w:sz w:val="32"/>
          <w:szCs w:val="32"/>
          <w:lang w:val="en-US" w:eastAsia="zh-CN" w:bidi="ar-SA"/>
        </w:rPr>
        <w:t>该项目</w:t>
      </w:r>
      <w:r>
        <w:rPr>
          <w:rFonts w:hint="default" w:ascii="Times New Roman" w:hAnsi="Times New Roman" w:eastAsia="仿宋" w:cs="Times New Roman"/>
          <w:color w:val="auto"/>
          <w:kern w:val="2"/>
          <w:sz w:val="32"/>
          <w:szCs w:val="32"/>
          <w:lang w:val="en-US" w:eastAsia="zh-CN" w:bidi="ar-SA"/>
        </w:rPr>
        <w:t>资金</w:t>
      </w:r>
      <w:r>
        <w:rPr>
          <w:rFonts w:hint="eastAsia" w:ascii="Times New Roman" w:hAnsi="Times New Roman" w:eastAsia="仿宋" w:cs="Times New Roman"/>
          <w:color w:val="auto"/>
          <w:kern w:val="2"/>
          <w:sz w:val="32"/>
          <w:szCs w:val="32"/>
          <w:lang w:val="en-US" w:eastAsia="zh-CN" w:bidi="ar-SA"/>
        </w:rPr>
        <w:t>到位及时、预算执行率较高</w:t>
      </w:r>
      <w:r>
        <w:rPr>
          <w:rFonts w:hint="default" w:ascii="Times New Roman" w:hAnsi="Times New Roman" w:eastAsia="仿宋" w:cs="Times New Roman"/>
          <w:color w:val="auto"/>
          <w:kern w:val="2"/>
          <w:sz w:val="32"/>
          <w:szCs w:val="32"/>
          <w:lang w:val="en-US" w:eastAsia="zh-CN" w:bidi="ar-SA"/>
        </w:rPr>
        <w:t>。202</w:t>
      </w:r>
      <w:r>
        <w:rPr>
          <w:rFonts w:hint="eastAsia" w:ascii="Times New Roman" w:hAnsi="Times New Roman" w:eastAsia="仿宋" w:cs="Times New Roman"/>
          <w:color w:val="auto"/>
          <w:kern w:val="2"/>
          <w:sz w:val="32"/>
          <w:szCs w:val="32"/>
          <w:lang w:val="en-US" w:eastAsia="zh-CN" w:bidi="ar-SA"/>
        </w:rPr>
        <w:t>0</w:t>
      </w:r>
      <w:r>
        <w:rPr>
          <w:rFonts w:hint="default" w:ascii="Times New Roman" w:hAnsi="Times New Roman" w:eastAsia="仿宋" w:cs="Times New Roman"/>
          <w:color w:val="auto"/>
          <w:kern w:val="2"/>
          <w:sz w:val="32"/>
          <w:szCs w:val="32"/>
          <w:lang w:val="en-US" w:eastAsia="zh-CN" w:bidi="ar-SA"/>
        </w:rPr>
        <w:t>年度</w:t>
      </w:r>
      <w:r>
        <w:rPr>
          <w:rFonts w:hint="eastAsia" w:ascii="Times New Roman" w:hAnsi="Times New Roman" w:eastAsia="仿宋" w:cs="Times New Roman"/>
          <w:color w:val="auto"/>
          <w:kern w:val="2"/>
          <w:sz w:val="32"/>
          <w:szCs w:val="32"/>
          <w:lang w:val="en-US" w:eastAsia="zh-CN" w:bidi="ar-SA"/>
        </w:rPr>
        <w:t>，淮滨县2020年扶贫通村通组道路配套桥涵建设项目预算资金3198.98万元，实际到位资金3198.98万元，资金到位率为100%；截至2020年12月，实际支出资金3198.98万元，预算执行率为100%。</w:t>
      </w:r>
      <w:r>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t>同时，为推动脱贫攻坚巩固工作有序开展，</w:t>
      </w:r>
      <w:r>
        <w:rPr>
          <w:rFonts w:hint="eastAsia" w:ascii="Times New Roman" w:hAnsi="Times New Roman" w:eastAsia="仿宋" w:cs="Times New Roman"/>
          <w:color w:val="000000" w:themeColor="text1"/>
          <w:kern w:val="2"/>
          <w:sz w:val="32"/>
          <w:szCs w:val="32"/>
          <w:lang w:val="en-US" w:eastAsia="zh-CN" w:bidi="ar-SA"/>
          <w14:textFill>
            <w14:solidFill>
              <w14:schemeClr w14:val="tx1"/>
            </w14:solidFill>
          </w14:textFill>
        </w:rPr>
        <w:t>淮滨</w:t>
      </w:r>
      <w:r>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t>县对全县涉农项目进行统筹管理。制定帮扶计划，设计项目实施方案，明确帮扶责任单位、帮扶人员等，项目建设进度总体良好。</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8" w:name="_Toc12597"/>
      <w:r>
        <w:rPr>
          <w:rFonts w:hint="default" w:ascii="Times New Roman" w:hAnsi="Times New Roman" w:eastAsia="仿宋" w:cs="Times New Roman"/>
          <w:b/>
          <w:bCs/>
          <w:sz w:val="32"/>
          <w:szCs w:val="32"/>
          <w:lang w:val="en-US" w:eastAsia="zh-CN"/>
        </w:rPr>
        <w:t>3.</w:t>
      </w:r>
      <w:bookmarkEnd w:id="18"/>
      <w:r>
        <w:rPr>
          <w:rFonts w:hint="default" w:ascii="Times New Roman" w:hAnsi="Times New Roman" w:eastAsia="仿宋" w:cs="Times New Roman"/>
          <w:b/>
          <w:bCs/>
          <w:sz w:val="32"/>
          <w:szCs w:val="32"/>
        </w:rPr>
        <w:t>加强工程流程管理，保障项目高质量完成</w:t>
      </w:r>
    </w:p>
    <w:p>
      <w:pPr>
        <w:pStyle w:val="52"/>
        <w:bidi w:val="0"/>
        <w:rPr>
          <w:rFonts w:hint="eastAsia" w:cs="Times New Roman"/>
          <w:lang w:val="en-US" w:eastAsia="zh-CN"/>
        </w:rPr>
      </w:pPr>
      <w:r>
        <w:rPr>
          <w:rFonts w:hint="default" w:ascii="Times New Roman" w:hAnsi="Times New Roman" w:eastAsia="仿宋" w:cs="Times New Roman"/>
          <w:b w:val="0"/>
          <w:bCs w:val="0"/>
          <w:kern w:val="2"/>
          <w:sz w:val="32"/>
          <w:szCs w:val="32"/>
          <w:lang w:val="en-US" w:eastAsia="zh-CN" w:bidi="ar-SA"/>
        </w:rPr>
        <w:t>项目实施过程中</w:t>
      </w:r>
      <w:r>
        <w:rPr>
          <w:rFonts w:hint="eastAsia" w:ascii="Times New Roman" w:hAnsi="Times New Roman" w:eastAsia="仿宋" w:cs="Times New Roman"/>
          <w:b w:val="0"/>
          <w:bCs w:val="0"/>
          <w:kern w:val="2"/>
          <w:sz w:val="32"/>
          <w:szCs w:val="32"/>
          <w:lang w:val="en-US" w:eastAsia="zh-CN" w:bidi="ar-SA"/>
        </w:rPr>
        <w:t>交通运输局</w:t>
      </w:r>
      <w:r>
        <w:rPr>
          <w:rFonts w:hint="default" w:ascii="Times New Roman" w:hAnsi="Times New Roman" w:eastAsia="仿宋" w:cs="Times New Roman"/>
          <w:b w:val="0"/>
          <w:bCs w:val="0"/>
          <w:kern w:val="2"/>
          <w:sz w:val="32"/>
          <w:szCs w:val="32"/>
          <w:lang w:val="en-US" w:eastAsia="zh-CN" w:bidi="ar-SA"/>
        </w:rPr>
        <w:t>对整体项目进度进行把控，</w:t>
      </w:r>
      <w:r>
        <w:rPr>
          <w:rFonts w:hint="eastAsia" w:ascii="Times New Roman" w:hAnsi="Times New Roman" w:eastAsia="仿宋" w:cs="Times New Roman"/>
          <w:b w:val="0"/>
          <w:bCs w:val="0"/>
          <w:kern w:val="2"/>
          <w:sz w:val="32"/>
          <w:szCs w:val="32"/>
          <w:lang w:val="en-US" w:eastAsia="zh-CN" w:bidi="ar-SA"/>
        </w:rPr>
        <w:t>对项目</w:t>
      </w:r>
      <w:r>
        <w:rPr>
          <w:rFonts w:hint="default" w:ascii="Times New Roman" w:hAnsi="Times New Roman" w:eastAsia="仿宋" w:cs="Times New Roman"/>
          <w:b w:val="0"/>
          <w:bCs w:val="0"/>
          <w:kern w:val="2"/>
          <w:sz w:val="32"/>
          <w:szCs w:val="32"/>
          <w:lang w:val="en-US" w:eastAsia="zh-CN" w:bidi="ar-SA"/>
        </w:rPr>
        <w:t>全流程管理，</w:t>
      </w:r>
      <w:r>
        <w:rPr>
          <w:rFonts w:hint="eastAsia" w:ascii="Times New Roman" w:hAnsi="Times New Roman" w:eastAsia="仿宋" w:cs="Times New Roman"/>
          <w:b w:val="0"/>
          <w:bCs w:val="0"/>
          <w:kern w:val="2"/>
          <w:sz w:val="32"/>
          <w:szCs w:val="32"/>
          <w:lang w:val="en-US" w:eastAsia="zh-CN" w:bidi="ar-SA"/>
        </w:rPr>
        <w:t>确保</w:t>
      </w:r>
      <w:r>
        <w:rPr>
          <w:rFonts w:hint="default" w:ascii="Times New Roman" w:hAnsi="Times New Roman" w:eastAsia="仿宋" w:cs="Times New Roman"/>
          <w:b w:val="0"/>
          <w:bCs w:val="0"/>
          <w:kern w:val="2"/>
          <w:sz w:val="32"/>
          <w:szCs w:val="32"/>
          <w:lang w:val="en-US" w:eastAsia="zh-CN" w:bidi="ar-SA"/>
        </w:rPr>
        <w:t>分工明确、责任落实。对项目实施关键环节进行监督指导，委托监理负责质量把关，保障项目</w:t>
      </w:r>
      <w:r>
        <w:rPr>
          <w:rFonts w:hint="eastAsia" w:ascii="Times New Roman" w:hAnsi="Times New Roman" w:eastAsia="仿宋" w:cs="Times New Roman"/>
          <w:b w:val="0"/>
          <w:bCs w:val="0"/>
          <w:kern w:val="2"/>
          <w:sz w:val="32"/>
          <w:szCs w:val="32"/>
          <w:lang w:val="en-US" w:eastAsia="zh-CN" w:bidi="ar-SA"/>
        </w:rPr>
        <w:t>高</w:t>
      </w:r>
      <w:r>
        <w:rPr>
          <w:rFonts w:hint="default" w:ascii="Times New Roman" w:hAnsi="Times New Roman" w:eastAsia="仿宋" w:cs="Times New Roman"/>
          <w:b w:val="0"/>
          <w:bCs w:val="0"/>
          <w:kern w:val="2"/>
          <w:sz w:val="32"/>
          <w:szCs w:val="32"/>
          <w:lang w:val="en-US" w:eastAsia="zh-CN" w:bidi="ar-SA"/>
        </w:rPr>
        <w:t>质量</w:t>
      </w:r>
      <w:r>
        <w:rPr>
          <w:rFonts w:hint="eastAsia" w:ascii="Times New Roman" w:hAnsi="Times New Roman" w:eastAsia="仿宋" w:cs="Times New Roman"/>
          <w:b w:val="0"/>
          <w:bCs w:val="0"/>
          <w:kern w:val="2"/>
          <w:sz w:val="32"/>
          <w:szCs w:val="32"/>
          <w:lang w:val="en-US" w:eastAsia="zh-CN" w:bidi="ar-SA"/>
        </w:rPr>
        <w:t>完成，</w:t>
      </w:r>
      <w:r>
        <w:rPr>
          <w:rFonts w:hint="default" w:ascii="Times New Roman" w:hAnsi="Times New Roman" w:eastAsia="仿宋" w:cs="Times New Roman"/>
          <w:b w:val="0"/>
          <w:bCs w:val="0"/>
          <w:kern w:val="2"/>
          <w:sz w:val="32"/>
          <w:szCs w:val="32"/>
          <w:lang w:val="en-US" w:eastAsia="zh-CN" w:bidi="ar-SA"/>
        </w:rPr>
        <w:t>保障项目实施过程中无偏差。</w:t>
      </w:r>
      <w:r>
        <w:rPr>
          <w:rFonts w:hint="eastAsia" w:ascii="Times New Roman" w:hAnsi="Times New Roman" w:eastAsia="仿宋" w:cs="Times New Roman"/>
          <w:b w:val="0"/>
          <w:bCs w:val="0"/>
          <w:kern w:val="2"/>
          <w:sz w:val="32"/>
          <w:szCs w:val="32"/>
          <w:lang w:val="en-US" w:eastAsia="zh-CN" w:bidi="ar-SA"/>
        </w:rPr>
        <w:t>交通运输局</w:t>
      </w:r>
      <w:r>
        <w:rPr>
          <w:rFonts w:hint="default" w:ascii="Times New Roman" w:hAnsi="Times New Roman" w:eastAsia="仿宋" w:cs="Times New Roman"/>
          <w:b w:val="0"/>
          <w:bCs w:val="0"/>
          <w:kern w:val="2"/>
          <w:sz w:val="32"/>
          <w:szCs w:val="32"/>
          <w:lang w:val="en-US" w:eastAsia="zh-CN" w:bidi="ar-SA"/>
        </w:rPr>
        <w:t>作为建设单位</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加强工程进度管理</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并根据实际进度情况调整进度</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要求党组成员督促施工单位</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加大机械设备和技术力量的投入</w:t>
      </w:r>
      <w:r>
        <w:rPr>
          <w:rFonts w:hint="eastAsia" w:ascii="Times New Roman" w:hAnsi="Times New Roman" w:eastAsia="仿宋" w:cs="Times New Roman"/>
          <w:b w:val="0"/>
          <w:bCs w:val="0"/>
          <w:kern w:val="2"/>
          <w:sz w:val="32"/>
          <w:szCs w:val="32"/>
          <w:lang w:val="en-US" w:eastAsia="zh-CN" w:bidi="ar-SA"/>
        </w:rPr>
        <w:t>，以确保工程</w:t>
      </w:r>
      <w:r>
        <w:rPr>
          <w:rFonts w:hint="default" w:ascii="Times New Roman" w:hAnsi="Times New Roman" w:eastAsia="仿宋" w:cs="Times New Roman"/>
          <w:b w:val="0"/>
          <w:bCs w:val="0"/>
          <w:kern w:val="2"/>
          <w:sz w:val="32"/>
          <w:szCs w:val="32"/>
          <w:lang w:val="en-US" w:eastAsia="zh-CN" w:bidi="ar-SA"/>
        </w:rPr>
        <w:t>质量</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对施工管理混乱、施工进展缓慢、履约信誉差等问题</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要求其严格履约</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限期整改</w:t>
      </w:r>
      <w:r>
        <w:rPr>
          <w:rFonts w:hint="eastAsia" w:ascii="Times New Roman" w:hAnsi="Times New Roman" w:eastAsia="仿宋"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9" w:name="_Toc31286"/>
      <w:bookmarkStart w:id="20" w:name="_Toc8017"/>
      <w:bookmarkStart w:id="21" w:name="_Toc30168"/>
      <w:bookmarkStart w:id="22" w:name="_Toc25679"/>
      <w:bookmarkStart w:id="23" w:name="_Toc48"/>
      <w:bookmarkStart w:id="24" w:name="_Toc11724"/>
      <w:r>
        <w:rPr>
          <w:rFonts w:hint="eastAsia" w:ascii="楷体" w:hAnsi="楷体" w:eastAsia="楷体" w:cs="楷体"/>
          <w:b/>
          <w:bCs/>
          <w:sz w:val="32"/>
          <w:szCs w:val="32"/>
          <w:lang w:val="en-US" w:eastAsia="zh-CN"/>
        </w:rPr>
        <w:t>（四）主要问题</w:t>
      </w:r>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25" w:name="_Toc22252"/>
      <w:r>
        <w:rPr>
          <w:rFonts w:hint="default" w:ascii="Times New Roman" w:hAnsi="Times New Roman" w:eastAsia="仿宋" w:cs="Times New Roman"/>
          <w:b/>
          <w:bCs/>
          <w:sz w:val="32"/>
          <w:szCs w:val="32"/>
          <w:lang w:val="en-US" w:eastAsia="zh-CN"/>
        </w:rPr>
        <w:t>1.</w:t>
      </w:r>
      <w:bookmarkEnd w:id="25"/>
      <w:r>
        <w:rPr>
          <w:rFonts w:hint="default" w:ascii="Times New Roman" w:hAnsi="Times New Roman" w:eastAsia="仿宋" w:cs="Times New Roman"/>
          <w:b/>
          <w:bCs/>
          <w:sz w:val="32"/>
          <w:szCs w:val="32"/>
          <w:lang w:val="en-US" w:eastAsia="zh-CN"/>
        </w:rPr>
        <w:t>部分项目实施方案不够完善，利益链接机制不够健全</w:t>
      </w:r>
    </w:p>
    <w:p>
      <w:pPr>
        <w:pStyle w:val="6"/>
        <w:tabs>
          <w:tab w:val="left" w:pos="6948"/>
        </w:tabs>
        <w:rPr>
          <w:rFonts w:hint="default" w:ascii="Times New Roman" w:hAnsi="Times New Roman" w:cs="Times New Roman"/>
          <w:b w:val="0"/>
          <w:bCs w:val="0"/>
          <w:lang w:val="en-US" w:eastAsia="zh-CN"/>
        </w:rPr>
      </w:pPr>
      <w:r>
        <w:rPr>
          <w:rFonts w:hint="eastAsia" w:cs="Times New Roman"/>
          <w:b w:val="0"/>
          <w:bCs w:val="0"/>
          <w:lang w:val="en-US" w:eastAsia="zh-CN"/>
        </w:rPr>
        <w:t>部分项目实施方案内容不够丰富、完善。例如，该项目实施方案建设任务较为粗糙，未能明确体现建设内容、建设规模及建设标准；缺少项目建设可行性与必要性、建设标准、进度计划、投资概算与资金来源、责任主体等内容。该</w:t>
      </w:r>
      <w:r>
        <w:rPr>
          <w:rFonts w:hint="default" w:ascii="Times New Roman" w:hAnsi="Times New Roman" w:cs="Times New Roman"/>
          <w:b w:val="0"/>
          <w:bCs w:val="0"/>
          <w:lang w:val="en-US" w:eastAsia="zh-CN"/>
        </w:rPr>
        <w:t>项目</w:t>
      </w:r>
      <w:r>
        <w:rPr>
          <w:rFonts w:hint="eastAsia" w:cs="Times New Roman"/>
          <w:b w:val="0"/>
          <w:bCs w:val="0"/>
          <w:lang w:val="en-US" w:eastAsia="zh-CN"/>
        </w:rPr>
        <w:t>无</w:t>
      </w:r>
      <w:r>
        <w:rPr>
          <w:rFonts w:hint="default" w:ascii="Times New Roman" w:hAnsi="Times New Roman" w:cs="Times New Roman"/>
          <w:b w:val="0"/>
          <w:bCs w:val="0"/>
          <w:lang w:val="en-US" w:eastAsia="zh-CN"/>
        </w:rPr>
        <w:t>利益联结机制</w:t>
      </w:r>
      <w:r>
        <w:rPr>
          <w:rFonts w:hint="default" w:ascii="Times New Roman" w:hAnsi="Times New Roman" w:cs="Times New Roman"/>
          <w:b/>
          <w:bCs/>
          <w:lang w:val="en-US" w:eastAsia="zh-CN"/>
        </w:rPr>
        <w:t>，</w:t>
      </w:r>
      <w:r>
        <w:rPr>
          <w:rFonts w:hint="default" w:ascii="Times New Roman" w:hAnsi="Times New Roman" w:cs="Times New Roman"/>
          <w:b w:val="0"/>
          <w:bCs w:val="0"/>
          <w:lang w:val="en-US" w:eastAsia="zh-CN"/>
        </w:rPr>
        <w:t>利益联结机制与带贫减贫机制</w:t>
      </w:r>
      <w:r>
        <w:rPr>
          <w:rFonts w:hint="eastAsia" w:cs="Times New Roman"/>
          <w:b w:val="0"/>
          <w:bCs w:val="0"/>
          <w:lang w:val="en-US" w:eastAsia="zh-CN"/>
        </w:rPr>
        <w:t>缺失。</w:t>
      </w:r>
      <w:r>
        <w:rPr>
          <w:rFonts w:hint="default" w:ascii="Times New Roman" w:hAnsi="Times New Roman" w:cs="Times New Roman"/>
          <w:b w:val="0"/>
          <w:bCs w:val="0"/>
          <w:lang w:val="en-US" w:eastAsia="zh-CN"/>
        </w:rPr>
        <w:t>项目利益联结机制包含联结主体、联结模式等方面，但是</w:t>
      </w:r>
      <w:r>
        <w:rPr>
          <w:rFonts w:hint="eastAsia" w:cs="Times New Roman"/>
          <w:b w:val="0"/>
          <w:bCs w:val="0"/>
          <w:lang w:val="en-US" w:eastAsia="zh-CN"/>
        </w:rPr>
        <w:t>如果</w:t>
      </w:r>
      <w:r>
        <w:rPr>
          <w:rFonts w:hint="default" w:ascii="Times New Roman" w:hAnsi="Times New Roman" w:cs="Times New Roman"/>
          <w:b w:val="0"/>
          <w:bCs w:val="0"/>
          <w:lang w:val="en-US" w:eastAsia="zh-CN"/>
        </w:rPr>
        <w:t>部分利益联结机制描述过于简单</w:t>
      </w:r>
      <w:r>
        <w:rPr>
          <w:rFonts w:hint="eastAsia" w:cs="Times New Roman"/>
          <w:b w:val="0"/>
          <w:bCs w:val="0"/>
          <w:lang w:val="en-US" w:eastAsia="zh-CN"/>
        </w:rPr>
        <w:t>或者缺失，</w:t>
      </w:r>
      <w:r>
        <w:rPr>
          <w:rFonts w:hint="default" w:ascii="Times New Roman" w:hAnsi="Times New Roman" w:cs="Times New Roman"/>
          <w:b w:val="0"/>
          <w:bCs w:val="0"/>
          <w:lang w:val="en-US" w:eastAsia="zh-CN"/>
        </w:rPr>
        <w:t>无法充分发挥对项目实施的指导作用。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2.预算绩效管理水平有待提高</w:t>
      </w:r>
    </w:p>
    <w:p>
      <w:pPr>
        <w:pStyle w:val="6"/>
        <w:tabs>
          <w:tab w:val="left" w:pos="6948"/>
        </w:tabs>
        <w:rPr>
          <w:rFonts w:hint="default" w:ascii="Times New Roman" w:hAnsi="Times New Roman" w:cs="Times New Roman"/>
          <w:b w:val="0"/>
          <w:bCs w:val="0"/>
          <w:lang w:val="en-US" w:eastAsia="zh-CN"/>
        </w:rPr>
      </w:pPr>
      <w:r>
        <w:rPr>
          <w:rFonts w:hint="eastAsia" w:ascii="仿宋" w:hAnsi="仿宋" w:eastAsia="仿宋" w:cs="仿宋"/>
          <w:kern w:val="2"/>
          <w:sz w:val="32"/>
          <w:szCs w:val="32"/>
          <w:lang w:val="en-US" w:eastAsia="zh-CN" w:bidi="ar-SA"/>
        </w:rPr>
        <w:t>该项目绩效目标管理水平仍然较为薄弱。一方面，绩效指标设计不够清晰，时效指标、社会效益等指标设置与实际工作内容相关性较弱，绩效目标指导约束性不强；产出成本未设置成本指标进行考核。另一方面，项目绩效运行监控表与绩效目标申报表指标、绩效自评表和自评报告内容不对应，已完工项目未及时开展项目自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3.乡（镇）、村级公告公示落实不够规范，永久性公示牌设置缺失</w:t>
      </w:r>
    </w:p>
    <w:p>
      <w:pPr>
        <w:pStyle w:val="6"/>
        <w:keepNext w:val="0"/>
        <w:keepLines w:val="0"/>
        <w:pageBreakBefore w:val="0"/>
        <w:widowControl w:val="0"/>
        <w:tabs>
          <w:tab w:val="left" w:pos="6948"/>
        </w:tabs>
        <w:kinsoku/>
        <w:wordWrap/>
        <w:overflowPunct/>
        <w:topLinePunct w:val="0"/>
        <w:autoSpaceDE/>
        <w:autoSpaceDN/>
        <w:bidi w:val="0"/>
        <w:adjustRightInd/>
        <w:snapToGrid/>
        <w:ind w:left="0" w:leftChars="0"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default" w:ascii="Times New Roman" w:hAnsi="Times New Roman" w:cs="Times New Roman"/>
          <w:b w:val="0"/>
          <w:bCs w:val="0"/>
          <w:lang w:val="en-US" w:eastAsia="zh-CN"/>
        </w:rPr>
        <w:t>部分乡（镇）、村级公告公示落实内容不够完整，乡（镇）、村级公告公示缺失。根据脱贫攻坚项目公告公示要求，乡（镇）、村级应设置脱贫攻坚专项公告公示牌，对相关内容进行公示。公示内容应包括：扶贫资金项目公告公示制度、扶贫资金项目安排计划、扶贫资金项目计划完成情况、脱贫攻坚项目库等内容。经评价组实地核查，部分乡（镇）、村级公告公示未就扶贫资金项目公告公示制度、脱贫攻坚项目库等进行公告公示。</w:t>
      </w:r>
      <w:r>
        <w:rPr>
          <w:rFonts w:hint="default" w:ascii="Times New Roman" w:hAnsi="Times New Roman" w:eastAsia="仿宋" w:cs="Times New Roman"/>
          <w:b w:val="0"/>
          <w:bCs w:val="0"/>
          <w:kern w:val="2"/>
          <w:sz w:val="32"/>
          <w:szCs w:val="32"/>
          <w:lang w:val="en-US" w:eastAsia="zh-CN" w:bidi="ar-SA"/>
        </w:rPr>
        <w:t>公示牌设置不够规范，项目实施地未设置永久性公示牌。根据脱贫攻坚项目公告公示要求，项目实施地应设置永久性公告公示牌，公告公示内容应包括项目名称、资金来源、绩效目标等内容。经评价组实地核查，部分项目实施地公告公示牌仅由泡沫版制成，公示牌设置不够规范</w:t>
      </w:r>
      <w:r>
        <w:rPr>
          <w:rFonts w:hint="eastAsia" w:ascii="Times New Roman" w:hAnsi="Times New Roman" w:eastAsia="仿宋" w:cs="Times New Roman"/>
          <w:b w:val="0"/>
          <w:bCs w:val="0"/>
          <w:kern w:val="2"/>
          <w:sz w:val="32"/>
          <w:szCs w:val="32"/>
          <w:lang w:val="en-US" w:eastAsia="zh-CN" w:bidi="ar-SA"/>
        </w:rPr>
        <w:t>。</w:t>
      </w:r>
    </w:p>
    <w:p>
      <w:pPr>
        <w:widowControl w:val="0"/>
        <w:tabs>
          <w:tab w:val="left" w:pos="6948"/>
        </w:tabs>
        <w:spacing w:line="560" w:lineRule="exact"/>
        <w:ind w:firstLine="640" w:firstLineChars="200"/>
        <w:jc w:val="both"/>
        <w:rPr>
          <w:rFonts w:hint="eastAsia" w:ascii="楷体" w:hAnsi="楷体" w:eastAsia="楷体" w:cs="楷体"/>
          <w:b/>
          <w:bCs/>
          <w:sz w:val="32"/>
          <w:szCs w:val="32"/>
          <w:lang w:val="en-US" w:eastAsia="zh-CN"/>
        </w:rPr>
      </w:pPr>
      <w:r>
        <w:rPr>
          <w:rFonts w:hint="eastAsia" w:ascii="Times New Roman" w:hAnsi="Times New Roman" w:eastAsia="仿宋" w:cs="Times New Roman"/>
          <w:sz w:val="32"/>
          <w:szCs w:val="32"/>
          <w:lang w:val="en-US" w:eastAsia="zh-CN"/>
        </w:rPr>
        <w:t xml:space="preserve"> </w:t>
      </w:r>
      <w:bookmarkStart w:id="26" w:name="_Toc29230"/>
      <w:bookmarkStart w:id="27" w:name="_Toc15648"/>
      <w:bookmarkStart w:id="28" w:name="_Toc8013"/>
      <w:bookmarkStart w:id="29" w:name="_Toc19360"/>
      <w:bookmarkStart w:id="30" w:name="_Toc26209"/>
      <w:bookmarkStart w:id="31" w:name="_Toc20200"/>
      <w:r>
        <w:rPr>
          <w:rFonts w:hint="eastAsia" w:ascii="楷体" w:hAnsi="楷体" w:eastAsia="楷体" w:cs="楷体"/>
          <w:b/>
          <w:bCs/>
          <w:sz w:val="32"/>
          <w:szCs w:val="32"/>
          <w:lang w:val="en-US" w:eastAsia="zh-CN"/>
        </w:rPr>
        <w:t>（五）相关建议</w:t>
      </w:r>
      <w:bookmarkEnd w:id="26"/>
      <w:bookmarkEnd w:id="27"/>
      <w:bookmarkEnd w:id="28"/>
      <w:bookmarkEnd w:id="29"/>
      <w:bookmarkEnd w:id="30"/>
      <w:bookmarkEnd w:id="31"/>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1.</w:t>
      </w:r>
      <w:r>
        <w:rPr>
          <w:rFonts w:hint="default" w:ascii="Times New Roman" w:hAnsi="Times New Roman" w:eastAsia="仿宋" w:cs="Times New Roman"/>
          <w:b/>
          <w:bCs/>
          <w:color w:val="000000"/>
          <w:kern w:val="2"/>
          <w:sz w:val="32"/>
          <w:szCs w:val="21"/>
          <w:lang w:val="en-US" w:eastAsia="zh-CN" w:bidi="ar-SA"/>
        </w:rPr>
        <w:t>完善项目联农带农和后续帮扶跟进机制</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 w:cs="Times New Roman"/>
          <w:b w:val="0"/>
          <w:bCs/>
          <w:kern w:val="2"/>
          <w:sz w:val="32"/>
          <w:szCs w:val="32"/>
          <w:lang w:val="en-US" w:eastAsia="zh-CN" w:bidi="ar-SA"/>
        </w:rPr>
        <w:t>通过政策引导，根据受扶持村民自身条件与发展需求，与村民建立多形式的利益联结方式，如股份联结、订单联结、服务联结、劳务联结等形式，促进利益联结机制多样化，全面巩固脱贫攻坚成果，避免出现复贫、返贫现象。同时，建议各乡镇政府和村委完善扶持项目后期帮扶跟进措施，并增加浮动收益，保障实施效果。明确项目建设结束后，如何在一定期限内继续帮助受扶持村民持续收益等方式方法。可通过对扶持人口进行定期跟踪、反馈的方式，了解帮扶村有关设施投入使用、运营情况，以及村民实际生活情况，避免出现脱贫人口再次返贫等问题。</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2.</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规范</w:t>
      </w: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项目</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管理流程，细化绩效考核</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b w:val="0"/>
          <w:bCs/>
          <w:kern w:val="2"/>
          <w:sz w:val="32"/>
          <w:szCs w:val="32"/>
          <w:lang w:val="en-US" w:eastAsia="zh-CN" w:bidi="ar-SA"/>
        </w:rPr>
      </w:pP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建议项目主管部门</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提高</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项目</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精细化管理</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细化绩效考核</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在</w:t>
      </w: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项目</w:t>
      </w:r>
      <w:r>
        <w:rPr>
          <w:rFonts w:hint="default"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管理规章制度和同业对标考核实施细则中完善考核具体内容和办法。</w:t>
      </w:r>
      <w:r>
        <w:rPr>
          <w:rFonts w:ascii="Times New Roman" w:hAnsi="Times New Roman" w:eastAsia="仿宋" w:cstheme="minorBidi"/>
          <w:color w:val="000000"/>
          <w:kern w:val="2"/>
          <w:sz w:val="32"/>
          <w:szCs w:val="21"/>
          <w:lang w:val="en-US" w:eastAsia="zh-CN" w:bidi="ar-SA"/>
        </w:rPr>
        <w:t>建议</w:t>
      </w:r>
      <w:r>
        <w:rPr>
          <w:rFonts w:hint="eastAsia" w:ascii="Times New Roman" w:hAnsi="Times New Roman" w:eastAsia="仿宋" w:cstheme="minorBidi"/>
          <w:color w:val="000000"/>
          <w:kern w:val="2"/>
          <w:sz w:val="32"/>
          <w:szCs w:val="21"/>
          <w:lang w:val="en-US" w:eastAsia="zh-CN" w:bidi="ar-SA"/>
        </w:rPr>
        <w:t>淮滨县财政局和</w:t>
      </w:r>
      <w:r>
        <w:rPr>
          <w:rFonts w:ascii="Times New Roman" w:hAnsi="Times New Roman" w:eastAsia="仿宋" w:cstheme="minorBidi"/>
          <w:color w:val="000000"/>
          <w:kern w:val="2"/>
          <w:sz w:val="32"/>
          <w:szCs w:val="21"/>
          <w:lang w:val="en-US" w:eastAsia="zh-CN" w:bidi="ar-SA"/>
        </w:rPr>
        <w:t>扶贫办</w:t>
      </w:r>
      <w:r>
        <w:rPr>
          <w:rFonts w:hint="eastAsia" w:ascii="Times New Roman" w:hAnsi="Times New Roman" w:eastAsia="仿宋" w:cstheme="minorBidi"/>
          <w:color w:val="000000"/>
          <w:kern w:val="2"/>
          <w:sz w:val="32"/>
          <w:szCs w:val="21"/>
          <w:lang w:val="en-US" w:eastAsia="zh-CN" w:bidi="ar-SA"/>
        </w:rPr>
        <w:t>定期</w:t>
      </w:r>
      <w:r>
        <w:rPr>
          <w:rFonts w:ascii="Times New Roman" w:hAnsi="Times New Roman" w:eastAsia="仿宋" w:cstheme="minorBidi"/>
          <w:color w:val="000000"/>
          <w:kern w:val="2"/>
          <w:sz w:val="32"/>
          <w:szCs w:val="21"/>
          <w:lang w:val="en-US" w:eastAsia="zh-CN" w:bidi="ar-SA"/>
        </w:rPr>
        <w:t>派出工作人员对各贫困</w:t>
      </w:r>
      <w:r>
        <w:rPr>
          <w:rFonts w:hint="eastAsia" w:ascii="Times New Roman" w:hAnsi="Times New Roman" w:eastAsia="仿宋" w:cstheme="minorBidi"/>
          <w:color w:val="000000"/>
          <w:kern w:val="2"/>
          <w:sz w:val="32"/>
          <w:szCs w:val="21"/>
          <w:lang w:val="en-US" w:eastAsia="zh-CN" w:bidi="ar-SA"/>
        </w:rPr>
        <w:t>申报</w:t>
      </w:r>
      <w:r>
        <w:rPr>
          <w:rFonts w:ascii="Times New Roman" w:hAnsi="Times New Roman" w:eastAsia="仿宋" w:cstheme="minorBidi"/>
          <w:color w:val="000000"/>
          <w:kern w:val="2"/>
          <w:sz w:val="32"/>
          <w:szCs w:val="21"/>
          <w:lang w:val="en-US" w:eastAsia="zh-CN" w:bidi="ar-SA"/>
        </w:rPr>
        <w:t>村</w:t>
      </w:r>
      <w:r>
        <w:rPr>
          <w:rFonts w:hint="eastAsia" w:ascii="Times New Roman" w:hAnsi="Times New Roman" w:eastAsia="仿宋" w:cstheme="minorBidi"/>
          <w:color w:val="000000"/>
          <w:kern w:val="2"/>
          <w:sz w:val="32"/>
          <w:szCs w:val="21"/>
          <w:lang w:val="en-US" w:eastAsia="zh-CN" w:bidi="ar-SA"/>
        </w:rPr>
        <w:t>负责人</w:t>
      </w:r>
      <w:r>
        <w:rPr>
          <w:rFonts w:ascii="Times New Roman" w:hAnsi="Times New Roman" w:eastAsia="仿宋" w:cstheme="minorBidi"/>
          <w:color w:val="000000"/>
          <w:kern w:val="2"/>
          <w:sz w:val="32"/>
          <w:szCs w:val="21"/>
          <w:lang w:val="en-US" w:eastAsia="zh-CN" w:bidi="ar-SA"/>
        </w:rPr>
        <w:t>进行绩效目标填报的教学与讲解，帮助贫困村培养有经验</w:t>
      </w:r>
      <w:r>
        <w:rPr>
          <w:rFonts w:hint="eastAsia" w:ascii="Times New Roman" w:hAnsi="Times New Roman" w:eastAsia="仿宋" w:cstheme="minorBidi"/>
          <w:color w:val="000000"/>
          <w:kern w:val="2"/>
          <w:sz w:val="32"/>
          <w:szCs w:val="21"/>
          <w:lang w:val="en-US" w:eastAsia="zh-CN" w:bidi="ar-SA"/>
        </w:rPr>
        <w:t>、</w:t>
      </w:r>
      <w:r>
        <w:rPr>
          <w:rFonts w:ascii="Times New Roman" w:hAnsi="Times New Roman" w:eastAsia="仿宋" w:cstheme="minorBidi"/>
          <w:color w:val="000000"/>
          <w:kern w:val="2"/>
          <w:sz w:val="32"/>
          <w:szCs w:val="21"/>
          <w:lang w:val="en-US" w:eastAsia="zh-CN" w:bidi="ar-SA"/>
        </w:rPr>
        <w:t>有技术的工作人员，明确绩效目标理念，按照指向明确、细化量化、合理可行、相应匹配</w:t>
      </w:r>
      <w:r>
        <w:rPr>
          <w:rFonts w:hint="eastAsia" w:ascii="Times New Roman" w:hAnsi="Times New Roman" w:eastAsia="仿宋" w:cstheme="minorBidi"/>
          <w:color w:val="000000"/>
          <w:kern w:val="2"/>
          <w:sz w:val="32"/>
          <w:szCs w:val="21"/>
          <w:lang w:val="en-US" w:eastAsia="zh-CN" w:bidi="ar-SA"/>
        </w:rPr>
        <w:t>等原则合理设置绩效目标。可通过集中培训或</w:t>
      </w:r>
      <w:r>
        <w:rPr>
          <w:rFonts w:ascii="Times New Roman" w:hAnsi="Times New Roman" w:eastAsia="仿宋" w:cstheme="minorBidi"/>
          <w:color w:val="000000"/>
          <w:kern w:val="2"/>
          <w:sz w:val="32"/>
          <w:szCs w:val="21"/>
          <w:lang w:val="en-US" w:eastAsia="zh-CN" w:bidi="ar-SA"/>
        </w:rPr>
        <w:t>定期调研</w:t>
      </w:r>
      <w:r>
        <w:rPr>
          <w:rFonts w:hint="eastAsia" w:ascii="Times New Roman" w:hAnsi="Times New Roman" w:eastAsia="仿宋" w:cstheme="minorBidi"/>
          <w:color w:val="000000"/>
          <w:kern w:val="2"/>
          <w:sz w:val="32"/>
          <w:szCs w:val="21"/>
          <w:lang w:val="en-US" w:eastAsia="zh-CN" w:bidi="ar-SA"/>
        </w:rPr>
        <w:t>等</w:t>
      </w:r>
      <w:r>
        <w:rPr>
          <w:rFonts w:ascii="Times New Roman" w:hAnsi="Times New Roman" w:eastAsia="仿宋" w:cstheme="minorBidi"/>
          <w:color w:val="000000"/>
          <w:kern w:val="2"/>
          <w:sz w:val="32"/>
          <w:szCs w:val="21"/>
          <w:lang w:val="en-US" w:eastAsia="zh-CN" w:bidi="ar-SA"/>
        </w:rPr>
        <w:t>形式，</w:t>
      </w:r>
      <w:r>
        <w:rPr>
          <w:rFonts w:hint="eastAsia" w:ascii="Times New Roman" w:hAnsi="Times New Roman" w:eastAsia="仿宋" w:cstheme="minorBidi"/>
          <w:color w:val="000000"/>
          <w:kern w:val="2"/>
          <w:sz w:val="32"/>
          <w:szCs w:val="21"/>
          <w:lang w:val="en-US" w:eastAsia="zh-CN" w:bidi="ar-SA"/>
        </w:rPr>
        <w:t>在每年项目申报前，针对扶贫项目绩效目标设置的原则、方法和和要求等内容进行讲解，帮助项目申报单位答疑解惑</w:t>
      </w:r>
      <w:r>
        <w:rPr>
          <w:rFonts w:ascii="Times New Roman" w:hAnsi="Times New Roman" w:eastAsia="仿宋" w:cstheme="minorBidi"/>
          <w:color w:val="000000"/>
          <w:kern w:val="2"/>
          <w:sz w:val="32"/>
          <w:szCs w:val="21"/>
          <w:lang w:val="en-US" w:eastAsia="zh-CN" w:bidi="ar-SA"/>
        </w:rPr>
        <w:t>，提高村级项目绩效目标申报的科学性与合理性</w:t>
      </w:r>
      <w:r>
        <w:rPr>
          <w:rFonts w:hint="eastAsia" w:ascii="Times New Roman" w:hAnsi="Times New Roman" w:eastAsia="仿宋" w:cstheme="minorBidi"/>
          <w:color w:val="000000"/>
          <w:kern w:val="2"/>
          <w:sz w:val="32"/>
          <w:szCs w:val="21"/>
          <w:lang w:val="en-US" w:eastAsia="zh-CN" w:bidi="ar-SA"/>
        </w:rPr>
        <w:t>，并由此促进项目建设实施方案的规范性与可行性。</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3.</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提高乡（镇）、村公告公示制度完整性、规范性，加强宣传、讲解工作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color w:val="000000"/>
          <w:kern w:val="2"/>
          <w:sz w:val="32"/>
          <w:szCs w:val="21"/>
          <w:lang w:val="en-US" w:eastAsia="zh-CN" w:bidi="ar-SA"/>
        </w:rPr>
        <w:t>建议</w:t>
      </w:r>
      <w:r>
        <w:rPr>
          <w:rFonts w:hint="eastAsia" w:ascii="Times New Roman" w:hAnsi="Times New Roman" w:eastAsia="仿宋" w:cs="Times New Roman"/>
          <w:color w:val="000000"/>
          <w:kern w:val="2"/>
          <w:sz w:val="32"/>
          <w:szCs w:val="21"/>
          <w:lang w:val="en-US" w:eastAsia="zh-CN" w:bidi="ar-SA"/>
        </w:rPr>
        <w:t>淮滨县交通运输局</w:t>
      </w:r>
      <w:r>
        <w:rPr>
          <w:rFonts w:hint="default" w:ascii="Times New Roman" w:hAnsi="Times New Roman" w:eastAsia="仿宋" w:cs="Times New Roman"/>
          <w:color w:val="000000"/>
          <w:kern w:val="2"/>
          <w:sz w:val="32"/>
          <w:szCs w:val="21"/>
          <w:lang w:val="en-US" w:eastAsia="zh-CN" w:bidi="ar-SA"/>
        </w:rPr>
        <w:t>定期派出工作人员对各乡（镇）、村脱贫攻坚项目负责人进行公告公示制度宣传，可通过集中培训或定期调研等形式，在每年项目申报前，针对扶贫项目公告公示制度的完整性、规范性等内容进行讲解，帮助项目申报单位答疑解惑，提高乡（镇）、村公告公示制度完整性、规范性，并由此促进项目建设实施的规范性与可行性。</w:t>
      </w:r>
    </w:p>
    <w:p>
      <w:pPr>
        <w:bidi w:val="0"/>
        <w:rPr>
          <w:rFonts w:hint="default" w:ascii="Times New Roman" w:hAnsi="Times New Roman" w:cs="Times New Roman"/>
        </w:rPr>
        <w:sectPr>
          <w:footerReference r:id="rId6"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p>
    <w:p>
      <w:pPr>
        <w:bidi w:val="0"/>
        <w:jc w:val="center"/>
        <w:rPr>
          <w:rFonts w:hint="eastAsia" w:ascii="方正小标宋简体" w:hAnsi="方正小标宋简体" w:eastAsia="方正小标宋简体" w:cs="方正小标宋简体"/>
          <w:sz w:val="44"/>
          <w:szCs w:val="44"/>
        </w:rPr>
      </w:pPr>
      <w:bookmarkStart w:id="32" w:name="_Toc8108"/>
      <w:bookmarkStart w:id="33" w:name="_Toc12305"/>
      <w:bookmarkStart w:id="34" w:name="_Toc4216"/>
      <w:bookmarkStart w:id="35" w:name="_Toc16075"/>
      <w:bookmarkStart w:id="36" w:name="_Toc17206"/>
      <w:bookmarkStart w:id="37" w:name="_Toc9049"/>
      <w:r>
        <w:rPr>
          <w:rFonts w:hint="eastAsia" w:ascii="方正小标宋简体" w:hAnsi="方正小标宋简体" w:eastAsia="方正小标宋简体" w:cs="方正小标宋简体"/>
          <w:sz w:val="44"/>
          <w:szCs w:val="44"/>
          <w:lang w:val="en-US" w:eastAsia="zh-CN"/>
        </w:rPr>
        <w:t>2020年扶贫通村通组道路配套桥涵建设项目绩效评价报告</w:t>
      </w:r>
      <w:bookmarkEnd w:id="32"/>
      <w:bookmarkEnd w:id="33"/>
      <w:bookmarkEnd w:id="34"/>
      <w:bookmarkEnd w:id="35"/>
      <w:bookmarkEnd w:id="36"/>
      <w:bookmarkEnd w:id="37"/>
    </w:p>
    <w:p>
      <w:pPr>
        <w:pStyle w:val="6"/>
        <w:rPr>
          <w:rFonts w:hint="default" w:ascii="Times New Roman" w:hAnsi="Times New Roman" w:cs="Times New Roman"/>
          <w:lang w:val="en-US" w:eastAsia="zh-CN"/>
        </w:rPr>
      </w:pPr>
      <w:bookmarkStart w:id="38" w:name="_Toc23265713"/>
      <w:bookmarkStart w:id="39" w:name="_Toc8023"/>
      <w:bookmarkStart w:id="40" w:name="_Toc11833"/>
      <w:bookmarkStart w:id="41" w:name="_Toc3689"/>
      <w:bookmarkStart w:id="42" w:name="_Toc32710"/>
      <w:bookmarkStart w:id="43" w:name="_Toc23264183"/>
      <w:r>
        <w:rPr>
          <w:rFonts w:hint="default" w:ascii="Times New Roman" w:hAnsi="Times New Roman" w:cs="Times New Roman"/>
          <w:lang w:val="en-US" w:eastAsia="zh-CN"/>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lang w:val="en-US" w:eastAsia="zh-CN"/>
        </w:rPr>
        <w:t>淮滨县</w:t>
      </w:r>
      <w:r>
        <w:rPr>
          <w:rFonts w:hint="default" w:ascii="Times New Roman" w:hAnsi="Times New Roman" w:cs="Times New Roman"/>
          <w:lang w:val="en-US" w:eastAsia="zh-CN"/>
        </w:rPr>
        <w:t>财政局委托开展</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2020年扶贫通村通组道路配套桥涵建设项目</w:t>
      </w:r>
      <w:r>
        <w:rPr>
          <w:rFonts w:hint="default" w:ascii="Times New Roman" w:hAnsi="Times New Roman" w:cs="Times New Roman"/>
          <w:lang w:val="en-US" w:eastAsia="zh-CN"/>
        </w:rPr>
        <w:t>绩效评价工作。现将主要评价结果报告如下：</w:t>
      </w:r>
    </w:p>
    <w:p>
      <w:pPr>
        <w:pStyle w:val="4"/>
        <w:ind w:firstLine="643"/>
        <w:rPr>
          <w:rFonts w:hint="default" w:ascii="Times New Roman" w:hAnsi="Times New Roman" w:cs="Times New Roman"/>
        </w:rPr>
      </w:pPr>
      <w:bookmarkStart w:id="44" w:name="_Toc24244"/>
      <w:bookmarkStart w:id="45" w:name="_Toc6245"/>
      <w:bookmarkStart w:id="46" w:name="_Toc20028"/>
      <w:bookmarkStart w:id="47" w:name="_Toc18127"/>
      <w:bookmarkStart w:id="48" w:name="_Toc3581"/>
      <w:bookmarkStart w:id="49" w:name="_Toc20479"/>
      <w:r>
        <w:rPr>
          <w:rFonts w:hint="default" w:ascii="Times New Roman" w:hAnsi="Times New Roman" w:cs="Times New Roman"/>
        </w:rPr>
        <w:t>一、项目基本情况</w:t>
      </w:r>
      <w:bookmarkEnd w:id="38"/>
      <w:bookmarkEnd w:id="39"/>
      <w:bookmarkEnd w:id="40"/>
      <w:bookmarkEnd w:id="41"/>
      <w:bookmarkEnd w:id="42"/>
      <w:bookmarkEnd w:id="43"/>
      <w:bookmarkEnd w:id="44"/>
      <w:bookmarkEnd w:id="45"/>
      <w:bookmarkEnd w:id="46"/>
      <w:bookmarkEnd w:id="47"/>
      <w:bookmarkEnd w:id="48"/>
      <w:bookmarkEnd w:id="49"/>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50" w:name="_Toc21781488"/>
      <w:bookmarkStart w:id="51" w:name="_Toc21781966"/>
      <w:bookmarkStart w:id="52" w:name="_Toc21782397"/>
      <w:bookmarkStart w:id="53" w:name="_Toc21781788"/>
      <w:bookmarkStart w:id="54" w:name="_Toc13450"/>
      <w:bookmarkStart w:id="55" w:name="_Toc23264184"/>
      <w:bookmarkStart w:id="56" w:name="_Toc16755"/>
      <w:bookmarkStart w:id="57" w:name="_Toc20541"/>
      <w:bookmarkStart w:id="58" w:name="_Toc20777"/>
      <w:bookmarkStart w:id="59" w:name="_Toc24551"/>
      <w:bookmarkStart w:id="60" w:name="_Toc24558"/>
      <w:bookmarkStart w:id="61" w:name="_Toc23265714"/>
      <w:bookmarkStart w:id="62" w:name="_Toc14848"/>
      <w:bookmarkStart w:id="63" w:name="_Toc10086"/>
      <w:r>
        <w:rPr>
          <w:rFonts w:hint="default" w:ascii="Times New Roman" w:hAnsi="Times New Roman" w:cs="Times New Roman"/>
        </w:rPr>
        <w:t>（一）项目</w:t>
      </w:r>
      <w:bookmarkEnd w:id="50"/>
      <w:bookmarkEnd w:id="51"/>
      <w:bookmarkEnd w:id="52"/>
      <w:bookmarkEnd w:id="53"/>
      <w:r>
        <w:rPr>
          <w:rFonts w:hint="default" w:ascii="Times New Roman" w:hAnsi="Times New Roman" w:cs="Times New Roman"/>
        </w:rPr>
        <w:t>概况</w:t>
      </w:r>
      <w:bookmarkEnd w:id="54"/>
      <w:bookmarkEnd w:id="55"/>
      <w:bookmarkEnd w:id="56"/>
      <w:bookmarkEnd w:id="57"/>
      <w:bookmarkEnd w:id="58"/>
      <w:bookmarkEnd w:id="59"/>
      <w:bookmarkEnd w:id="60"/>
      <w:bookmarkEnd w:id="61"/>
      <w:bookmarkEnd w:id="62"/>
      <w:bookmarkEnd w:id="63"/>
    </w:p>
    <w:p>
      <w:pPr>
        <w:pStyle w:val="52"/>
        <w:bidi w:val="0"/>
        <w:rPr>
          <w:rFonts w:hint="default" w:ascii="Times New Roman" w:hAnsi="Times New Roman" w:cs="Times New Roman"/>
          <w:b/>
          <w:bCs/>
        </w:rPr>
      </w:pPr>
      <w:bookmarkStart w:id="64" w:name="_Toc15869"/>
      <w:bookmarkStart w:id="65" w:name="_Toc4160"/>
      <w:bookmarkStart w:id="66" w:name="_Toc23264185"/>
      <w:bookmarkStart w:id="67" w:name="_Toc23266455"/>
      <w:bookmarkStart w:id="68" w:name="_Toc11726"/>
      <w:bookmarkStart w:id="69" w:name="_Toc25866"/>
      <w:bookmarkStart w:id="70" w:name="_Toc21475"/>
      <w:bookmarkStart w:id="71" w:name="_Toc23265715"/>
      <w:bookmarkStart w:id="72" w:name="_Toc27624"/>
      <w:r>
        <w:rPr>
          <w:rFonts w:hint="default" w:ascii="Times New Roman" w:hAnsi="Times New Roman" w:cs="Times New Roman"/>
          <w:b/>
          <w:bCs/>
        </w:rPr>
        <w:t>1.项目背景</w:t>
      </w:r>
      <w:bookmarkEnd w:id="64"/>
      <w:bookmarkEnd w:id="65"/>
      <w:bookmarkEnd w:id="66"/>
      <w:bookmarkEnd w:id="67"/>
      <w:bookmarkEnd w:id="68"/>
      <w:bookmarkEnd w:id="69"/>
      <w:bookmarkEnd w:id="70"/>
      <w:bookmarkEnd w:id="71"/>
      <w:bookmarkEnd w:id="72"/>
    </w:p>
    <w:p>
      <w:pPr>
        <w:pStyle w:val="6"/>
        <w:bidi w:val="0"/>
        <w:rPr>
          <w:rFonts w:hint="default" w:ascii="Times New Roman" w:hAnsi="Times New Roman" w:cs="Times New Roman"/>
        </w:rPr>
      </w:pPr>
      <w:bookmarkStart w:id="73" w:name="_Toc23266456"/>
      <w:bookmarkStart w:id="74" w:name="_Toc18432"/>
      <w:bookmarkStart w:id="75" w:name="_Toc23265716"/>
      <w:bookmarkStart w:id="76" w:name="_Toc5856"/>
      <w:bookmarkStart w:id="77" w:name="_Toc23264189"/>
      <w:r>
        <w:rPr>
          <w:rFonts w:hint="default" w:ascii="Times New Roman" w:hAnsi="Times New Roman" w:cs="Times New Roman"/>
        </w:rPr>
        <w:t>脱贫攻坚是全面建设小康社会和新农村建设的一项重要任务。</w:t>
      </w:r>
      <w:bookmarkStart w:id="78" w:name="_Toc21781490"/>
      <w:r>
        <w:rPr>
          <w:rFonts w:hint="default" w:ascii="Times New Roman" w:hAnsi="Times New Roman" w:cs="Times New Roman"/>
        </w:rPr>
        <w:t>2011年中共中央、国务院印发《中国农村扶贫开发纲要（2011-2020）》，提出我国农村扶贫中期总体目标，即到2020年，稳定实现扶贫对象不愁吃、不愁穿，保障其义务教育、基本医疗和住房。为全面落实党的十九大精神以及中央扶贫开发工作会议要求，认真贯彻习近平总书记关于脱贫攻坚系列重要讲话精神，全面打赢脱贫攻坚战，各级政府紧紧围绕</w:t>
      </w:r>
      <w:r>
        <w:rPr>
          <w:rFonts w:hint="eastAsia" w:cs="Times New Roman"/>
          <w:lang w:eastAsia="zh-CN"/>
        </w:rPr>
        <w:t>“</w:t>
      </w:r>
      <w:r>
        <w:rPr>
          <w:rFonts w:hint="default" w:ascii="Times New Roman" w:hAnsi="Times New Roman" w:cs="Times New Roman"/>
        </w:rPr>
        <w:t>两不愁三保障</w:t>
      </w:r>
      <w:r>
        <w:rPr>
          <w:rFonts w:hint="eastAsia" w:cs="Times New Roman"/>
          <w:lang w:eastAsia="zh-CN"/>
        </w:rPr>
        <w:t>”</w:t>
      </w:r>
      <w:r>
        <w:rPr>
          <w:rFonts w:hint="default" w:ascii="Times New Roman" w:hAnsi="Times New Roman" w:cs="Times New Roman"/>
        </w:rPr>
        <w:t>脱贫目标，坚持科学扶贫和精准扶贫，加大资金投入，积极统筹整合，加快构建以综合扶贫为基础，专项扶贫为支撑的扶贫投入机制，扎实推进脱贫工作开展，改善贫困村发展条件，提高群众生产生活水平，推进贫困村加快发展，实现贫困人口脱贫致富。</w:t>
      </w:r>
      <w:bookmarkEnd w:id="78"/>
    </w:p>
    <w:p>
      <w:pPr>
        <w:pStyle w:val="6"/>
        <w:bidi w:val="0"/>
        <w:rPr>
          <w:rFonts w:hint="default" w:cs="Times New Roman"/>
          <w:lang w:eastAsia="zh-CN"/>
        </w:rPr>
        <w:sectPr>
          <w:footerReference r:id="rId7" w:type="default"/>
          <w:pgSz w:w="11906" w:h="16838"/>
          <w:pgMar w:top="1440" w:right="1797" w:bottom="1440" w:left="1797" w:header="851" w:footer="992" w:gutter="0"/>
          <w:pgNumType w:fmt="decimal" w:start="1"/>
          <w:cols w:space="425" w:num="1"/>
          <w:docGrid w:linePitch="312" w:charSpace="0"/>
        </w:sectPr>
      </w:pPr>
    </w:p>
    <w:p>
      <w:pPr>
        <w:pStyle w:val="6"/>
        <w:bidi w:val="0"/>
        <w:rPr>
          <w:rFonts w:hint="default" w:cs="Times New Roman"/>
          <w:lang w:eastAsia="zh-CN"/>
        </w:rPr>
      </w:pPr>
      <w:r>
        <w:rPr>
          <w:rFonts w:hint="default" w:cs="Times New Roman"/>
          <w:lang w:eastAsia="zh-CN"/>
        </w:rPr>
        <w:t>准滨县2020年扶贫通村通组道路配套桥涵建设项目</w:t>
      </w:r>
      <w:r>
        <w:rPr>
          <w:rFonts w:hint="eastAsia" w:cs="Times New Roman"/>
          <w:lang w:eastAsia="zh-CN"/>
        </w:rPr>
        <w:t>，</w:t>
      </w:r>
      <w:r>
        <w:rPr>
          <w:rFonts w:hint="default" w:cs="Times New Roman"/>
          <w:lang w:eastAsia="zh-CN"/>
        </w:rPr>
        <w:t>共涉及16个乡镇办</w:t>
      </w:r>
      <w:r>
        <w:rPr>
          <w:rFonts w:hint="eastAsia" w:cs="Times New Roman"/>
          <w:lang w:eastAsia="zh-CN"/>
        </w:rPr>
        <w:t>，</w:t>
      </w:r>
      <w:r>
        <w:rPr>
          <w:rFonts w:hint="default" w:cs="Times New Roman"/>
          <w:lang w:eastAsia="zh-CN"/>
        </w:rPr>
        <w:t>81个行政村</w:t>
      </w:r>
      <w:r>
        <w:rPr>
          <w:rFonts w:hint="eastAsia" w:cs="Times New Roman"/>
          <w:lang w:eastAsia="zh-CN"/>
        </w:rPr>
        <w:t>，</w:t>
      </w:r>
      <w:r>
        <w:rPr>
          <w:rFonts w:hint="default" w:cs="Times New Roman"/>
          <w:lang w:eastAsia="zh-CN"/>
        </w:rPr>
        <w:t>总人口202211人</w:t>
      </w:r>
      <w:r>
        <w:rPr>
          <w:rFonts w:hint="eastAsia" w:cs="Times New Roman"/>
          <w:lang w:eastAsia="zh-CN"/>
        </w:rPr>
        <w:t>，</w:t>
      </w:r>
      <w:r>
        <w:rPr>
          <w:rFonts w:hint="default" w:cs="Times New Roman"/>
          <w:lang w:eastAsia="zh-CN"/>
        </w:rPr>
        <w:t>其中贫困户6119户</w:t>
      </w:r>
      <w:r>
        <w:rPr>
          <w:rFonts w:hint="eastAsia" w:cs="Times New Roman"/>
          <w:lang w:eastAsia="zh-CN"/>
        </w:rPr>
        <w:t>，</w:t>
      </w:r>
      <w:r>
        <w:rPr>
          <w:rFonts w:hint="default" w:cs="Times New Roman"/>
          <w:lang w:eastAsia="zh-CN"/>
        </w:rPr>
        <w:t>贫困人口24623人</w:t>
      </w:r>
      <w:r>
        <w:rPr>
          <w:rFonts w:hint="eastAsia" w:cs="Times New Roman"/>
          <w:lang w:eastAsia="zh-CN"/>
        </w:rPr>
        <w:t>。</w:t>
      </w:r>
      <w:r>
        <w:rPr>
          <w:rFonts w:hint="eastAsia" w:cs="Times New Roman"/>
          <w:lang w:val="en-US" w:eastAsia="zh-CN"/>
        </w:rPr>
        <w:t>项目建成了“广覆盖、 深通达、提品质”的交通运输网络，实现了“外通内联、通村畅乡、 客车到村、安全便捷”的目标</w:t>
      </w:r>
      <w:r>
        <w:rPr>
          <w:rFonts w:hint="eastAsia" w:cs="Times New Roman"/>
          <w:lang w:eastAsia="zh-CN"/>
        </w:rPr>
        <w:t>。</w:t>
      </w:r>
    </w:p>
    <w:p>
      <w:pPr>
        <w:pStyle w:val="52"/>
        <w:bidi w:val="0"/>
        <w:rPr>
          <w:rFonts w:hint="default" w:ascii="Times New Roman" w:hAnsi="Times New Roman" w:cs="Times New Roman"/>
          <w:b/>
          <w:bCs/>
        </w:rPr>
      </w:pPr>
      <w:bookmarkStart w:id="79" w:name="_Toc27695"/>
      <w:bookmarkStart w:id="80" w:name="_Toc11466"/>
      <w:bookmarkStart w:id="81" w:name="_Toc199"/>
      <w:bookmarkStart w:id="82" w:name="_Toc31353"/>
      <w:r>
        <w:rPr>
          <w:rFonts w:hint="default" w:ascii="Times New Roman" w:hAnsi="Times New Roman" w:cs="Times New Roman"/>
          <w:b/>
          <w:bCs/>
        </w:rPr>
        <w:t>2.项目实施情况</w:t>
      </w:r>
      <w:bookmarkEnd w:id="73"/>
      <w:bookmarkEnd w:id="74"/>
      <w:bookmarkEnd w:id="75"/>
      <w:bookmarkEnd w:id="76"/>
      <w:bookmarkEnd w:id="77"/>
      <w:bookmarkEnd w:id="79"/>
      <w:bookmarkEnd w:id="80"/>
      <w:bookmarkEnd w:id="81"/>
      <w:bookmarkEnd w:id="82"/>
    </w:p>
    <w:p>
      <w:pPr>
        <w:pStyle w:val="6"/>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pPr>
      <w:bookmarkStart w:id="83" w:name="_Toc23264190"/>
      <w:r>
        <w:rPr>
          <w:rFonts w:hint="default" w:ascii="Times New Roman" w:hAnsi="Times New Roman" w:eastAsia="仿宋" w:cs="Times New Roman"/>
          <w:color w:val="000000" w:themeColor="text1"/>
          <w:sz w:val="32"/>
          <w:szCs w:val="32"/>
          <w:highlight w:val="none"/>
          <w14:textFill>
            <w14:solidFill>
              <w14:schemeClr w14:val="tx1"/>
            </w14:solidFill>
          </w14:textFill>
        </w:rPr>
        <w:t>该项目于2020年</w:t>
      </w:r>
      <w:r>
        <w:rPr>
          <w:rFonts w:hint="eastAsia"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 w:cs="Times New Roman"/>
          <w:color w:val="000000" w:themeColor="text1"/>
          <w:sz w:val="32"/>
          <w:szCs w:val="32"/>
          <w:highlight w:val="none"/>
          <w14:textFill>
            <w14:solidFill>
              <w14:schemeClr w14:val="tx1"/>
            </w14:solidFill>
          </w14:textFill>
        </w:rPr>
        <w:t>月开始实施，</w:t>
      </w:r>
      <w:r>
        <w:rPr>
          <w:rFonts w:hint="eastAsia" w:cs="Times New Roman"/>
          <w:color w:val="000000" w:themeColor="text1"/>
          <w:sz w:val="32"/>
          <w:szCs w:val="32"/>
          <w:highlight w:val="none"/>
          <w:lang w:val="en-US" w:eastAsia="zh-CN"/>
          <w14:textFill>
            <w14:solidFill>
              <w14:schemeClr w14:val="tx1"/>
            </w14:solidFill>
          </w14:textFill>
        </w:rPr>
        <w:t>于</w:t>
      </w:r>
      <w:r>
        <w:rPr>
          <w:rFonts w:hint="default" w:ascii="Times New Roman" w:hAnsi="Times New Roman" w:eastAsia="仿宋" w:cs="Times New Roman"/>
          <w:color w:val="000000" w:themeColor="text1"/>
          <w:sz w:val="32"/>
          <w:szCs w:val="32"/>
          <w:highlight w:val="none"/>
          <w14:textFill>
            <w14:solidFill>
              <w14:schemeClr w14:val="tx1"/>
            </w14:solidFill>
          </w14:textFill>
        </w:rPr>
        <w:t>2020年</w:t>
      </w:r>
      <w:r>
        <w:rPr>
          <w:rFonts w:hint="eastAsia" w:cs="Times New Roman"/>
          <w:color w:val="000000" w:themeColor="text1"/>
          <w:sz w:val="32"/>
          <w:szCs w:val="32"/>
          <w:highlight w:val="none"/>
          <w:lang w:val="en-US" w:eastAsia="zh-CN"/>
          <w14:textFill>
            <w14:solidFill>
              <w14:schemeClr w14:val="tx1"/>
            </w14:solidFill>
          </w14:textFill>
        </w:rPr>
        <w:t>9</w:t>
      </w:r>
      <w:r>
        <w:rPr>
          <w:rFonts w:hint="default" w:ascii="Times New Roman" w:hAnsi="Times New Roman" w:eastAsia="仿宋" w:cs="Times New Roman"/>
          <w:color w:val="000000" w:themeColor="text1"/>
          <w:sz w:val="32"/>
          <w:szCs w:val="32"/>
          <w:highlight w:val="none"/>
          <w14:textFill>
            <w14:solidFill>
              <w14:schemeClr w14:val="tx1"/>
            </w14:solidFill>
          </w14:textFill>
        </w:rPr>
        <w:t>月完工。</w:t>
      </w:r>
      <w:r>
        <w:rPr>
          <w:rFonts w:hint="eastAsia" w:cs="Times New Roman"/>
          <w:color w:val="000000" w:themeColor="text1"/>
          <w:sz w:val="32"/>
          <w:szCs w:val="32"/>
          <w:highlight w:val="none"/>
          <w:lang w:val="en-US" w:eastAsia="zh-CN"/>
          <w14:textFill>
            <w14:solidFill>
              <w14:schemeClr w14:val="tx1"/>
            </w14:solidFill>
          </w14:textFill>
        </w:rPr>
        <w:t>项目</w:t>
      </w:r>
      <w:r>
        <w:rPr>
          <w:rFonts w:hint="eastAsia" w:cs="Times New Roman"/>
          <w:color w:val="000000" w:themeColor="text1"/>
          <w:sz w:val="32"/>
          <w:szCs w:val="32"/>
          <w:highlight w:val="none"/>
          <w:lang w:eastAsia="zh-CN"/>
          <w14:textFill>
            <w14:solidFill>
              <w14:schemeClr w14:val="tx1"/>
            </w14:solidFill>
          </w14:textFill>
        </w:rPr>
        <w:t>共分为五个标段，</w:t>
      </w:r>
      <w:r>
        <w:rPr>
          <w:rFonts w:hint="eastAsia" w:cs="Times New Roman"/>
          <w:color w:val="000000" w:themeColor="text1"/>
          <w:sz w:val="32"/>
          <w:szCs w:val="32"/>
          <w:highlight w:val="none"/>
          <w:lang w:val="en-US" w:eastAsia="zh-CN"/>
          <w14:textFill>
            <w14:solidFill>
              <w14:schemeClr w14:val="tx1"/>
            </w14:solidFill>
          </w14:textFill>
        </w:rPr>
        <w:t>按进度</w:t>
      </w:r>
      <w:r>
        <w:rPr>
          <w:rFonts w:hint="default" w:ascii="Times New Roman" w:hAnsi="Times New Roman" w:eastAsia="仿宋" w:cs="Times New Roman"/>
          <w:color w:val="000000" w:themeColor="text1"/>
          <w:sz w:val="32"/>
          <w:szCs w:val="32"/>
          <w:highlight w:val="none"/>
          <w14:textFill>
            <w14:solidFill>
              <w14:schemeClr w14:val="tx1"/>
            </w14:solidFill>
          </w14:textFill>
        </w:rPr>
        <w:t>实施</w:t>
      </w:r>
      <w:r>
        <w:rPr>
          <w:rFonts w:hint="eastAsia"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 w:cs="Times New Roman"/>
          <w:color w:val="000000" w:themeColor="text1"/>
          <w:sz w:val="32"/>
          <w:szCs w:val="32"/>
          <w:highlight w:val="none"/>
          <w14:textFill>
            <w14:solidFill>
              <w14:schemeClr w14:val="tx1"/>
            </w14:solidFill>
          </w14:textFill>
        </w:rPr>
        <w:t>目前已全部完成施工任务，项目实施情况已达到规划预期效果。</w:t>
      </w:r>
      <w:r>
        <w:rPr>
          <w:rFonts w:hint="eastAsia" w:cs="Times New Roman"/>
          <w:color w:val="000000" w:themeColor="text1"/>
          <w:sz w:val="32"/>
          <w:szCs w:val="32"/>
          <w:highlight w:val="none"/>
          <w:lang w:val="en-US" w:eastAsia="zh-CN"/>
          <w14:textFill>
            <w14:solidFill>
              <w14:schemeClr w14:val="tx1"/>
            </w14:solidFill>
          </w14:textFill>
        </w:rPr>
        <w:t>项目</w:t>
      </w:r>
      <w:r>
        <w:rPr>
          <w:rFonts w:hint="default" w:ascii="Times New Roman" w:hAnsi="Times New Roman" w:eastAsia="仿宋" w:cs="Times New Roman"/>
          <w:color w:val="000000" w:themeColor="text1"/>
          <w:sz w:val="32"/>
          <w:szCs w:val="32"/>
          <w:highlight w:val="none"/>
          <w14:textFill>
            <w14:solidFill>
              <w14:schemeClr w14:val="tx1"/>
            </w14:solidFill>
          </w14:textFill>
        </w:rPr>
        <w:t>完成贫困村公路危桥处置</w:t>
      </w:r>
      <w:r>
        <w:rPr>
          <w:rFonts w:hint="eastAsia" w:cs="Times New Roman"/>
          <w:color w:val="000000" w:themeColor="text1"/>
          <w:sz w:val="32"/>
          <w:szCs w:val="32"/>
          <w:highlight w:val="none"/>
          <w:lang w:val="en-US" w:eastAsia="zh-CN"/>
          <w14:textFill>
            <w14:solidFill>
              <w14:schemeClr w14:val="tx1"/>
            </w14:solidFill>
          </w14:textFill>
        </w:rPr>
        <w:t>99座，配套桥梁867延米，板涵43座</w:t>
      </w:r>
      <w:r>
        <w:rPr>
          <w:rFonts w:hint="eastAsia" w:cs="Times New Roman"/>
          <w:color w:val="000000" w:themeColor="text1"/>
          <w:sz w:val="32"/>
          <w:szCs w:val="32"/>
          <w:highlight w:val="none"/>
          <w:lang w:eastAsia="zh-CN"/>
          <w14:textFill>
            <w14:solidFill>
              <w14:schemeClr w14:val="tx1"/>
            </w14:solidFill>
          </w14:textFill>
        </w:rPr>
        <w:t>，管涵</w:t>
      </w:r>
      <w:r>
        <w:rPr>
          <w:rFonts w:hint="eastAsia" w:cs="Times New Roman"/>
          <w:color w:val="000000" w:themeColor="text1"/>
          <w:sz w:val="32"/>
          <w:szCs w:val="32"/>
          <w:highlight w:val="none"/>
          <w:lang w:val="en-US" w:eastAsia="zh-CN"/>
          <w14:textFill>
            <w14:solidFill>
              <w14:schemeClr w14:val="tx1"/>
            </w14:solidFill>
          </w14:textFill>
        </w:rPr>
        <w:t>136延米，</w:t>
      </w:r>
      <w:r>
        <w:rPr>
          <w:rFonts w:hint="default" w:ascii="Times New Roman" w:hAnsi="Times New Roman" w:eastAsia="仿宋" w:cs="Times New Roman"/>
          <w:color w:val="000000" w:themeColor="text1"/>
          <w:sz w:val="32"/>
          <w:szCs w:val="32"/>
          <w:highlight w:val="none"/>
          <w14:textFill>
            <w14:solidFill>
              <w14:schemeClr w14:val="tx1"/>
            </w14:solidFill>
          </w14:textFill>
        </w:rPr>
        <w:t>决算总资金</w:t>
      </w:r>
      <w:r>
        <w:rPr>
          <w:rFonts w:hint="eastAsia" w:cs="Times New Roman"/>
          <w:color w:val="000000" w:themeColor="text1"/>
          <w:sz w:val="32"/>
          <w:szCs w:val="32"/>
          <w:highlight w:val="none"/>
          <w:lang w:val="en-US" w:eastAsia="zh-CN"/>
          <w14:textFill>
            <w14:solidFill>
              <w14:schemeClr w14:val="tx1"/>
            </w14:solidFill>
          </w14:textFill>
        </w:rPr>
        <w:t>3198.98</w:t>
      </w:r>
      <w:r>
        <w:rPr>
          <w:rFonts w:hint="default" w:ascii="Times New Roman" w:hAnsi="Times New Roman" w:eastAsia="仿宋" w:cs="Times New Roman"/>
          <w:color w:val="000000" w:themeColor="text1"/>
          <w:sz w:val="32"/>
          <w:szCs w:val="32"/>
          <w:highlight w:val="none"/>
          <w14:textFill>
            <w14:solidFill>
              <w14:schemeClr w14:val="tx1"/>
            </w14:solidFill>
          </w14:textFill>
        </w:rPr>
        <w:t>万元，目标完成率</w:t>
      </w:r>
      <w:r>
        <w:rPr>
          <w:rFonts w:hint="eastAsia" w:cs="Times New Roman"/>
          <w:color w:val="000000" w:themeColor="text1"/>
          <w:sz w:val="32"/>
          <w:szCs w:val="32"/>
          <w:highlight w:val="none"/>
          <w:lang w:val="en-US" w:eastAsia="zh-CN"/>
          <w14:textFill>
            <w14:solidFill>
              <w14:schemeClr w14:val="tx1"/>
            </w14:solidFill>
          </w14:textFill>
        </w:rPr>
        <w:t>100</w:t>
      </w:r>
      <w:r>
        <w:rPr>
          <w:rFonts w:hint="default" w:ascii="Times New Roman" w:hAnsi="Times New Roman" w:eastAsia="仿宋" w:cs="Times New Roman"/>
          <w:color w:val="000000" w:themeColor="text1"/>
          <w:sz w:val="32"/>
          <w:szCs w:val="32"/>
          <w:highlight w:val="none"/>
          <w14:textFill>
            <w14:solidFill>
              <w14:schemeClr w14:val="tx1"/>
            </w14:solidFill>
          </w14:textFill>
        </w:rPr>
        <w:t>%。</w:t>
      </w:r>
      <w:r>
        <w:rPr>
          <w:rFonts w:hint="eastAsia" w:ascii="Times New Roman" w:hAnsi="Times New Roman" w:eastAsia="仿宋" w:cs="Times New Roman"/>
          <w:color w:val="000000" w:themeColor="text1"/>
          <w:sz w:val="32"/>
          <w:szCs w:val="32"/>
          <w:highlight w:val="none"/>
          <w14:textFill>
            <w14:solidFill>
              <w14:schemeClr w14:val="tx1"/>
            </w14:solidFill>
          </w14:textFill>
        </w:rPr>
        <w:t>该项目解决</w:t>
      </w:r>
      <w:r>
        <w:rPr>
          <w:rFonts w:hint="eastAsia" w:cs="Times New Roman"/>
          <w:color w:val="000000" w:themeColor="text1"/>
          <w:sz w:val="32"/>
          <w:szCs w:val="32"/>
          <w:highlight w:val="none"/>
          <w:lang w:val="en-US" w:eastAsia="zh-CN"/>
          <w14:textFill>
            <w14:solidFill>
              <w14:schemeClr w14:val="tx1"/>
            </w14:solidFill>
          </w14:textFill>
        </w:rPr>
        <w:t>了</w:t>
      </w:r>
      <w:r>
        <w:rPr>
          <w:rFonts w:hint="eastAsia" w:ascii="Times New Roman" w:hAnsi="Times New Roman" w:eastAsia="仿宋" w:cs="Times New Roman"/>
          <w:color w:val="000000" w:themeColor="text1"/>
          <w:sz w:val="32"/>
          <w:szCs w:val="32"/>
          <w:highlight w:val="none"/>
          <w14:textFill>
            <w14:solidFill>
              <w14:schemeClr w14:val="tx1"/>
            </w14:solidFill>
          </w14:textFill>
        </w:rPr>
        <w:t>现有通村通组道路上配套桥涵及危桥、危涵，确保所有通村通组道路通行安全、为建立完整的农村公路交通网打下更坚实的基础，实现淮滨县通村通组硬化道路无断行、无隐患</w:t>
      </w:r>
      <w:r>
        <w:rPr>
          <w:rFonts w:hint="eastAsia" w:cs="Times New Roman"/>
          <w:color w:val="000000" w:themeColor="text1"/>
          <w:sz w:val="32"/>
          <w:szCs w:val="32"/>
          <w:highlight w:val="none"/>
          <w:lang w:eastAsia="zh-CN"/>
          <w14:textFill>
            <w14:solidFill>
              <w14:schemeClr w14:val="tx1"/>
            </w14:solidFill>
          </w14:textFill>
        </w:rPr>
        <w:t>。</w:t>
      </w:r>
    </w:p>
    <w:bookmarkEnd w:id="83"/>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color w:val="000000" w:themeColor="text1"/>
          <w:sz w:val="32"/>
          <w:szCs w:val="32"/>
          <w14:textFill>
            <w14:solidFill>
              <w14:schemeClr w14:val="tx1"/>
            </w14:solidFill>
          </w14:textFill>
        </w:rPr>
      </w:pPr>
      <w:bookmarkStart w:id="84" w:name="_Toc3357"/>
      <w:bookmarkStart w:id="85" w:name="_Toc23266458"/>
      <w:bookmarkStart w:id="86" w:name="_Toc23264321"/>
      <w:bookmarkStart w:id="87" w:name="_Toc4112"/>
      <w:bookmarkStart w:id="88" w:name="_Toc23265847"/>
      <w:bookmarkStart w:id="89" w:name="_Toc25560"/>
      <w:bookmarkStart w:id="90" w:name="_Toc22696"/>
      <w:bookmarkStart w:id="91" w:name="_Toc7712"/>
      <w:bookmarkStart w:id="92" w:name="_Toc14531"/>
      <w:r>
        <w:rPr>
          <w:rFonts w:hint="default" w:ascii="Times New Roman" w:hAnsi="Times New Roman" w:eastAsia="仿宋" w:cs="Times New Roman"/>
          <w:b/>
          <w:bCs/>
          <w:color w:val="000000" w:themeColor="text1"/>
          <w:sz w:val="32"/>
          <w:szCs w:val="32"/>
          <w:lang w:val="en-US" w:eastAsia="zh-CN"/>
          <w14:textFill>
            <w14:solidFill>
              <w14:schemeClr w14:val="tx1"/>
            </w14:solidFill>
          </w14:textFill>
        </w:rPr>
        <w:t>3.</w:t>
      </w:r>
      <w:r>
        <w:rPr>
          <w:rFonts w:hint="default" w:ascii="Times New Roman" w:hAnsi="Times New Roman" w:eastAsia="仿宋" w:cs="Times New Roman"/>
          <w:b/>
          <w:bCs/>
          <w:color w:val="000000" w:themeColor="text1"/>
          <w:sz w:val="32"/>
          <w:szCs w:val="32"/>
          <w14:textFill>
            <w14:solidFill>
              <w14:schemeClr w14:val="tx1"/>
            </w14:solidFill>
          </w14:textFill>
        </w:rPr>
        <w:t>项目资金来源及支出情况</w:t>
      </w:r>
      <w:bookmarkEnd w:id="84"/>
      <w:bookmarkEnd w:id="85"/>
      <w:bookmarkEnd w:id="86"/>
      <w:bookmarkEnd w:id="87"/>
      <w:bookmarkEnd w:id="88"/>
      <w:bookmarkEnd w:id="89"/>
      <w:bookmarkEnd w:id="90"/>
      <w:bookmarkEnd w:id="91"/>
      <w:bookmarkEnd w:id="92"/>
    </w:p>
    <w:p>
      <w:pPr>
        <w:pStyle w:val="6"/>
        <w:bidi w:val="0"/>
        <w:rPr>
          <w:rFonts w:hint="default" w:ascii="Times New Roman" w:hAnsi="Times New Roman" w:cs="Times New Roman"/>
          <w:lang w:val="en-US" w:eastAsia="zh-CN"/>
        </w:rPr>
      </w:pPr>
      <w:bookmarkStart w:id="93" w:name="_Toc23264898"/>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2020年扶贫通村通组道路配套桥涵建设项目</w:t>
      </w:r>
      <w:r>
        <w:rPr>
          <w:rFonts w:hint="default" w:ascii="Times New Roman" w:hAnsi="Times New Roman" w:cs="Times New Roman"/>
          <w:lang w:val="en-US" w:eastAsia="zh-CN"/>
        </w:rPr>
        <w:t>预算安排资金</w:t>
      </w:r>
      <w:r>
        <w:rPr>
          <w:rFonts w:hint="eastAsia" w:cs="Times New Roman"/>
          <w:lang w:val="en-US" w:eastAsia="zh-CN"/>
        </w:rPr>
        <w:t>3198.98</w:t>
      </w:r>
      <w:r>
        <w:rPr>
          <w:rFonts w:hint="default" w:ascii="Times New Roman" w:hAnsi="Times New Roman" w:cs="Times New Roman"/>
          <w:lang w:val="en-US" w:eastAsia="zh-CN"/>
        </w:rPr>
        <w:t>万元。其中，实际到位资金</w:t>
      </w:r>
      <w:r>
        <w:rPr>
          <w:rFonts w:hint="eastAsia" w:cs="Times New Roman"/>
          <w:lang w:val="en-US" w:eastAsia="zh-CN"/>
        </w:rPr>
        <w:t>3198.98</w:t>
      </w:r>
      <w:r>
        <w:rPr>
          <w:rFonts w:hint="default" w:ascii="Times New Roman" w:hAnsi="Times New Roman" w:cs="Times New Roman"/>
          <w:lang w:val="en-US" w:eastAsia="zh-CN"/>
        </w:rPr>
        <w:t>万元，资金到位率为100%。截至评价期结束，</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2020年扶贫通村通组道路配套桥涵建设项目</w:t>
      </w:r>
      <w:r>
        <w:rPr>
          <w:rFonts w:hint="default" w:ascii="Times New Roman" w:hAnsi="Times New Roman" w:cs="Times New Roman"/>
          <w:lang w:val="en-US" w:eastAsia="zh-CN"/>
        </w:rPr>
        <w:t>合计支出资金</w:t>
      </w:r>
      <w:r>
        <w:rPr>
          <w:rFonts w:hint="eastAsia" w:cs="Times New Roman"/>
          <w:lang w:val="en-US" w:eastAsia="zh-CN"/>
        </w:rPr>
        <w:t>3198.98</w:t>
      </w:r>
      <w:r>
        <w:rPr>
          <w:rFonts w:hint="default" w:ascii="Times New Roman" w:hAnsi="Times New Roman" w:cs="Times New Roman"/>
          <w:lang w:val="en-US" w:eastAsia="zh-CN"/>
        </w:rPr>
        <w:t>万元，总体预算执行率</w:t>
      </w:r>
      <w:r>
        <w:rPr>
          <w:rFonts w:hint="eastAsia" w:cs="Times New Roman"/>
          <w:lang w:val="en-US" w:eastAsia="zh-CN"/>
        </w:rPr>
        <w:t>100</w:t>
      </w:r>
      <w:r>
        <w:rPr>
          <w:rFonts w:hint="default" w:ascii="Times New Roman" w:hAnsi="Times New Roman" w:cs="Times New Roman"/>
          <w:lang w:val="en-US" w:eastAsia="zh-CN"/>
        </w:rPr>
        <w:t>%。</w:t>
      </w:r>
    </w:p>
    <w:p>
      <w:pPr>
        <w:pStyle w:val="52"/>
        <w:bidi w:val="0"/>
        <w:rPr>
          <w:rFonts w:hint="default" w:ascii="Times New Roman" w:hAnsi="Times New Roman" w:cs="Times New Roman"/>
          <w:b/>
          <w:bCs/>
        </w:rPr>
      </w:pPr>
      <w:bookmarkStart w:id="94" w:name="_Toc3996"/>
      <w:r>
        <w:rPr>
          <w:rFonts w:hint="default" w:ascii="Times New Roman" w:hAnsi="Times New Roman" w:cs="Times New Roman"/>
          <w:b/>
          <w:bCs/>
        </w:rPr>
        <w:t>4.项目组织管理</w:t>
      </w:r>
      <w:bookmarkEnd w:id="93"/>
      <w:bookmarkEnd w:id="94"/>
    </w:p>
    <w:p>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562"/>
        <w:textAlignment w:val="auto"/>
        <w:rPr>
          <w:rFonts w:hint="default" w:ascii="Times New Roman" w:hAnsi="Times New Roman" w:eastAsia="仿宋" w:cs="Times New Roman"/>
          <w:sz w:val="32"/>
          <w:szCs w:val="32"/>
        </w:rPr>
      </w:pPr>
      <w:bookmarkStart w:id="95" w:name="_Toc23264899"/>
      <w:r>
        <w:rPr>
          <w:rFonts w:hint="default" w:ascii="Times New Roman" w:hAnsi="Times New Roman" w:eastAsia="仿宋" w:cs="Times New Roman"/>
          <w:sz w:val="32"/>
          <w:szCs w:val="32"/>
        </w:rPr>
        <w:t>（1）组织管理机构</w:t>
      </w:r>
      <w:bookmarkEnd w:id="95"/>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bookmarkStart w:id="96" w:name="_Toc23264901"/>
      <w:r>
        <w:rPr>
          <w:rFonts w:hint="eastAsia" w:cs="Times New Roman"/>
          <w:b/>
          <w:lang w:val="en-US" w:eastAsia="zh-CN"/>
        </w:rPr>
        <w:t>淮滨县</w:t>
      </w:r>
      <w:r>
        <w:rPr>
          <w:rFonts w:hint="default" w:ascii="Times New Roman" w:hAnsi="Times New Roman" w:cs="Times New Roman"/>
          <w:b/>
          <w:lang w:val="en-US" w:eastAsia="zh-CN"/>
        </w:rPr>
        <w:t>扶贫开发领导小组：</w:t>
      </w:r>
      <w:r>
        <w:rPr>
          <w:rFonts w:hint="default" w:ascii="Times New Roman" w:hAnsi="Times New Roman" w:cs="Times New Roman"/>
          <w:b w:val="0"/>
          <w:bCs/>
          <w:lang w:val="en-US" w:eastAsia="zh-CN"/>
        </w:rPr>
        <w:t>负责项目的统筹协调、批复等工作；</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w:t>
      </w:r>
      <w:r>
        <w:rPr>
          <w:rFonts w:hint="default" w:ascii="Times New Roman" w:hAnsi="Times New Roman" w:cs="Times New Roman"/>
          <w:b/>
          <w:lang w:val="en-US" w:eastAsia="zh-CN"/>
        </w:rPr>
        <w:t>财政局：</w:t>
      </w:r>
      <w:r>
        <w:rPr>
          <w:rFonts w:hint="default" w:ascii="Times New Roman" w:hAnsi="Times New Roman" w:cs="Times New Roman"/>
          <w:b w:val="0"/>
          <w:bCs/>
          <w:lang w:val="en-US" w:eastAsia="zh-CN"/>
        </w:rPr>
        <w:t>负责扶贫资金的日常监督、管理、绩效评价，协助配合项目主管部门加强对项目的监督检查。根据下达的项目资金计划和项目建设进度核拨资金，监督检查扶贫资金使用；</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淮滨县交通运输局</w:t>
      </w:r>
      <w:r>
        <w:rPr>
          <w:rFonts w:hint="default" w:ascii="Times New Roman" w:hAnsi="Times New Roman" w:cs="Times New Roman"/>
          <w:b/>
          <w:lang w:val="en-US" w:eastAsia="zh-CN"/>
        </w:rPr>
        <w:t>：</w:t>
      </w:r>
      <w:r>
        <w:rPr>
          <w:rFonts w:hint="default" w:ascii="Times New Roman" w:hAnsi="Times New Roman" w:cs="Times New Roman"/>
          <w:b w:val="0"/>
          <w:bCs/>
          <w:lang w:val="en-US" w:eastAsia="zh-CN"/>
        </w:rPr>
        <w:t>负责项目的审查、监管、验收，负责审核项目报账资料的真实性和合规性，建立扶贫资金专账</w:t>
      </w:r>
      <w:r>
        <w:rPr>
          <w:rFonts w:hint="eastAsia" w:cs="Times New Roman"/>
          <w:b w:val="0"/>
          <w:bCs/>
          <w:lang w:val="en-US" w:eastAsia="zh-CN"/>
        </w:rPr>
        <w:t>；</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val="0"/>
          <w:bCs/>
          <w:lang w:val="en-US" w:eastAsia="zh-CN"/>
        </w:rPr>
      </w:pPr>
      <w:r>
        <w:rPr>
          <w:rFonts w:hint="eastAsia" w:cs="Times New Roman"/>
          <w:b/>
          <w:lang w:val="en-US" w:eastAsia="zh-CN"/>
        </w:rPr>
        <w:t>淮滨县</w:t>
      </w:r>
      <w:r>
        <w:rPr>
          <w:rFonts w:hint="default" w:ascii="Times New Roman" w:hAnsi="Times New Roman" w:cs="Times New Roman"/>
          <w:b/>
          <w:lang w:val="en-US" w:eastAsia="zh-CN"/>
        </w:rPr>
        <w:t>人民政府：</w:t>
      </w:r>
      <w:r>
        <w:rPr>
          <w:rFonts w:hint="default" w:ascii="Times New Roman" w:hAnsi="Times New Roman" w:cs="Times New Roman"/>
          <w:b w:val="0"/>
          <w:bCs/>
          <w:lang w:val="en-US" w:eastAsia="zh-CN"/>
        </w:rPr>
        <w:t>负责项目申报、实施和竣工后初验及项目的前期考察、论证、方案制定，负责申报项目的真实性、合法性、有效性和完整性。负责项目的日常监督检查、实施情况报送，以及项目的后期跟踪管理。</w:t>
      </w:r>
    </w:p>
    <w:bookmarkEnd w:id="96"/>
    <w:p>
      <w:pPr>
        <w:pStyle w:val="6"/>
        <w:ind w:firstLine="562"/>
        <w:rPr>
          <w:rFonts w:hint="default" w:ascii="Times New Roman" w:hAnsi="Times New Roman" w:cs="Times New Roman"/>
          <w:b/>
        </w:rPr>
      </w:pPr>
      <w:bookmarkStart w:id="97" w:name="_Toc23264905"/>
      <w:r>
        <w:rPr>
          <w:rFonts w:hint="default" w:ascii="Times New Roman" w:hAnsi="Times New Roman" w:cs="Times New Roman"/>
          <w:b/>
        </w:rPr>
        <w:t>（2）项目管理情况</w:t>
      </w:r>
      <w:bookmarkEnd w:id="97"/>
    </w:p>
    <w:p>
      <w:pPr>
        <w:pStyle w:val="6"/>
        <w:keepNext w:val="0"/>
        <w:keepLines w:val="0"/>
        <w:pageBreakBefore w:val="0"/>
        <w:kinsoku/>
        <w:overflowPunct/>
        <w:topLinePunct w:val="0"/>
        <w:bidi w:val="0"/>
        <w:snapToGrid/>
        <w:spacing w:line="560" w:lineRule="exact"/>
        <w:ind w:firstLine="562"/>
        <w:textAlignment w:val="auto"/>
        <w:rPr>
          <w:rFonts w:hint="default" w:ascii="Times New Roman" w:hAnsi="Times New Roman" w:cs="Times New Roman"/>
          <w:b/>
          <w:bCs/>
        </w:rPr>
      </w:pPr>
      <w:bookmarkStart w:id="98" w:name="_Toc23264906"/>
      <w:r>
        <w:rPr>
          <w:rFonts w:hint="default" w:ascii="Times New Roman" w:hAnsi="Times New Roman" w:cs="Times New Roman"/>
          <w:b/>
          <w:bCs/>
          <w:kern w:val="0"/>
          <w:szCs w:val="32"/>
          <w:lang w:bidi="en-US"/>
        </w:rPr>
        <w:t>1）</w:t>
      </w:r>
      <w:r>
        <w:rPr>
          <w:rFonts w:hint="default" w:ascii="Times New Roman" w:hAnsi="Times New Roman" w:cs="Times New Roman"/>
          <w:b/>
          <w:bCs/>
        </w:rPr>
        <w:t>项目管理</w:t>
      </w:r>
    </w:p>
    <w:p>
      <w:pPr>
        <w:pStyle w:val="52"/>
        <w:keepNext w:val="0"/>
        <w:keepLines w:val="0"/>
        <w:pageBreakBefore w:val="0"/>
        <w:widowControl/>
        <w:kinsoku/>
        <w:overflowPunct/>
        <w:topLinePunct w:val="0"/>
        <w:bidi w:val="0"/>
        <w:snapToGrid/>
        <w:spacing w:line="560" w:lineRule="exact"/>
        <w:ind w:firstLine="643" w:firstLineChars="200"/>
        <w:textAlignment w:val="auto"/>
        <w:rPr>
          <w:rFonts w:hint="default"/>
        </w:rPr>
      </w:pPr>
      <w:r>
        <w:rPr>
          <w:rFonts w:hint="default"/>
          <w:b/>
          <w:bCs/>
        </w:rPr>
        <w:t>项目申报及入库：</w:t>
      </w:r>
      <w:r>
        <w:rPr>
          <w:rFonts w:hint="default"/>
        </w:rPr>
        <w:t>村级申报初步意见，乡镇审核完善实施方案，</w:t>
      </w:r>
      <w:r>
        <w:rPr>
          <w:rFonts w:hint="eastAsia"/>
          <w:lang w:val="en-US" w:eastAsia="zh-CN"/>
        </w:rPr>
        <w:t>县</w:t>
      </w:r>
      <w:r>
        <w:rPr>
          <w:rFonts w:hint="default"/>
        </w:rPr>
        <w:t>行业主管部门召开会议对乡镇报送项目的科学性、合规性、可行性进行论证，以论证报告形式报市扶贫部门。</w:t>
      </w:r>
      <w:r>
        <w:rPr>
          <w:rFonts w:hint="eastAsia"/>
          <w:lang w:val="en-US" w:eastAsia="zh-CN"/>
        </w:rPr>
        <w:t>县</w:t>
      </w:r>
      <w:r>
        <w:rPr>
          <w:rFonts w:hint="default"/>
        </w:rPr>
        <w:t>扶贫开发领导小组审定。召开会议审定项目库入库项目，并在政府门户网站上进行公示。公示无异议后，将项目纳入项目库并公告。</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项目验收及审计：</w:t>
      </w:r>
      <w:r>
        <w:rPr>
          <w:rFonts w:hint="default"/>
        </w:rPr>
        <w:t>扶贫项目峻工编制好决算资料后，由施工企业邀请监理单位进行自验，并根据监理意见进行整改，直至监理签字通过自验；并向</w:t>
      </w:r>
      <w:r>
        <w:rPr>
          <w:rFonts w:hint="eastAsia"/>
          <w:lang w:val="en-US" w:eastAsia="zh-CN"/>
        </w:rPr>
        <w:t>县</w:t>
      </w:r>
      <w:r>
        <w:rPr>
          <w:rFonts w:hint="default"/>
        </w:rPr>
        <w:t>扶贫项目主管部门正式提出验收申请，由项目管理部门组织监理部门、乡（镇）机关干部等和</w:t>
      </w:r>
      <w:r>
        <w:rPr>
          <w:rFonts w:hint="eastAsia"/>
          <w:lang w:val="en-US" w:eastAsia="zh-CN"/>
        </w:rPr>
        <w:t>淮滨县交通运输局</w:t>
      </w:r>
      <w:r>
        <w:rPr>
          <w:rFonts w:hint="default"/>
        </w:rPr>
        <w:t>委托的有资质的第三方联合对扶贫项目进行验收。对未通过验收的项目，</w:t>
      </w:r>
      <w:r>
        <w:rPr>
          <w:rFonts w:hint="eastAsia"/>
          <w:lang w:val="en-US" w:eastAsia="zh-CN"/>
        </w:rPr>
        <w:t>县</w:t>
      </w:r>
      <w:r>
        <w:rPr>
          <w:rFonts w:hint="default"/>
        </w:rPr>
        <w:t>项目管理部门须要求项目实施单位限时整改直至通过验收。扶贫项目验收合格后，</w:t>
      </w:r>
      <w:r>
        <w:rPr>
          <w:rFonts w:hint="eastAsia"/>
          <w:lang w:val="en-US" w:eastAsia="zh-CN"/>
        </w:rPr>
        <w:t>县</w:t>
      </w:r>
      <w:r>
        <w:rPr>
          <w:rFonts w:hint="default"/>
        </w:rPr>
        <w:t>审计局开展审计工作，实现扶贫资金审计全覆盖。</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项目报账：</w:t>
      </w:r>
      <w:r>
        <w:rPr>
          <w:rFonts w:hint="default"/>
        </w:rPr>
        <w:t>财政扶贫项目实行国库集中支付直接支付方式。报账资金总额以脱贫攻坚领导小组批复下达的该项目财政扶贫资金计划为上限。财政扶贫项目报账业务按照</w:t>
      </w:r>
      <w:r>
        <w:rPr>
          <w:rFonts w:hint="eastAsia"/>
          <w:lang w:val="en-US" w:eastAsia="zh-CN"/>
        </w:rPr>
        <w:t>相</w:t>
      </w:r>
      <w:r>
        <w:rPr>
          <w:rFonts w:hint="default"/>
        </w:rPr>
        <w:t>关规定进行报账、管理，要引导和组织农民群众参与扶贫开发项目建设，充分发挥扶贫资金使用效益。</w:t>
      </w:r>
    </w:p>
    <w:p>
      <w:pPr>
        <w:pStyle w:val="52"/>
        <w:keepNext w:val="0"/>
        <w:keepLines w:val="0"/>
        <w:pageBreakBefore w:val="0"/>
        <w:kinsoku/>
        <w:overflowPunct/>
        <w:topLinePunct w:val="0"/>
        <w:bidi w:val="0"/>
        <w:snapToGrid/>
        <w:spacing w:line="560" w:lineRule="exact"/>
        <w:ind w:firstLine="562"/>
        <w:textAlignment w:val="auto"/>
        <w:rPr>
          <w:rFonts w:hint="default"/>
          <w:b/>
          <w:bCs/>
        </w:rPr>
      </w:pPr>
      <w:r>
        <w:rPr>
          <w:rFonts w:hint="default"/>
          <w:b/>
          <w:bCs/>
        </w:rPr>
        <w:t>2）资金管理</w:t>
      </w:r>
    </w:p>
    <w:p>
      <w:pPr>
        <w:pStyle w:val="52"/>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default"/>
          <w:lang w:val="en-US" w:eastAsia="zh-CN"/>
        </w:rPr>
      </w:pPr>
      <w:r>
        <w:rPr>
          <w:rFonts w:hint="default"/>
          <w:b/>
          <w:bCs/>
          <w:lang w:val="en-US" w:eastAsia="zh-CN"/>
        </w:rPr>
        <w:t>预算安排与项目分配方面：</w:t>
      </w:r>
      <w:r>
        <w:rPr>
          <w:rFonts w:hint="default"/>
          <w:lang w:val="en-US" w:eastAsia="zh-CN"/>
        </w:rPr>
        <w:t>依据脱贫攻坚任务需要，结合中央、省和</w:t>
      </w:r>
      <w:r>
        <w:rPr>
          <w:rFonts w:hint="eastAsia"/>
          <w:lang w:val="en-US" w:eastAsia="zh-CN"/>
        </w:rPr>
        <w:t>信阳</w:t>
      </w:r>
      <w:r>
        <w:rPr>
          <w:rFonts w:hint="default"/>
          <w:lang w:val="en-US" w:eastAsia="zh-CN"/>
        </w:rPr>
        <w:t>市安排本市的情况，由村级申请、乡镇（办事处）审核，脱贫攻坚领导小组召开扶贫、财政、发展改革、民族、农林等部门联席会议，对贫困村、乡镇（办事处）上报的当年拟实施项目的可行性专题评审，并依据轻重缓急的原则予以安排，</w:t>
      </w:r>
      <w:r>
        <w:rPr>
          <w:rFonts w:hint="eastAsia"/>
          <w:lang w:val="en-US" w:eastAsia="zh-CN"/>
        </w:rPr>
        <w:t>淮滨县</w:t>
      </w:r>
      <w:r>
        <w:rPr>
          <w:rFonts w:hint="default"/>
          <w:lang w:val="en-US" w:eastAsia="zh-CN"/>
        </w:rPr>
        <w:t>每年预算安排的财政专项扶贫资金额度要确保达到省、</w:t>
      </w:r>
      <w:r>
        <w:rPr>
          <w:rFonts w:hint="eastAsia"/>
          <w:lang w:val="en-US" w:eastAsia="zh-CN"/>
        </w:rPr>
        <w:t>信阳</w:t>
      </w:r>
      <w:r>
        <w:rPr>
          <w:rFonts w:hint="default"/>
          <w:lang w:val="en-US" w:eastAsia="zh-CN"/>
        </w:rPr>
        <w:t>市绩效评价考核要求。</w:t>
      </w:r>
    </w:p>
    <w:p>
      <w:pPr>
        <w:pStyle w:val="52"/>
        <w:keepNext w:val="0"/>
        <w:keepLines w:val="0"/>
        <w:pageBreakBefore w:val="0"/>
        <w:widowControl/>
        <w:kinsoku/>
        <w:wordWrap w:val="0"/>
        <w:overflowPunct/>
        <w:topLinePunct w:val="0"/>
        <w:autoSpaceDE/>
        <w:autoSpaceDN/>
        <w:bidi w:val="0"/>
        <w:adjustRightInd/>
        <w:snapToGrid/>
        <w:spacing w:after="0" w:line="560" w:lineRule="exact"/>
        <w:ind w:firstLine="643" w:firstLineChars="200"/>
        <w:jc w:val="left"/>
        <w:textAlignment w:val="auto"/>
        <w:rPr>
          <w:rFonts w:hint="default"/>
          <w:color w:val="000000" w:themeColor="text1"/>
          <w:lang w:val="en-US" w:eastAsia="zh-CN"/>
          <w14:textFill>
            <w14:solidFill>
              <w14:schemeClr w14:val="tx1"/>
            </w14:solidFill>
          </w14:textFill>
        </w:rPr>
      </w:pPr>
      <w:r>
        <w:rPr>
          <w:rFonts w:hint="default"/>
          <w:b/>
          <w:bCs/>
          <w:lang w:val="en-US" w:eastAsia="zh-CN"/>
        </w:rPr>
        <w:t>资金支出范围：</w:t>
      </w:r>
      <w:r>
        <w:rPr>
          <w:rFonts w:hint="default"/>
          <w:lang w:val="en-US" w:eastAsia="zh-CN"/>
        </w:rPr>
        <w:t>资金支出围绕</w:t>
      </w:r>
      <w:r>
        <w:rPr>
          <w:rFonts w:hint="eastAsia"/>
          <w:lang w:val="en-US" w:eastAsia="zh-CN"/>
        </w:rPr>
        <w:t>解决淮滨</w:t>
      </w:r>
      <w:r>
        <w:rPr>
          <w:rFonts w:hint="default"/>
          <w:lang w:val="en-US" w:eastAsia="zh-CN"/>
        </w:rPr>
        <w:t>县通村通组硬化道路无断行、无隐患问题，</w:t>
      </w:r>
      <w:r>
        <w:rPr>
          <w:rFonts w:hint="eastAsia"/>
          <w:lang w:val="en-US" w:eastAsia="zh-CN"/>
        </w:rPr>
        <w:t>完成所有行政村通硬化路、通客车、通邮的任务</w:t>
      </w:r>
      <w:r>
        <w:rPr>
          <w:rFonts w:hint="default"/>
          <w:lang w:val="en-US" w:eastAsia="zh-CN"/>
        </w:rPr>
        <w:t>，实现</w:t>
      </w:r>
      <w:r>
        <w:rPr>
          <w:rFonts w:hint="eastAsia"/>
          <w:lang w:val="en-US" w:eastAsia="zh-CN"/>
        </w:rPr>
        <w:t>“</w:t>
      </w:r>
      <w:r>
        <w:rPr>
          <w:rFonts w:hint="default"/>
          <w:lang w:val="en-US" w:eastAsia="zh-CN"/>
        </w:rPr>
        <w:t>外通内联、通村畅乡、客车到村、安全便捷</w:t>
      </w:r>
      <w:r>
        <w:rPr>
          <w:rFonts w:hint="eastAsia"/>
          <w:lang w:val="en-US" w:eastAsia="zh-CN"/>
        </w:rPr>
        <w:t>”</w:t>
      </w:r>
      <w:r>
        <w:rPr>
          <w:rFonts w:hint="default"/>
          <w:lang w:val="en-US" w:eastAsia="zh-CN"/>
        </w:rPr>
        <w:t>的目标</w:t>
      </w:r>
      <w:r>
        <w:rPr>
          <w:rFonts w:hint="eastAsia"/>
          <w:lang w:val="en-US" w:eastAsia="zh-CN"/>
        </w:rPr>
        <w:t>，</w:t>
      </w:r>
      <w:r>
        <w:rPr>
          <w:rFonts w:hint="default"/>
          <w:color w:val="000000" w:themeColor="text1"/>
          <w:lang w:val="en-US" w:eastAsia="zh-CN"/>
          <w14:textFill>
            <w14:solidFill>
              <w14:schemeClr w14:val="tx1"/>
            </w14:solidFill>
          </w14:textFill>
        </w:rPr>
        <w:t>显著提升整体运输服务水平</w:t>
      </w:r>
      <w:r>
        <w:rPr>
          <w:rFonts w:hint="eastAsia"/>
          <w:color w:val="000000" w:themeColor="text1"/>
          <w:lang w:val="en-US" w:eastAsia="zh-CN"/>
          <w14:textFill>
            <w14:solidFill>
              <w14:schemeClr w14:val="tx1"/>
            </w14:solidFill>
          </w14:textFill>
        </w:rPr>
        <w:t>，</w:t>
      </w:r>
      <w:r>
        <w:rPr>
          <w:rFonts w:hint="default"/>
          <w:lang w:val="en-US" w:eastAsia="zh-CN"/>
        </w:rPr>
        <w:t>为全县脱贫攻坚助力提速</w:t>
      </w:r>
      <w:r>
        <w:rPr>
          <w:rFonts w:hint="eastAsia"/>
          <w:lang w:val="en-US" w:eastAsia="zh-CN"/>
        </w:rPr>
        <w:t>，</w:t>
      </w:r>
      <w:r>
        <w:rPr>
          <w:rFonts w:hint="default"/>
          <w:color w:val="000000" w:themeColor="text1"/>
          <w:lang w:val="en-US" w:eastAsia="zh-CN"/>
          <w14:textFill>
            <w14:solidFill>
              <w14:schemeClr w14:val="tx1"/>
            </w14:solidFill>
          </w14:textFill>
        </w:rPr>
        <w:t>合理安排扶贫项目管理经费，保证扶贫攻坚工作需要。</w:t>
      </w:r>
    </w:p>
    <w:p>
      <w:pPr>
        <w:pStyle w:val="5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lang w:val="en-US" w:eastAsia="zh-CN"/>
        </w:rPr>
      </w:pPr>
      <w:r>
        <w:rPr>
          <w:rFonts w:hint="default"/>
          <w:b/>
          <w:bCs/>
          <w:lang w:val="en-US" w:eastAsia="zh-CN"/>
        </w:rPr>
        <w:t>资金管理与监督方面：</w:t>
      </w:r>
      <w:r>
        <w:rPr>
          <w:rFonts w:hint="default"/>
          <w:lang w:val="en-US" w:eastAsia="zh-CN"/>
        </w:rPr>
        <w:t>项目实施单位加强资金管理及信息化管理。各相关部门要严格执行扶贫资金项目公告公示制度。财政专项扶贫资金使用管理实行绩效评价制度，业务主管部门要积极开展资金使用的绩效自评工作。财政、扶贫、发展改革、民族、农林等部门要配合审计、纪检监察、检察机关、财政部专员办做好资金和项目的审计、检查等工作。财政监督机构按照工作职责和工作计划加强对财政专项扶贫资金的监督检查。</w:t>
      </w:r>
    </w:p>
    <w:bookmarkEnd w:id="98"/>
    <w:p>
      <w:pPr>
        <w:pStyle w:val="29"/>
        <w:ind w:firstLine="643" w:firstLineChars="200"/>
        <w:rPr>
          <w:rFonts w:hint="eastAsia" w:ascii="楷体" w:hAnsi="楷体" w:eastAsia="楷体" w:cs="楷体"/>
          <w:color w:val="000000" w:themeColor="text1"/>
          <w:sz w:val="32"/>
          <w:szCs w:val="32"/>
          <w:highlight w:val="none"/>
          <w14:textFill>
            <w14:solidFill>
              <w14:schemeClr w14:val="tx1"/>
            </w14:solidFill>
          </w14:textFill>
        </w:rPr>
      </w:pPr>
      <w:bookmarkStart w:id="99" w:name="_Toc11016"/>
      <w:bookmarkStart w:id="100" w:name="_Toc13687"/>
      <w:bookmarkStart w:id="101" w:name="_Toc26829"/>
      <w:bookmarkStart w:id="102" w:name="_Toc26616"/>
      <w:bookmarkStart w:id="103" w:name="_Toc14426"/>
      <w:bookmarkStart w:id="104" w:name="_Toc20186"/>
      <w:bookmarkStart w:id="105" w:name="_Toc18065"/>
      <w:bookmarkStart w:id="106" w:name="_Toc23264908"/>
      <w:bookmarkStart w:id="107" w:name="_Toc20637"/>
      <w:bookmarkStart w:id="108" w:name="_Toc23266423"/>
      <w:r>
        <w:rPr>
          <w:rFonts w:hint="eastAsia" w:ascii="楷体" w:hAnsi="楷体" w:eastAsia="楷体" w:cs="楷体"/>
          <w:color w:val="000000" w:themeColor="text1"/>
          <w:sz w:val="32"/>
          <w:szCs w:val="32"/>
          <w:highlight w:val="none"/>
          <w14:textFill>
            <w14:solidFill>
              <w14:schemeClr w14:val="tx1"/>
            </w14:solidFill>
          </w14:textFill>
        </w:rPr>
        <w:t>（二）项目绩效目标</w:t>
      </w:r>
      <w:bookmarkEnd w:id="99"/>
      <w:bookmarkEnd w:id="100"/>
      <w:bookmarkEnd w:id="101"/>
      <w:bookmarkEnd w:id="102"/>
      <w:bookmarkEnd w:id="103"/>
      <w:bookmarkEnd w:id="104"/>
      <w:bookmarkEnd w:id="105"/>
      <w:bookmarkEnd w:id="106"/>
      <w:bookmarkEnd w:id="107"/>
      <w:bookmarkEnd w:id="108"/>
    </w:p>
    <w:p>
      <w:pPr>
        <w:pStyle w:val="52"/>
        <w:bidi w:val="0"/>
        <w:rPr>
          <w:rFonts w:hint="default" w:ascii="Times New Roman" w:hAnsi="Times New Roman" w:cs="Times New Roman"/>
          <w:b/>
          <w:bCs/>
        </w:rPr>
      </w:pPr>
      <w:bookmarkStart w:id="109" w:name="_Toc23266424"/>
      <w:bookmarkStart w:id="110" w:name="_Toc22345"/>
      <w:bookmarkStart w:id="111" w:name="_Toc1333"/>
      <w:bookmarkStart w:id="112" w:name="_Toc10374"/>
      <w:bookmarkStart w:id="113" w:name="_Toc32696"/>
      <w:bookmarkStart w:id="114" w:name="_Toc23264909"/>
      <w:bookmarkStart w:id="115" w:name="_Toc1380"/>
      <w:bookmarkStart w:id="116" w:name="_Toc23267035"/>
      <w:bookmarkStart w:id="117" w:name="_Toc24047"/>
      <w:bookmarkStart w:id="118" w:name="_Toc22591"/>
      <w:r>
        <w:rPr>
          <w:rFonts w:hint="default" w:ascii="Times New Roman" w:hAnsi="Times New Roman" w:cs="Times New Roman"/>
          <w:b/>
          <w:bCs/>
        </w:rPr>
        <w:t>1.总体绩效目标</w:t>
      </w:r>
      <w:bookmarkEnd w:id="109"/>
      <w:bookmarkEnd w:id="110"/>
      <w:bookmarkEnd w:id="111"/>
      <w:bookmarkEnd w:id="112"/>
      <w:bookmarkEnd w:id="113"/>
      <w:bookmarkEnd w:id="114"/>
      <w:bookmarkEnd w:id="115"/>
      <w:bookmarkEnd w:id="116"/>
      <w:bookmarkEnd w:id="117"/>
      <w:bookmarkEnd w:id="118"/>
    </w:p>
    <w:p>
      <w:pPr>
        <w:pStyle w:val="6"/>
        <w:rPr>
          <w:rFonts w:hint="default" w:ascii="Times New Roman" w:hAnsi="Times New Roman" w:cs="Times New Roman"/>
          <w:kern w:val="0"/>
          <w:szCs w:val="32"/>
          <w:lang w:eastAsia="zh-CN" w:bidi="en-US"/>
        </w:rPr>
      </w:pPr>
      <w:bookmarkStart w:id="119" w:name="_Toc23264910"/>
      <w:bookmarkStart w:id="120" w:name="_Toc23266425"/>
      <w:bookmarkStart w:id="121" w:name="_Toc23267036"/>
      <w:r>
        <w:rPr>
          <w:rFonts w:hint="default" w:ascii="Times New Roman" w:hAnsi="Times New Roman" w:cs="Times New Roman"/>
          <w:kern w:val="0"/>
          <w:szCs w:val="32"/>
          <w:lang w:eastAsia="zh-CN" w:bidi="en-US"/>
        </w:rPr>
        <w:t>通过扶贫项目的实施</w:t>
      </w:r>
      <w:r>
        <w:rPr>
          <w:rFonts w:hint="eastAsia" w:cs="Times New Roman"/>
          <w:kern w:val="0"/>
          <w:szCs w:val="32"/>
          <w:lang w:eastAsia="zh-CN" w:bidi="en-US"/>
        </w:rPr>
        <w:t>，改善农村人居环境，解决群众出行难题，认真履行交通部门工作职责，落实农村公路建设任务，提升农村公路建设水平，完成公路危桥处置99座、配套桥梁867延米、板涵43座、管涵136延米。</w:t>
      </w:r>
    </w:p>
    <w:p>
      <w:pPr>
        <w:pStyle w:val="52"/>
        <w:bidi w:val="0"/>
        <w:rPr>
          <w:rFonts w:hint="default" w:ascii="Times New Roman" w:hAnsi="Times New Roman" w:cs="Times New Roman"/>
        </w:rPr>
      </w:pPr>
      <w:bookmarkStart w:id="122" w:name="_Toc499"/>
      <w:bookmarkStart w:id="123" w:name="_Toc17505"/>
      <w:bookmarkStart w:id="124" w:name="_Toc11910"/>
      <w:bookmarkStart w:id="125" w:name="_Toc30076"/>
      <w:bookmarkStart w:id="126" w:name="_Toc28299"/>
      <w:bookmarkStart w:id="127" w:name="_Toc8437"/>
      <w:bookmarkStart w:id="128" w:name="_Toc6099"/>
      <w:r>
        <w:rPr>
          <w:rStyle w:val="53"/>
          <w:rFonts w:hint="default" w:ascii="Times New Roman" w:hAnsi="Times New Roman" w:cs="Times New Roman"/>
          <w:b/>
          <w:bCs/>
        </w:rPr>
        <w:t>2.年度绩效目标</w:t>
      </w:r>
      <w:bookmarkEnd w:id="119"/>
      <w:bookmarkEnd w:id="120"/>
      <w:bookmarkEnd w:id="121"/>
      <w:bookmarkEnd w:id="122"/>
      <w:bookmarkEnd w:id="123"/>
      <w:bookmarkEnd w:id="124"/>
      <w:bookmarkEnd w:id="125"/>
      <w:bookmarkEnd w:id="126"/>
      <w:bookmarkEnd w:id="127"/>
      <w:bookmarkEnd w:id="128"/>
      <w:r>
        <w:rPr>
          <w:rFonts w:hint="default" w:ascii="Times New Roman" w:hAnsi="Times New Roman" w:cs="Times New Roman"/>
        </w:rPr>
        <w:tab/>
      </w:r>
    </w:p>
    <w:p>
      <w:pPr>
        <w:pStyle w:val="5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rPr>
      </w:pPr>
      <w:r>
        <w:rPr>
          <w:rFonts w:hint="default"/>
        </w:rPr>
        <w:t>准滨县2020年扶贫通村通组道路配套桥涵建设项目</w:t>
      </w:r>
      <w:r>
        <w:rPr>
          <w:rFonts w:hint="eastAsia"/>
          <w:lang w:val="en-US" w:eastAsia="zh-CN"/>
        </w:rPr>
        <w:t>实施，</w:t>
      </w:r>
      <w:r>
        <w:rPr>
          <w:rFonts w:hint="default"/>
        </w:rPr>
        <w:t>共涉及16个乡镇办</w:t>
      </w:r>
      <w:r>
        <w:rPr>
          <w:rFonts w:hint="eastAsia"/>
          <w:lang w:eastAsia="zh-CN"/>
        </w:rPr>
        <w:t>，</w:t>
      </w:r>
      <w:r>
        <w:rPr>
          <w:rFonts w:hint="default"/>
        </w:rPr>
        <w:t>81个行政村</w:t>
      </w:r>
      <w:r>
        <w:rPr>
          <w:rFonts w:hint="eastAsia"/>
          <w:lang w:eastAsia="zh-CN"/>
        </w:rPr>
        <w:t>，</w:t>
      </w:r>
      <w:r>
        <w:rPr>
          <w:rFonts w:hint="default"/>
        </w:rPr>
        <w:t>总人口202211人</w:t>
      </w:r>
      <w:r>
        <w:rPr>
          <w:rFonts w:hint="eastAsia"/>
          <w:lang w:eastAsia="zh-CN"/>
        </w:rPr>
        <w:t>，</w:t>
      </w:r>
      <w:r>
        <w:rPr>
          <w:rFonts w:hint="default"/>
        </w:rPr>
        <w:t>其中贫困户6119户</w:t>
      </w:r>
      <w:r>
        <w:rPr>
          <w:rFonts w:hint="eastAsia"/>
          <w:lang w:eastAsia="zh-CN"/>
        </w:rPr>
        <w:t>，</w:t>
      </w:r>
      <w:r>
        <w:rPr>
          <w:rFonts w:hint="default"/>
        </w:rPr>
        <w:t>贫困人口24623人</w:t>
      </w:r>
      <w:r>
        <w:rPr>
          <w:rFonts w:hint="eastAsia"/>
          <w:lang w:eastAsia="zh-CN"/>
        </w:rPr>
        <w:t>。</w:t>
      </w:r>
      <w:r>
        <w:rPr>
          <w:rFonts w:hint="eastAsia"/>
          <w:lang w:val="en-US" w:eastAsia="zh-CN"/>
        </w:rPr>
        <w:t>通过项目实施，计划完成贫困村公路危桥处置数量99座、配套桥梁长度867延米、板涵数量43座、管涵长度136延米，项目（工程）验收合格率、项目（工程）完成及时率、贫困地区建制村通客车率、具备条件的建档立卡贫困村通硬化路率均达到100%，缩短贫困地区居民出行时间，提高受扶持贫困村村民满意度等，</w:t>
      </w:r>
      <w:r>
        <w:rPr>
          <w:rFonts w:hint="eastAsia"/>
          <w:lang w:eastAsia="zh-CN"/>
        </w:rPr>
        <w:t>落实精准扶贫，健全扶贫项目带贫减贫机制，巩固脱贫成果等。具体项目绩效年度指标如表1-1所示：</w:t>
      </w:r>
    </w:p>
    <w:p>
      <w:pPr>
        <w:pStyle w:val="6"/>
        <w:keepNext w:val="0"/>
        <w:keepLines w:val="0"/>
        <w:pageBreakBefore w:val="0"/>
        <w:widowControl w:val="0"/>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eastAsia="仿宋_GB2312" w:cs="Times New Roman"/>
          <w:b/>
          <w:bCs w:val="0"/>
          <w:color w:val="000000" w:themeColor="text1"/>
          <w:sz w:val="24"/>
          <w:szCs w:val="24"/>
          <w14:textFill>
            <w14:solidFill>
              <w14:schemeClr w14:val="tx1"/>
            </w14:solidFill>
          </w14:textFill>
        </w:rPr>
      </w:pPr>
      <w:r>
        <w:rPr>
          <w:rFonts w:hint="default" w:ascii="Times New Roman" w:hAnsi="Times New Roman" w:eastAsia="仿宋_GB2312" w:cs="Times New Roman"/>
          <w:b/>
          <w:bCs w:val="0"/>
          <w:color w:val="000000" w:themeColor="text1"/>
          <w:sz w:val="24"/>
          <w:szCs w:val="24"/>
          <w14:textFill>
            <w14:solidFill>
              <w14:schemeClr w14:val="tx1"/>
            </w14:solidFill>
          </w14:textFill>
        </w:rPr>
        <w:t>表1-</w:t>
      </w:r>
      <w:r>
        <w:rPr>
          <w:rFonts w:hint="default" w:ascii="Times New Roman" w:hAnsi="Times New Roman" w:eastAsia="仿宋_GB2312" w:cs="Times New Roman"/>
          <w:b/>
          <w:bCs w:val="0"/>
          <w:color w:val="000000" w:themeColor="text1"/>
          <w:sz w:val="24"/>
          <w:szCs w:val="24"/>
          <w:lang w:val="en-US" w:eastAsia="zh-CN"/>
          <w14:textFill>
            <w14:solidFill>
              <w14:schemeClr w14:val="tx1"/>
            </w14:solidFill>
          </w14:textFill>
        </w:rPr>
        <w:t>1</w:t>
      </w:r>
      <w:r>
        <w:rPr>
          <w:rFonts w:hint="default" w:ascii="Times New Roman" w:hAnsi="Times New Roman" w:eastAsia="仿宋_GB2312" w:cs="Times New Roman"/>
          <w:b/>
          <w:bCs w:val="0"/>
          <w:color w:val="000000" w:themeColor="text1"/>
          <w:sz w:val="24"/>
          <w:szCs w:val="24"/>
          <w14:textFill>
            <w14:solidFill>
              <w14:schemeClr w14:val="tx1"/>
            </w14:solidFill>
          </w14:textFill>
        </w:rPr>
        <w:t xml:space="preserve"> </w:t>
      </w:r>
      <w:r>
        <w:rPr>
          <w:rFonts w:hint="eastAsia" w:eastAsia="仿宋_GB2312" w:cs="Times New Roman"/>
          <w:b/>
          <w:bCs w:val="0"/>
          <w:color w:val="000000" w:themeColor="text1"/>
          <w:sz w:val="24"/>
          <w:szCs w:val="24"/>
          <w:lang w:val="en-US" w:eastAsia="zh-CN"/>
          <w14:textFill>
            <w14:solidFill>
              <w14:schemeClr w14:val="tx1"/>
            </w14:solidFill>
          </w14:textFill>
        </w:rPr>
        <w:t>淮滨</w:t>
      </w:r>
      <w:r>
        <w:rPr>
          <w:rFonts w:hint="default" w:ascii="Times New Roman" w:hAnsi="Times New Roman" w:eastAsia="仿宋_GB2312" w:cs="Times New Roman"/>
          <w:b/>
          <w:bCs w:val="0"/>
          <w:color w:val="000000" w:themeColor="text1"/>
          <w:sz w:val="24"/>
          <w:szCs w:val="24"/>
          <w14:textFill>
            <w14:solidFill>
              <w14:schemeClr w14:val="tx1"/>
            </w14:solidFill>
          </w14:textFill>
        </w:rPr>
        <w:t>县2020年扶贫通村通组道路配套桥涵建设项目绩效目标汇总表</w:t>
      </w:r>
    </w:p>
    <w:tbl>
      <w:tblPr>
        <w:tblStyle w:val="19"/>
        <w:tblW w:w="4998" w:type="pct"/>
        <w:tblInd w:w="0" w:type="dxa"/>
        <w:shd w:val="clear" w:color="auto" w:fill="auto"/>
        <w:tblLayout w:type="autofit"/>
        <w:tblCellMar>
          <w:top w:w="0" w:type="dxa"/>
          <w:left w:w="108" w:type="dxa"/>
          <w:bottom w:w="0" w:type="dxa"/>
          <w:right w:w="108" w:type="dxa"/>
        </w:tblCellMar>
      </w:tblPr>
      <w:tblGrid>
        <w:gridCol w:w="1331"/>
        <w:gridCol w:w="1765"/>
        <w:gridCol w:w="2654"/>
        <w:gridCol w:w="2775"/>
      </w:tblGrid>
      <w:tr>
        <w:tblPrEx>
          <w:shd w:val="clear" w:color="auto" w:fill="auto"/>
          <w:tblCellMar>
            <w:top w:w="0" w:type="dxa"/>
            <w:left w:w="108" w:type="dxa"/>
            <w:bottom w:w="0" w:type="dxa"/>
            <w:right w:w="108" w:type="dxa"/>
          </w:tblCellMar>
        </w:tblPrEx>
        <w:trPr>
          <w:trHeight w:val="23" w:hRule="atLeast"/>
          <w:tblHeader/>
        </w:trPr>
        <w:tc>
          <w:tcPr>
            <w:tcW w:w="781"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bookmarkStart w:id="129" w:name="_Toc12058"/>
            <w:bookmarkStart w:id="130" w:name="_Toc13273"/>
            <w:bookmarkStart w:id="131" w:name="_Toc23266426"/>
            <w:bookmarkStart w:id="132" w:name="_Toc2003"/>
            <w:bookmarkStart w:id="133" w:name="_Toc15120"/>
            <w:bookmarkStart w:id="134" w:name="_Toc23264911"/>
            <w:bookmarkStart w:id="135" w:name="_Toc1799"/>
            <w:bookmarkStart w:id="136" w:name="_Toc2268"/>
            <w:bookmarkStart w:id="137" w:name="_Toc8530"/>
            <w:bookmarkStart w:id="138" w:name="_Toc4553"/>
            <w:bookmarkStart w:id="139" w:name="_Toc19458"/>
            <w:r>
              <w:rPr>
                <w:rFonts w:hint="default" w:ascii="Times New Roman" w:hAnsi="Times New Roman" w:eastAsia="仿宋_GB2312" w:cs="Times New Roman"/>
                <w:b/>
                <w:bCs/>
                <w:i w:val="0"/>
                <w:iCs w:val="0"/>
                <w:color w:val="000000"/>
                <w:kern w:val="0"/>
                <w:sz w:val="22"/>
                <w:szCs w:val="22"/>
                <w:u w:val="none"/>
                <w:lang w:val="en-US" w:eastAsia="zh-CN" w:bidi="ar"/>
              </w:rPr>
              <w:t>一级指标</w:t>
            </w:r>
          </w:p>
        </w:tc>
        <w:tc>
          <w:tcPr>
            <w:tcW w:w="1035"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二级指标</w:t>
            </w:r>
          </w:p>
        </w:tc>
        <w:tc>
          <w:tcPr>
            <w:tcW w:w="1556"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三级指标</w:t>
            </w:r>
          </w:p>
        </w:tc>
        <w:tc>
          <w:tcPr>
            <w:tcW w:w="1627"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指标值</w:t>
            </w:r>
          </w:p>
        </w:tc>
      </w:tr>
      <w:tr>
        <w:tblPrEx>
          <w:shd w:val="clear" w:color="auto" w:fill="auto"/>
          <w:tblCellMar>
            <w:top w:w="0" w:type="dxa"/>
            <w:left w:w="108" w:type="dxa"/>
            <w:bottom w:w="0" w:type="dxa"/>
            <w:right w:w="108" w:type="dxa"/>
          </w:tblCellMar>
        </w:tblPrEx>
        <w:trPr>
          <w:trHeight w:val="23" w:hRule="atLeast"/>
        </w:trPr>
        <w:tc>
          <w:tcPr>
            <w:tcW w:w="7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产出指标</w:t>
            </w:r>
          </w:p>
        </w:tc>
        <w:tc>
          <w:tcPr>
            <w:tcW w:w="10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数量指标</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贫困村公路危桥处置数量</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99座</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完成配套桥梁长度</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867米</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完成板涵数量</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43座</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完成管涵长度</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136米</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质量指标</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项目（工程）验收合格率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时效指标</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项目（工程）完成及时率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成本指标</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桥梁建设成本</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≤0.4万元/㎡</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盖板涵建设成本</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≤0.65万元/㎡</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圆管涵建设成本</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φ0.6m</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≤0.12万元/每延米、φ0.8m</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 0.15万元/每延米、φ 1m</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≤0.18万元元/每延米、路面修补</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≤0.022 万元/㎡</w:t>
            </w:r>
          </w:p>
        </w:tc>
      </w:tr>
      <w:tr>
        <w:tblPrEx>
          <w:shd w:val="clear" w:color="auto" w:fill="auto"/>
          <w:tblCellMar>
            <w:top w:w="0" w:type="dxa"/>
            <w:left w:w="108" w:type="dxa"/>
            <w:bottom w:w="0" w:type="dxa"/>
            <w:right w:w="108" w:type="dxa"/>
          </w:tblCellMar>
        </w:tblPrEx>
        <w:trPr>
          <w:trHeight w:val="23" w:hRule="atLeast"/>
        </w:trPr>
        <w:tc>
          <w:tcPr>
            <w:tcW w:w="7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效益指标</w:t>
            </w:r>
          </w:p>
        </w:tc>
        <w:tc>
          <w:tcPr>
            <w:tcW w:w="10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社会效益</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贫困地区建制村通客车率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具备条件的建档立卡贫困村通硬化路率</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贫困地区居民出行平均缩短时间</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3小时</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受益建档立卡贫困人口数</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24623人</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可持续影响</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工程设计使用年限</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≥10年</w:t>
            </w:r>
          </w:p>
        </w:tc>
      </w:tr>
      <w:tr>
        <w:tblPrEx>
          <w:shd w:val="clear" w:color="auto" w:fill="auto"/>
          <w:tblCellMar>
            <w:top w:w="0" w:type="dxa"/>
            <w:left w:w="108" w:type="dxa"/>
            <w:bottom w:w="0" w:type="dxa"/>
            <w:right w:w="108" w:type="dxa"/>
          </w:tblCellMar>
        </w:tblPrEx>
        <w:trPr>
          <w:trHeight w:val="23" w:hRule="atLeast"/>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103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仿宋_GB2312" w:cs="Times New Roman"/>
                <w:i w:val="0"/>
                <w:iCs w:val="0"/>
                <w:color w:val="000000"/>
                <w:sz w:val="22"/>
                <w:szCs w:val="22"/>
                <w:u w:val="none"/>
              </w:rPr>
            </w:pP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新建公路列养率</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满意度指标</w:t>
            </w:r>
          </w:p>
        </w:tc>
        <w:tc>
          <w:tcPr>
            <w:tcW w:w="10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服务对象满意度</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受扶持贫困村村民满意度</w:t>
            </w:r>
          </w:p>
        </w:tc>
        <w:tc>
          <w:tcPr>
            <w:tcW w:w="1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≥96%</w:t>
            </w:r>
          </w:p>
        </w:tc>
      </w:tr>
    </w:tbl>
    <w:p>
      <w:pPr>
        <w:pStyle w:val="4"/>
        <w:ind w:firstLine="640"/>
        <w:rPr>
          <w:rFonts w:hint="default" w:ascii="Times New Roman" w:hAnsi="Times New Roman" w:cs="Times New Roman"/>
          <w:b/>
          <w:bCs w:val="0"/>
          <w:color w:val="FF0000"/>
          <w:szCs w:val="32"/>
        </w:rPr>
      </w:pPr>
      <w:bookmarkStart w:id="140" w:name="_Toc4500"/>
      <w:r>
        <w:rPr>
          <w:rFonts w:hint="default" w:ascii="Times New Roman" w:hAnsi="Times New Roman" w:cs="Times New Roman"/>
          <w:b/>
          <w:bCs w:val="0"/>
          <w:szCs w:val="32"/>
        </w:rPr>
        <w:t>二、</w:t>
      </w:r>
      <w:r>
        <w:rPr>
          <w:rFonts w:hint="default" w:ascii="Times New Roman" w:hAnsi="Times New Roman" w:cs="Times New Roman"/>
          <w:b/>
          <w:bCs w:val="0"/>
          <w:color w:val="000000" w:themeColor="text1"/>
          <w:szCs w:val="32"/>
          <w14:textFill>
            <w14:solidFill>
              <w14:schemeClr w14:val="tx1"/>
            </w14:solidFill>
          </w14:textFill>
        </w:rPr>
        <w:t>绩效评价开展情况</w:t>
      </w:r>
      <w:bookmarkEnd w:id="129"/>
      <w:bookmarkEnd w:id="130"/>
      <w:bookmarkEnd w:id="131"/>
      <w:bookmarkEnd w:id="132"/>
      <w:bookmarkEnd w:id="133"/>
      <w:bookmarkEnd w:id="134"/>
      <w:bookmarkEnd w:id="135"/>
      <w:bookmarkEnd w:id="136"/>
      <w:bookmarkEnd w:id="137"/>
      <w:bookmarkEnd w:id="138"/>
      <w:bookmarkEnd w:id="139"/>
      <w:bookmarkEnd w:id="140"/>
    </w:p>
    <w:p>
      <w:pPr>
        <w:pStyle w:val="29"/>
        <w:ind w:firstLine="562"/>
        <w:rPr>
          <w:rFonts w:hint="default" w:ascii="Times New Roman" w:hAnsi="Times New Roman" w:cs="Times New Roman"/>
        </w:rPr>
      </w:pPr>
      <w:bookmarkStart w:id="141" w:name="_Toc13803"/>
      <w:bookmarkStart w:id="142" w:name="_Toc14227"/>
      <w:bookmarkStart w:id="143" w:name="_Toc23264912"/>
      <w:bookmarkStart w:id="144" w:name="_Toc22452"/>
      <w:bookmarkStart w:id="145" w:name="_Toc30759"/>
      <w:bookmarkStart w:id="146" w:name="_Toc23266427"/>
      <w:bookmarkStart w:id="147" w:name="_Toc15367"/>
      <w:bookmarkStart w:id="148" w:name="_Toc6129"/>
      <w:bookmarkStart w:id="149" w:name="_Toc30682"/>
      <w:bookmarkStart w:id="150" w:name="_Toc2935"/>
      <w:r>
        <w:rPr>
          <w:rFonts w:hint="default" w:ascii="Times New Roman" w:hAnsi="Times New Roman" w:eastAsia="楷体" w:cs="Times New Roman"/>
          <w:sz w:val="32"/>
          <w:szCs w:val="32"/>
        </w:rPr>
        <w:t>（一）绩效评价目的</w:t>
      </w:r>
      <w:bookmarkEnd w:id="141"/>
      <w:bookmarkEnd w:id="142"/>
      <w:bookmarkEnd w:id="143"/>
      <w:bookmarkEnd w:id="144"/>
      <w:bookmarkEnd w:id="145"/>
      <w:bookmarkEnd w:id="146"/>
      <w:bookmarkEnd w:id="147"/>
      <w:bookmarkEnd w:id="148"/>
      <w:bookmarkEnd w:id="149"/>
      <w:bookmarkEnd w:id="150"/>
    </w:p>
    <w:p>
      <w:pPr>
        <w:pStyle w:val="6"/>
        <w:rPr>
          <w:rFonts w:hint="default" w:ascii="Times New Roman" w:hAnsi="Times New Roman" w:cs="Times New Roman"/>
        </w:rPr>
      </w:pPr>
      <w:r>
        <w:rPr>
          <w:rFonts w:hint="default" w:ascii="Times New Roman" w:hAnsi="Times New Roman" w:cs="Times New Roman"/>
        </w:rPr>
        <w:t>本次绩效评价旨在了解</w:t>
      </w:r>
      <w:r>
        <w:rPr>
          <w:rFonts w:hint="eastAsia" w:cs="Times New Roman"/>
          <w:lang w:val="en-US" w:eastAsia="zh-CN"/>
        </w:rPr>
        <w:t>淮滨县</w:t>
      </w:r>
      <w:r>
        <w:rPr>
          <w:rFonts w:hint="eastAsia" w:cs="Times New Roman"/>
          <w:lang w:eastAsia="zh-CN"/>
        </w:rPr>
        <w:t>2020年扶贫通村通组道路配套桥涵建设项目</w:t>
      </w:r>
      <w:r>
        <w:rPr>
          <w:rFonts w:hint="default" w:ascii="Times New Roman" w:hAnsi="Times New Roman" w:cs="Times New Roman"/>
        </w:rPr>
        <w:t>资金投入、项目开展和绩效目标完成情况，检查项目实施各环节的合规性与合理性，总结</w:t>
      </w:r>
      <w:r>
        <w:rPr>
          <w:rFonts w:hint="eastAsia" w:cs="Times New Roman"/>
          <w:lang w:val="en-US" w:eastAsia="zh-CN"/>
        </w:rPr>
        <w:t>淮滨</w:t>
      </w:r>
      <w:r>
        <w:rPr>
          <w:rFonts w:hint="default" w:ascii="Times New Roman" w:hAnsi="Times New Roman" w:cs="Times New Roman"/>
        </w:rPr>
        <w:t>县扶贫工作开展中的成绩与经验，发现项目实施和资金管理中的问题与不足，并提出建设性的改进建议，进一步加强财政专项资金管理，提高财政资金管理及使用的经济性、效益性和效率性。</w:t>
      </w:r>
    </w:p>
    <w:p>
      <w:pPr>
        <w:pStyle w:val="29"/>
        <w:ind w:firstLine="562"/>
        <w:rPr>
          <w:rFonts w:hint="default" w:ascii="Times New Roman" w:hAnsi="Times New Roman" w:eastAsia="楷体" w:cs="Times New Roman"/>
          <w:sz w:val="32"/>
          <w:szCs w:val="32"/>
        </w:rPr>
      </w:pPr>
      <w:bookmarkStart w:id="151" w:name="_Toc23264913"/>
      <w:bookmarkStart w:id="152" w:name="_Toc20915"/>
      <w:bookmarkStart w:id="153" w:name="_Toc20923"/>
      <w:bookmarkStart w:id="154" w:name="_Toc4737"/>
      <w:bookmarkStart w:id="155" w:name="_Toc32432"/>
      <w:bookmarkStart w:id="156" w:name="_Toc30441"/>
      <w:bookmarkStart w:id="157" w:name="_Toc23266428"/>
      <w:bookmarkStart w:id="158" w:name="_Toc21046"/>
      <w:bookmarkStart w:id="159" w:name="_Toc14406"/>
      <w:bookmarkStart w:id="160" w:name="_Toc21406"/>
      <w:r>
        <w:rPr>
          <w:rFonts w:hint="default" w:ascii="Times New Roman" w:hAnsi="Times New Roman" w:eastAsia="楷体" w:cs="Times New Roman"/>
          <w:sz w:val="32"/>
          <w:szCs w:val="32"/>
        </w:rPr>
        <w:t>（二）绩效评价原则与方法</w:t>
      </w:r>
      <w:bookmarkEnd w:id="151"/>
      <w:bookmarkEnd w:id="152"/>
      <w:bookmarkEnd w:id="153"/>
      <w:bookmarkEnd w:id="154"/>
      <w:bookmarkEnd w:id="155"/>
      <w:bookmarkEnd w:id="156"/>
      <w:bookmarkEnd w:id="157"/>
      <w:bookmarkEnd w:id="158"/>
      <w:bookmarkEnd w:id="159"/>
      <w:bookmarkEnd w:id="160"/>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bookmarkStart w:id="161" w:name="_Toc21781507"/>
      <w:r>
        <w:rPr>
          <w:rFonts w:hint="default" w:ascii="Times New Roman" w:hAnsi="Times New Roman" w:eastAsia="仿宋" w:cs="Times New Roman"/>
          <w:kern w:val="0"/>
          <w:sz w:val="32"/>
          <w:szCs w:val="32"/>
          <w:lang w:val="en-US" w:eastAsia="zh-CN" w:bidi="en-US"/>
        </w:rPr>
        <w:t>此次评价</w:t>
      </w:r>
      <w:r>
        <w:rPr>
          <w:rFonts w:hint="default" w:ascii="Times New Roman" w:hAnsi="Times New Roman" w:eastAsia="仿宋" w:cs="Times New Roman"/>
          <w:kern w:val="0"/>
          <w:sz w:val="32"/>
          <w:szCs w:val="32"/>
          <w:lang w:bidi="en-US"/>
        </w:rPr>
        <w:t>坚持定量优先、定性与定量相结合的</w:t>
      </w:r>
      <w:r>
        <w:rPr>
          <w:rFonts w:hint="default" w:ascii="Times New Roman" w:hAnsi="Times New Roman" w:eastAsia="仿宋" w:cs="Times New Roman"/>
          <w:kern w:val="0"/>
          <w:sz w:val="32"/>
          <w:szCs w:val="32"/>
          <w:lang w:val="en-US" w:eastAsia="zh-CN" w:bidi="en-US"/>
        </w:rPr>
        <w:t>评价</w:t>
      </w:r>
      <w:r>
        <w:rPr>
          <w:rFonts w:hint="default" w:ascii="Times New Roman" w:hAnsi="Times New Roman" w:eastAsia="仿宋" w:cs="Times New Roman"/>
          <w:kern w:val="0"/>
          <w:sz w:val="32"/>
          <w:szCs w:val="32"/>
          <w:lang w:bidi="en-US"/>
        </w:rPr>
        <w:t>方式，始终遵循科学规范、全面系统、公正客观、合规合法、绩效相关的基本原则。</w:t>
      </w:r>
      <w:r>
        <w:rPr>
          <w:rFonts w:hint="default" w:ascii="Times New Roman" w:hAnsi="Times New Roman" w:eastAsia="仿宋" w:cs="Times New Roman"/>
          <w:kern w:val="0"/>
          <w:sz w:val="32"/>
          <w:szCs w:val="32"/>
          <w:lang w:val="en-US" w:eastAsia="zh-CN" w:bidi="en-US"/>
        </w:rPr>
        <w:t>在</w:t>
      </w:r>
      <w:r>
        <w:rPr>
          <w:rFonts w:hint="default" w:ascii="Times New Roman" w:hAnsi="Times New Roman" w:eastAsia="仿宋" w:cs="Times New Roman"/>
          <w:kern w:val="0"/>
          <w:sz w:val="32"/>
          <w:szCs w:val="32"/>
          <w:lang w:bidi="en-US"/>
        </w:rPr>
        <w:t>评价实施过程中</w:t>
      </w:r>
      <w:bookmarkEnd w:id="161"/>
      <w:r>
        <w:rPr>
          <w:rFonts w:hint="default" w:ascii="Times New Roman" w:hAnsi="Times New Roman" w:eastAsia="仿宋" w:cs="Times New Roman"/>
          <w:kern w:val="0"/>
          <w:sz w:val="32"/>
          <w:szCs w:val="32"/>
          <w:lang w:bidi="en-US"/>
        </w:rPr>
        <w:t>，将综合使用文献研究法、社会调查法、因素分析法和比较分析法等多种方法</w:t>
      </w:r>
      <w:r>
        <w:rPr>
          <w:rFonts w:hint="default" w:ascii="Times New Roman" w:hAnsi="Times New Roman" w:eastAsia="仿宋" w:cs="Times New Roman"/>
          <w:kern w:val="0"/>
          <w:sz w:val="32"/>
          <w:szCs w:val="32"/>
          <w:lang w:eastAsia="zh-CN" w:bidi="en-US"/>
        </w:rPr>
        <w:t>，</w:t>
      </w:r>
      <w:r>
        <w:rPr>
          <w:rFonts w:hint="default" w:ascii="Times New Roman" w:hAnsi="Times New Roman" w:eastAsia="仿宋" w:cs="Times New Roman"/>
          <w:kern w:val="0"/>
          <w:sz w:val="32"/>
          <w:szCs w:val="32"/>
          <w:lang w:val="en-US" w:eastAsia="zh-CN" w:bidi="en-US"/>
        </w:rPr>
        <w:t>提高评价工作的科学性与规范性。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r>
        <w:rPr>
          <w:rFonts w:hint="default" w:ascii="Times New Roman" w:hAnsi="Times New Roman" w:eastAsia="仿宋" w:cs="Times New Roman"/>
          <w:kern w:val="0"/>
          <w:sz w:val="32"/>
          <w:szCs w:val="32"/>
          <w:lang w:val="en-US" w:eastAsia="zh-CN" w:bidi="en-US"/>
        </w:rPr>
        <w:t>社会调查法主要通过问卷调研、访谈等形式实现，比较法则是通过对绩效目标与实施效果、历史与当期情况的比较，综合分析绩效目标实现程度，同时通过文献资料搜索、多因素分析来支撑评价的逻辑紧密性与客观性。</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162" w:name="_Toc22491"/>
      <w:bookmarkStart w:id="163" w:name="_Toc19385"/>
      <w:bookmarkStart w:id="164" w:name="_Toc8101"/>
      <w:bookmarkStart w:id="165" w:name="_Toc16394"/>
      <w:bookmarkStart w:id="166" w:name="_Toc23266429"/>
      <w:bookmarkStart w:id="167" w:name="_Toc23264914"/>
      <w:bookmarkStart w:id="168" w:name="_Toc2192"/>
      <w:bookmarkStart w:id="169" w:name="_Toc7029"/>
      <w:bookmarkStart w:id="170" w:name="_Toc7301"/>
      <w:bookmarkStart w:id="171" w:name="_Toc18569"/>
      <w:r>
        <w:rPr>
          <w:rFonts w:hint="default" w:ascii="Times New Roman" w:hAnsi="Times New Roman" w:cs="Times New Roman"/>
        </w:rPr>
        <w:t>（三）绩效评价工作过程</w:t>
      </w:r>
      <w:bookmarkEnd w:id="162"/>
      <w:bookmarkEnd w:id="163"/>
      <w:bookmarkEnd w:id="164"/>
      <w:bookmarkEnd w:id="165"/>
      <w:bookmarkEnd w:id="166"/>
      <w:bookmarkEnd w:id="167"/>
      <w:bookmarkEnd w:id="168"/>
      <w:bookmarkEnd w:id="169"/>
      <w:bookmarkEnd w:id="170"/>
      <w:bookmarkEnd w:id="171"/>
    </w:p>
    <w:p>
      <w:pPr>
        <w:pStyle w:val="52"/>
        <w:bidi w:val="0"/>
        <w:rPr>
          <w:rFonts w:hint="default" w:ascii="Times New Roman" w:hAnsi="Times New Roman" w:cs="Times New Roman"/>
          <w:b/>
          <w:bCs/>
          <w:lang w:eastAsia="zh-CN"/>
        </w:rPr>
      </w:pPr>
      <w:bookmarkStart w:id="172" w:name="_Toc26277"/>
      <w:bookmarkStart w:id="173" w:name="_Toc15542"/>
      <w:r>
        <w:rPr>
          <w:rFonts w:hint="default" w:ascii="Times New Roman" w:hAnsi="Times New Roman" w:cs="Times New Roman"/>
          <w:b/>
          <w:bCs/>
          <w:lang w:val="en-US" w:eastAsia="zh-CN"/>
        </w:rPr>
        <w:t>1.</w:t>
      </w:r>
      <w:r>
        <w:rPr>
          <w:rFonts w:hint="default" w:ascii="Times New Roman" w:hAnsi="Times New Roman" w:cs="Times New Roman"/>
          <w:b/>
          <w:bCs/>
        </w:rPr>
        <w:t>前期工作阶段</w:t>
      </w:r>
      <w:bookmarkEnd w:id="172"/>
      <w:bookmarkEnd w:id="173"/>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1</w:t>
      </w:r>
      <w:r>
        <w:rPr>
          <w:rFonts w:hint="default" w:ascii="Times New Roman" w:hAnsi="Times New Roman" w:cs="Times New Roman"/>
          <w:b/>
          <w:bCs/>
          <w:lang w:val="en-US" w:eastAsia="zh-CN"/>
        </w:rPr>
        <w:t>日-1</w:t>
      </w:r>
      <w:r>
        <w:rPr>
          <w:rFonts w:hint="eastAsia" w:cs="Times New Roman"/>
          <w:b/>
          <w:bCs/>
          <w:lang w:val="en-US" w:eastAsia="zh-CN"/>
        </w:rPr>
        <w:t>1</w:t>
      </w:r>
      <w:r>
        <w:rPr>
          <w:rFonts w:hint="default" w:ascii="Times New Roman" w:hAnsi="Times New Roman" w:cs="Times New Roman"/>
          <w:b/>
          <w:bCs/>
          <w:lang w:val="en-US" w:eastAsia="zh-CN"/>
        </w:rPr>
        <w:t>月2</w:t>
      </w:r>
      <w:r>
        <w:rPr>
          <w:rFonts w:hint="eastAsia" w:cs="Times New Roman"/>
          <w:b/>
          <w:bCs/>
          <w:lang w:val="en-US" w:eastAsia="zh-CN"/>
        </w:rPr>
        <w:t>0</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项目前期</w:t>
      </w:r>
      <w:bookmarkStart w:id="174" w:name="_Hlk533506556"/>
      <w:r>
        <w:rPr>
          <w:rFonts w:hint="default" w:ascii="Times New Roman" w:hAnsi="Times New Roman" w:cs="Times New Roman"/>
        </w:rPr>
        <w:t>准备。成立绩效评价小组，搜集项目资料，全面了解项目基本情况</w:t>
      </w:r>
      <w:bookmarkEnd w:id="174"/>
      <w:r>
        <w:rPr>
          <w:rFonts w:hint="default" w:ascii="Times New Roman" w:hAnsi="Times New Roman" w:cs="Times New Roman"/>
        </w:rPr>
        <w:t>。</w:t>
      </w:r>
    </w:p>
    <w:p>
      <w:pPr>
        <w:pStyle w:val="6"/>
        <w:rPr>
          <w:rFonts w:hint="default" w:ascii="Times New Roman" w:hAnsi="Times New Roman" w:eastAsia="仿宋_GB2312"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工作方案制定及论证。</w:t>
      </w:r>
      <w:bookmarkStart w:id="175" w:name="_Hlk533501537"/>
      <w:r>
        <w:rPr>
          <w:rFonts w:hint="default" w:ascii="Times New Roman" w:hAnsi="Times New Roman" w:cs="Times New Roman"/>
        </w:rPr>
        <w:t>根据前期收集到的项目资料，</w:t>
      </w:r>
      <w:r>
        <w:rPr>
          <w:rFonts w:hint="default" w:ascii="Times New Roman" w:hAnsi="Times New Roman" w:cs="Times New Roman"/>
          <w:lang w:val="en-US" w:eastAsia="zh-CN"/>
        </w:rPr>
        <w:t>结合</w:t>
      </w:r>
      <w:r>
        <w:rPr>
          <w:rFonts w:hint="default" w:ascii="Times New Roman" w:hAnsi="Times New Roman" w:cs="Times New Roman"/>
        </w:rPr>
        <w:t>项目特点</w:t>
      </w:r>
      <w:r>
        <w:rPr>
          <w:rFonts w:hint="default" w:ascii="Times New Roman" w:hAnsi="Times New Roman" w:cs="Times New Roman"/>
          <w:lang w:eastAsia="zh-CN"/>
        </w:rPr>
        <w:t>，</w:t>
      </w:r>
      <w:r>
        <w:rPr>
          <w:rFonts w:hint="default" w:ascii="Times New Roman" w:hAnsi="Times New Roman" w:cs="Times New Roman"/>
        </w:rPr>
        <w:t>有针对性</w:t>
      </w:r>
      <w:r>
        <w:rPr>
          <w:rFonts w:hint="default" w:ascii="Times New Roman" w:hAnsi="Times New Roman" w:cs="Times New Roman"/>
          <w:lang w:val="en-US" w:eastAsia="zh-CN"/>
        </w:rPr>
        <w:t>地</w:t>
      </w:r>
      <w:r>
        <w:rPr>
          <w:rFonts w:hint="default" w:ascii="Times New Roman" w:hAnsi="Times New Roman" w:cs="Times New Roman"/>
        </w:rPr>
        <w:t>设计评价指标体系、基础数据</w:t>
      </w:r>
      <w:r>
        <w:rPr>
          <w:rFonts w:hint="default" w:ascii="Times New Roman" w:hAnsi="Times New Roman" w:cs="Times New Roman"/>
          <w:lang w:val="en-US" w:eastAsia="zh-CN"/>
        </w:rPr>
        <w:t>表</w:t>
      </w:r>
      <w:r>
        <w:rPr>
          <w:rFonts w:hint="default" w:ascii="Times New Roman" w:hAnsi="Times New Roman" w:cs="Times New Roman"/>
        </w:rPr>
        <w:t>、</w:t>
      </w:r>
      <w:r>
        <w:rPr>
          <w:rFonts w:hint="default" w:ascii="Times New Roman" w:hAnsi="Times New Roman" w:cs="Times New Roman"/>
          <w:lang w:val="en-US" w:eastAsia="zh-CN"/>
        </w:rPr>
        <w:t>资料清单</w:t>
      </w:r>
      <w:r>
        <w:rPr>
          <w:rFonts w:hint="default" w:ascii="Times New Roman" w:hAnsi="Times New Roman" w:cs="Times New Roman"/>
        </w:rPr>
        <w:t>等，确定科学、合理的评价方法和评价标准，设计绩效评价工作整体时间表，形成项目工作方案。</w:t>
      </w:r>
      <w:bookmarkEnd w:id="175"/>
    </w:p>
    <w:p>
      <w:pPr>
        <w:pStyle w:val="52"/>
        <w:bidi w:val="0"/>
        <w:rPr>
          <w:rFonts w:hint="default" w:ascii="Times New Roman" w:hAnsi="Times New Roman" w:cs="Times New Roman"/>
          <w:b/>
          <w:bCs/>
          <w:lang w:eastAsia="zh-CN"/>
        </w:rPr>
      </w:pPr>
      <w:bookmarkStart w:id="176" w:name="_Toc30558"/>
      <w:bookmarkStart w:id="177" w:name="_Toc2077"/>
      <w:r>
        <w:rPr>
          <w:rFonts w:hint="default" w:ascii="Times New Roman" w:hAnsi="Times New Roman" w:cs="Times New Roman"/>
          <w:b/>
          <w:bCs/>
          <w:lang w:val="en-US" w:eastAsia="zh-CN"/>
        </w:rPr>
        <w:t>2.</w:t>
      </w:r>
      <w:r>
        <w:rPr>
          <w:rFonts w:hint="default" w:ascii="Times New Roman" w:hAnsi="Times New Roman" w:cs="Times New Roman"/>
          <w:b/>
          <w:bCs/>
        </w:rPr>
        <w:t>评价实施阶段</w:t>
      </w:r>
      <w:bookmarkEnd w:id="176"/>
      <w:bookmarkEnd w:id="177"/>
      <w:r>
        <w:rPr>
          <w:rFonts w:hint="default" w:ascii="Times New Roman" w:hAnsi="Times New Roman" w:cs="Times New Roman"/>
          <w:b/>
          <w:bCs/>
          <w:lang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21</w:t>
      </w:r>
      <w:r>
        <w:rPr>
          <w:rFonts w:hint="default" w:ascii="Times New Roman" w:hAnsi="Times New Roman" w:cs="Times New Roman"/>
          <w:b/>
          <w:bCs/>
          <w:lang w:val="en-US" w:eastAsia="zh-CN"/>
        </w:rPr>
        <w:t>日-</w:t>
      </w:r>
      <w:r>
        <w:rPr>
          <w:rFonts w:hint="eastAsia" w:cs="Times New Roman"/>
          <w:b/>
          <w:bCs/>
          <w:lang w:val="en-US" w:eastAsia="zh-CN"/>
        </w:rPr>
        <w:t>11</w:t>
      </w:r>
      <w:r>
        <w:rPr>
          <w:rFonts w:hint="default" w:ascii="Times New Roman" w:hAnsi="Times New Roman" w:cs="Times New Roman"/>
          <w:b/>
          <w:bCs/>
          <w:lang w:val="en-US" w:eastAsia="zh-CN"/>
        </w:rPr>
        <w:t>月</w:t>
      </w:r>
      <w:r>
        <w:rPr>
          <w:rFonts w:hint="eastAsia" w:cs="Times New Roman"/>
          <w:b/>
          <w:bCs/>
          <w:lang w:val="en-US" w:eastAsia="zh-CN"/>
        </w:rPr>
        <w:t>26</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eastAsia="仿宋_GB2312" w:cs="Times New Roman"/>
          <w:lang w:val="en-US" w:eastAsia="zh-CN"/>
        </w:rPr>
      </w:pPr>
      <w:bookmarkStart w:id="178" w:name="_Hlk533501604"/>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开展社会调研及数据采集。与项目主管单位等相关单位协调配合，完成</w:t>
      </w:r>
      <w:r>
        <w:rPr>
          <w:rFonts w:hint="default" w:ascii="Times New Roman" w:hAnsi="Times New Roman" w:cs="Times New Roman"/>
          <w:lang w:val="en-US" w:eastAsia="zh-CN"/>
        </w:rPr>
        <w:t>访谈调研</w:t>
      </w:r>
      <w:r>
        <w:rPr>
          <w:rFonts w:hint="default" w:ascii="Times New Roman" w:hAnsi="Times New Roman" w:cs="Times New Roman"/>
        </w:rPr>
        <w:t>、实地核查、</w:t>
      </w:r>
      <w:r>
        <w:rPr>
          <w:rFonts w:hint="default" w:ascii="Times New Roman" w:hAnsi="Times New Roman" w:cs="Times New Roman"/>
          <w:lang w:val="en-US" w:eastAsia="zh-CN"/>
        </w:rPr>
        <w:t>满意度</w:t>
      </w:r>
      <w:r>
        <w:rPr>
          <w:rFonts w:hint="default" w:ascii="Times New Roman" w:hAnsi="Times New Roman" w:cs="Times New Roman"/>
        </w:rPr>
        <w:t>调研等。通过</w:t>
      </w:r>
      <w:r>
        <w:rPr>
          <w:rFonts w:hint="default" w:ascii="Times New Roman" w:hAnsi="Times New Roman" w:cs="Times New Roman"/>
          <w:lang w:val="en-US" w:eastAsia="zh-CN"/>
        </w:rPr>
        <w:t>对</w:t>
      </w:r>
      <w:r>
        <w:rPr>
          <w:rFonts w:hint="eastAsia" w:cs="Times New Roman"/>
          <w:lang w:val="en-US" w:eastAsia="zh-CN"/>
        </w:rPr>
        <w:t>淮滨县</w:t>
      </w:r>
      <w:r>
        <w:rPr>
          <w:rFonts w:hint="default" w:ascii="Times New Roman" w:hAnsi="Times New Roman" w:cs="Times New Roman"/>
        </w:rPr>
        <w:t>财政局业务</w:t>
      </w:r>
      <w:r>
        <w:rPr>
          <w:rFonts w:hint="eastAsia" w:cs="Times New Roman"/>
          <w:lang w:val="en-US" w:eastAsia="zh-CN"/>
        </w:rPr>
        <w:t>股</w:t>
      </w:r>
      <w:bookmarkStart w:id="356" w:name="_GoBack"/>
      <w:bookmarkEnd w:id="356"/>
      <w:r>
        <w:rPr>
          <w:rFonts w:hint="default" w:ascii="Times New Roman" w:hAnsi="Times New Roman" w:cs="Times New Roman"/>
        </w:rPr>
        <w:t>室、</w:t>
      </w:r>
      <w:r>
        <w:rPr>
          <w:rFonts w:hint="eastAsia" w:cs="Times New Roman"/>
          <w:lang w:val="en-US" w:eastAsia="zh-CN"/>
        </w:rPr>
        <w:t>淮滨县交通运输局</w:t>
      </w:r>
      <w:r>
        <w:rPr>
          <w:rFonts w:hint="default" w:ascii="Times New Roman" w:hAnsi="Times New Roman" w:cs="Times New Roman"/>
        </w:rPr>
        <w:t>进行座谈，深入了解项目建设实施情况</w:t>
      </w:r>
      <w:r>
        <w:rPr>
          <w:rFonts w:hint="default" w:ascii="Times New Roman" w:hAnsi="Times New Roman" w:cs="Times New Roman"/>
          <w:lang w:val="en-US" w:eastAsia="zh-CN"/>
        </w:rPr>
        <w:t>，工作中遇到的困难及下一步工作计划等问题；</w:t>
      </w:r>
      <w:r>
        <w:rPr>
          <w:rFonts w:hint="default" w:ascii="Times New Roman" w:hAnsi="Times New Roman" w:cs="Times New Roman"/>
          <w:color w:val="000000" w:themeColor="text1"/>
          <w:lang w:val="en-US" w:eastAsia="zh-CN"/>
          <w14:textFill>
            <w14:solidFill>
              <w14:schemeClr w14:val="tx1"/>
            </w14:solidFill>
          </w14:textFill>
        </w:rPr>
        <w:t>通过实地查勘项目实施、建设、维护、公示等情况</w:t>
      </w:r>
      <w:r>
        <w:rPr>
          <w:rFonts w:hint="default" w:ascii="Times New Roman" w:hAnsi="Times New Roman" w:cs="Times New Roman"/>
          <w:lang w:val="en-US" w:eastAsia="zh-CN"/>
        </w:rPr>
        <w:t>；通过</w:t>
      </w:r>
      <w:r>
        <w:rPr>
          <w:rFonts w:hint="default" w:ascii="Times New Roman" w:hAnsi="Times New Roman" w:cs="Times New Roman"/>
        </w:rPr>
        <w:t>基础表等形式进行数据采集，对绩效评价项目内容进行分析判断，主要包括项目建设情况、资金使用情况、项目管理制度制定及执行情况、项目绩效达成情况等内容，并对数据进行复核。</w:t>
      </w:r>
      <w:bookmarkEnd w:id="178"/>
    </w:p>
    <w:p>
      <w:pPr>
        <w:pStyle w:val="6"/>
        <w:rPr>
          <w:rFonts w:hint="default" w:ascii="Times New Roman" w:hAnsi="Times New Roman" w:cs="Times New Roman"/>
        </w:rPr>
      </w:pPr>
      <w:bookmarkStart w:id="179" w:name="_Hlk533501639"/>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数据整理和分析。针对采集数据进行整理、剔除错误数据，进行数据分析，回答关键评价问题，进行原因解释。</w:t>
      </w:r>
      <w:bookmarkEnd w:id="179"/>
    </w:p>
    <w:p>
      <w:pPr>
        <w:pStyle w:val="52"/>
        <w:bidi w:val="0"/>
        <w:rPr>
          <w:rFonts w:hint="default" w:ascii="Times New Roman" w:hAnsi="Times New Roman" w:cs="Times New Roman"/>
          <w:b/>
          <w:bCs/>
          <w:lang w:eastAsia="zh-CN"/>
        </w:rPr>
      </w:pPr>
      <w:bookmarkStart w:id="180" w:name="_Toc16908"/>
      <w:bookmarkStart w:id="181" w:name="_Toc3927"/>
      <w:r>
        <w:rPr>
          <w:rFonts w:hint="default" w:ascii="Times New Roman" w:hAnsi="Times New Roman" w:cs="Times New Roman"/>
          <w:b/>
          <w:bCs/>
          <w:lang w:val="en-US" w:eastAsia="zh-CN"/>
        </w:rPr>
        <w:t>3.</w:t>
      </w:r>
      <w:r>
        <w:rPr>
          <w:rFonts w:hint="default" w:ascii="Times New Roman" w:hAnsi="Times New Roman" w:cs="Times New Roman"/>
          <w:b/>
          <w:bCs/>
        </w:rPr>
        <w:t>报告撰写阶段</w:t>
      </w:r>
      <w:bookmarkEnd w:id="180"/>
      <w:bookmarkEnd w:id="181"/>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w:t>
      </w:r>
      <w:r>
        <w:rPr>
          <w:rFonts w:hint="default" w:ascii="Times New Roman" w:hAnsi="Times New Roman" w:cs="Times New Roman"/>
          <w:b/>
          <w:bCs/>
          <w:lang w:val="en-US" w:eastAsia="zh-CN"/>
        </w:rPr>
        <w:t>7日-</w:t>
      </w:r>
      <w:r>
        <w:rPr>
          <w:rFonts w:hint="eastAsia" w:cs="Times New Roman"/>
          <w:b/>
          <w:bCs/>
          <w:lang w:val="en-US" w:eastAsia="zh-CN"/>
        </w:rPr>
        <w:t>2021年12</w:t>
      </w:r>
      <w:r>
        <w:rPr>
          <w:rFonts w:hint="default" w:ascii="Times New Roman" w:hAnsi="Times New Roman" w:cs="Times New Roman"/>
          <w:b/>
          <w:bCs/>
          <w:lang w:val="en-US" w:eastAsia="zh-CN"/>
        </w:rPr>
        <w:t>月7日</w:t>
      </w:r>
      <w:r>
        <w:rPr>
          <w:rFonts w:hint="default" w:ascii="Times New Roman" w:hAnsi="Times New Roman" w:cs="Times New Roman"/>
          <w:b/>
          <w:bCs/>
          <w:lang w:eastAsia="zh-CN"/>
        </w:rPr>
        <w:t>）</w:t>
      </w:r>
    </w:p>
    <w:p>
      <w:pPr>
        <w:pStyle w:val="6"/>
        <w:rPr>
          <w:rFonts w:hint="default" w:ascii="Times New Roman" w:hAnsi="Times New Roman" w:cs="Times New Roman"/>
        </w:rPr>
      </w:pPr>
      <w:bookmarkStart w:id="182" w:name="_Hlk533501753"/>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评价报告撰写。依据制订的评价标准和打分规则，对项目进行量化打分。依据评价结论和扶贫工作取得的成效，撰写绩效评价报告，总结经验、分析不足，并针对存在问题提出改进建议。</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评价报告论证与修改。撰写绩效评价报告，提交公司内部质控，由专家针对评价报告的全面性、简明性等提出独立、客观、公正的评审意见</w:t>
      </w:r>
      <w:r>
        <w:rPr>
          <w:rFonts w:hint="default" w:ascii="Times New Roman" w:hAnsi="Times New Roman" w:cs="Times New Roman"/>
          <w:lang w:eastAsia="zh-CN"/>
        </w:rPr>
        <w:t>，</w:t>
      </w:r>
      <w:r>
        <w:rPr>
          <w:rFonts w:hint="default" w:ascii="Times New Roman" w:hAnsi="Times New Roman" w:cs="Times New Roman"/>
        </w:rPr>
        <w:t>评价小组根据质控意见对报告进行修改完善，形成初稿提交。</w:t>
      </w:r>
      <w:bookmarkEnd w:id="182"/>
    </w:p>
    <w:p>
      <w:pPr>
        <w:pStyle w:val="4"/>
        <w:ind w:firstLine="643"/>
        <w:rPr>
          <w:rFonts w:hint="default" w:ascii="Times New Roman" w:hAnsi="Times New Roman" w:cs="Times New Roman"/>
        </w:rPr>
      </w:pPr>
      <w:bookmarkStart w:id="183" w:name="_Toc23266434"/>
      <w:bookmarkStart w:id="184" w:name="_Toc6183"/>
      <w:bookmarkStart w:id="185" w:name="_Toc22950"/>
      <w:bookmarkStart w:id="186" w:name="_Toc14320"/>
      <w:bookmarkStart w:id="187" w:name="_Toc28913"/>
      <w:bookmarkStart w:id="188" w:name="_Toc1286"/>
      <w:bookmarkStart w:id="189" w:name="_Toc28641"/>
      <w:bookmarkStart w:id="190" w:name="_Toc1326"/>
      <w:bookmarkStart w:id="191" w:name="_Toc23337"/>
      <w:bookmarkStart w:id="192" w:name="_Toc23264919"/>
      <w:bookmarkStart w:id="193" w:name="_Toc490"/>
      <w:bookmarkStart w:id="194" w:name="_Toc22528"/>
      <w:r>
        <w:rPr>
          <w:rFonts w:hint="default" w:ascii="Times New Roman" w:hAnsi="Times New Roman" w:cs="Times New Roman"/>
        </w:rPr>
        <w:t>三、综合评价过程及指标分析</w:t>
      </w:r>
      <w:bookmarkEnd w:id="183"/>
      <w:bookmarkEnd w:id="184"/>
      <w:bookmarkEnd w:id="185"/>
      <w:bookmarkEnd w:id="186"/>
      <w:bookmarkEnd w:id="187"/>
      <w:bookmarkEnd w:id="188"/>
      <w:bookmarkEnd w:id="189"/>
      <w:bookmarkEnd w:id="190"/>
      <w:bookmarkEnd w:id="191"/>
      <w:bookmarkEnd w:id="192"/>
      <w:bookmarkEnd w:id="193"/>
      <w:bookmarkEnd w:id="194"/>
    </w:p>
    <w:p>
      <w:pPr>
        <w:pStyle w:val="29"/>
        <w:ind w:firstLine="562"/>
        <w:rPr>
          <w:rFonts w:hint="default" w:ascii="Times New Roman" w:hAnsi="Times New Roman" w:eastAsia="楷体" w:cs="Times New Roman"/>
          <w:sz w:val="32"/>
          <w:szCs w:val="32"/>
        </w:rPr>
      </w:pPr>
      <w:bookmarkStart w:id="195" w:name="_Toc6750"/>
      <w:bookmarkStart w:id="196" w:name="_Toc10864"/>
      <w:bookmarkStart w:id="197" w:name="_Toc7164"/>
      <w:bookmarkStart w:id="198" w:name="_Toc23264920"/>
      <w:bookmarkStart w:id="199" w:name="_Toc4632"/>
      <w:bookmarkStart w:id="200" w:name="_Toc31218"/>
      <w:bookmarkStart w:id="201" w:name="_Toc15113"/>
      <w:bookmarkStart w:id="202" w:name="_Toc11888"/>
      <w:bookmarkStart w:id="203" w:name="_Toc23266435"/>
      <w:bookmarkStart w:id="204" w:name="_Toc16902"/>
      <w:r>
        <w:rPr>
          <w:rFonts w:hint="default" w:ascii="Times New Roman" w:hAnsi="Times New Roman" w:eastAsia="楷体" w:cs="Times New Roman"/>
          <w:sz w:val="32"/>
          <w:szCs w:val="32"/>
        </w:rPr>
        <w:t>（一）总体评价结论</w:t>
      </w:r>
      <w:bookmarkEnd w:id="195"/>
      <w:bookmarkEnd w:id="196"/>
      <w:bookmarkEnd w:id="197"/>
      <w:bookmarkEnd w:id="198"/>
      <w:bookmarkEnd w:id="199"/>
      <w:bookmarkEnd w:id="200"/>
      <w:bookmarkEnd w:id="201"/>
      <w:bookmarkEnd w:id="202"/>
      <w:bookmarkEnd w:id="203"/>
      <w:bookmarkEnd w:id="204"/>
    </w:p>
    <w:p>
      <w:pPr>
        <w:pStyle w:val="52"/>
        <w:bidi w:val="0"/>
        <w:rPr>
          <w:rFonts w:hint="default" w:ascii="Times New Roman" w:hAnsi="Times New Roman" w:cs="Times New Roman"/>
          <w:b/>
          <w:bCs/>
        </w:rPr>
      </w:pPr>
      <w:bookmarkStart w:id="205" w:name="_Toc23266436"/>
      <w:bookmarkStart w:id="206" w:name="_Toc7425"/>
      <w:bookmarkStart w:id="207" w:name="_Toc11620"/>
      <w:bookmarkStart w:id="208" w:name="_Toc11840"/>
      <w:bookmarkStart w:id="209" w:name="_Toc14953"/>
      <w:bookmarkStart w:id="210" w:name="_Toc7336"/>
      <w:bookmarkStart w:id="211" w:name="_Toc11148"/>
      <w:bookmarkStart w:id="212" w:name="_Toc23264921"/>
      <w:bookmarkStart w:id="213" w:name="_Toc23267047"/>
      <w:bookmarkStart w:id="214" w:name="_Toc5133"/>
      <w:r>
        <w:rPr>
          <w:rFonts w:hint="default" w:ascii="Times New Roman" w:hAnsi="Times New Roman" w:cs="Times New Roman"/>
          <w:b/>
          <w:bCs/>
        </w:rPr>
        <w:t>1.评分结果</w:t>
      </w:r>
      <w:bookmarkEnd w:id="205"/>
      <w:bookmarkEnd w:id="206"/>
      <w:bookmarkEnd w:id="207"/>
      <w:bookmarkEnd w:id="208"/>
      <w:bookmarkEnd w:id="209"/>
      <w:bookmarkEnd w:id="210"/>
      <w:bookmarkEnd w:id="211"/>
      <w:bookmarkEnd w:id="212"/>
      <w:bookmarkEnd w:id="213"/>
      <w:bookmarkEnd w:id="214"/>
    </w:p>
    <w:p>
      <w:pPr>
        <w:pStyle w:val="6"/>
        <w:rPr>
          <w:rFonts w:hint="default" w:ascii="Times New Roman" w:hAnsi="Times New Roman" w:cs="Times New Roman"/>
        </w:rPr>
      </w:pPr>
      <w:r>
        <w:rPr>
          <w:rFonts w:hint="default" w:ascii="Times New Roman" w:hAnsi="Times New Roman" w:cs="Times New Roman"/>
        </w:rPr>
        <w:t>运用由评价组</w:t>
      </w:r>
      <w:r>
        <w:rPr>
          <w:rFonts w:hint="default" w:ascii="Times New Roman" w:hAnsi="Times New Roman" w:cs="Times New Roman"/>
          <w:lang w:val="en-US" w:eastAsia="zh-CN"/>
        </w:rPr>
        <w:t>设计</w:t>
      </w:r>
      <w:r>
        <w:rPr>
          <w:rFonts w:hint="default" w:ascii="Times New Roman" w:hAnsi="Times New Roman" w:cs="Times New Roman"/>
        </w:rPr>
        <w:t>的指标体系及评分标准，通过数据采集、访谈、问卷等形式对</w:t>
      </w:r>
      <w:r>
        <w:rPr>
          <w:rFonts w:hint="eastAsia" w:cs="Times New Roman"/>
          <w:lang w:eastAsia="zh-CN"/>
        </w:rPr>
        <w:t>淮滨</w:t>
      </w:r>
      <w:r>
        <w:rPr>
          <w:rFonts w:hint="default" w:ascii="Times New Roman" w:hAnsi="Times New Roman" w:cs="Times New Roman"/>
          <w:lang w:eastAsia="zh-CN"/>
        </w:rPr>
        <w:t>县</w:t>
      </w:r>
      <w:r>
        <w:rPr>
          <w:rFonts w:hint="eastAsia" w:cs="Times New Roman"/>
          <w:lang w:eastAsia="zh-CN"/>
        </w:rPr>
        <w:t>2020年扶贫通村通组道路配套桥涵建设项目</w:t>
      </w:r>
      <w:r>
        <w:rPr>
          <w:rFonts w:hint="default" w:ascii="Times New Roman" w:hAnsi="Times New Roman" w:cs="Times New Roman"/>
        </w:rPr>
        <w:t>进行客观评价，最终评价得分为</w:t>
      </w:r>
      <w:r>
        <w:rPr>
          <w:rFonts w:hint="default" w:ascii="Times New Roman" w:hAnsi="Times New Roman" w:cs="Times New Roman"/>
          <w:highlight w:val="none"/>
          <w:lang w:val="en-US" w:eastAsia="zh-CN"/>
        </w:rPr>
        <w:t>9</w:t>
      </w:r>
      <w:r>
        <w:rPr>
          <w:rFonts w:hint="eastAsia" w:cs="Times New Roman"/>
          <w:highlight w:val="none"/>
          <w:lang w:val="en-US" w:eastAsia="zh-CN"/>
        </w:rPr>
        <w:t>3</w:t>
      </w:r>
      <w:r>
        <w:rPr>
          <w:rFonts w:hint="default" w:ascii="Times New Roman" w:hAnsi="Times New Roman" w:cs="Times New Roman"/>
          <w:highlight w:val="none"/>
          <w:lang w:val="en-US" w:eastAsia="zh-CN"/>
        </w:rPr>
        <w:t>.</w:t>
      </w:r>
      <w:r>
        <w:rPr>
          <w:rFonts w:hint="eastAsia" w:cs="Times New Roman"/>
          <w:highlight w:val="none"/>
          <w:lang w:val="en-US" w:eastAsia="zh-CN"/>
        </w:rPr>
        <w:t>90</w:t>
      </w:r>
      <w:r>
        <w:rPr>
          <w:rFonts w:hint="default" w:ascii="Times New Roman" w:hAnsi="Times New Roman" w:cs="Times New Roman"/>
        </w:rPr>
        <w:t>分</w:t>
      </w:r>
      <w:r>
        <w:rPr>
          <w:rFonts w:hint="default" w:ascii="Times New Roman" w:hAnsi="Times New Roman" w:cs="Times New Roman"/>
          <w:lang w:eastAsia="zh-CN"/>
        </w:rPr>
        <w:t>，</w:t>
      </w:r>
      <w:r>
        <w:rPr>
          <w:rFonts w:hint="default" w:ascii="Times New Roman" w:hAnsi="Times New Roman" w:cs="Times New Roman"/>
        </w:rPr>
        <w:t>绩效评价级别为</w:t>
      </w:r>
      <w:r>
        <w:rPr>
          <w:rFonts w:hint="eastAsia" w:cs="Times New Roman"/>
          <w:lang w:eastAsia="zh-CN"/>
        </w:rPr>
        <w:t>“</w:t>
      </w:r>
      <w:r>
        <w:rPr>
          <w:rFonts w:hint="eastAsia" w:cs="Times New Roman"/>
          <w:lang w:val="en-US" w:eastAsia="zh-CN"/>
        </w:rPr>
        <w:t>优</w:t>
      </w:r>
      <w:r>
        <w:rPr>
          <w:rFonts w:hint="eastAsia" w:cs="Times New Roman"/>
          <w:lang w:eastAsia="zh-CN"/>
        </w:rPr>
        <w:t>”</w:t>
      </w:r>
      <w:r>
        <w:rPr>
          <w:rStyle w:val="25"/>
          <w:rFonts w:hint="default" w:ascii="Times New Roman" w:hAnsi="Times New Roman" w:cs="Times New Roman"/>
        </w:rPr>
        <w:footnoteReference w:id="0"/>
      </w:r>
      <w:r>
        <w:rPr>
          <w:rFonts w:hint="default" w:ascii="Times New Roman" w:hAnsi="Times New Roman" w:cs="Times New Roman"/>
        </w:rPr>
        <w:t>。具体得分情况见表3-1：</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cs="Times New Roman"/>
          <w:sz w:val="21"/>
          <w:szCs w:val="21"/>
        </w:rPr>
      </w:pPr>
      <w:r>
        <w:rPr>
          <w:rFonts w:hint="default" w:ascii="Times New Roman" w:hAnsi="Times New Roman" w:eastAsia="仿宋_GB2312" w:cs="Times New Roman"/>
          <w:b/>
          <w:bCs w:val="0"/>
          <w:sz w:val="24"/>
          <w:szCs w:val="24"/>
        </w:rPr>
        <w:t xml:space="preserve">表3-1 </w:t>
      </w:r>
      <w:r>
        <w:rPr>
          <w:rFonts w:hint="eastAsia" w:cs="Times New Roman"/>
          <w:b/>
          <w:bCs w:val="0"/>
          <w:sz w:val="24"/>
          <w:szCs w:val="24"/>
          <w:lang w:val="en-US" w:eastAsia="zh-CN"/>
        </w:rPr>
        <w:t>淮滨</w:t>
      </w:r>
      <w:r>
        <w:rPr>
          <w:rFonts w:hint="default" w:ascii="Times New Roman" w:hAnsi="Times New Roman" w:eastAsia="仿宋_GB2312" w:cs="Times New Roman"/>
          <w:b/>
          <w:bCs w:val="0"/>
          <w:sz w:val="24"/>
          <w:szCs w:val="24"/>
          <w:lang w:val="en-US" w:eastAsia="zh-CN"/>
        </w:rPr>
        <w:t>县</w:t>
      </w:r>
      <w:r>
        <w:rPr>
          <w:rFonts w:hint="eastAsia" w:cs="Times New Roman"/>
          <w:b/>
          <w:bCs w:val="0"/>
          <w:sz w:val="24"/>
          <w:szCs w:val="24"/>
          <w:lang w:val="en-US" w:eastAsia="zh-CN"/>
        </w:rPr>
        <w:t>2020年扶贫通村通组道路配套桥涵建设项目</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215" w:name="_Toc23266437"/>
            <w:bookmarkStart w:id="216" w:name="_Toc23264922"/>
            <w:bookmarkStart w:id="217" w:name="_Toc23267048"/>
            <w:bookmarkStart w:id="218" w:name="_Toc13038"/>
            <w:bookmarkStart w:id="219" w:name="_Toc9747"/>
            <w:bookmarkStart w:id="220" w:name="_Toc13818"/>
            <w:bookmarkStart w:id="221" w:name="_Toc8972"/>
            <w:bookmarkStart w:id="222" w:name="_Toc3002"/>
            <w:bookmarkStart w:id="223" w:name="_Toc10960"/>
            <w:bookmarkStart w:id="224" w:name="_Toc18280"/>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78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项目决策</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Times New Roman" w:hAnsi="Times New Roman" w:cs="Times New Roman"/>
                <w:i w:val="0"/>
                <w:iCs w:val="0"/>
                <w:color w:val="000000"/>
                <w:kern w:val="0"/>
                <w:sz w:val="22"/>
                <w:szCs w:val="22"/>
                <w:u w:val="none"/>
                <w:lang w:val="en-US" w:eastAsia="zh-CN" w:bidi="ar"/>
              </w:rPr>
              <w:t>4</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Times New Roman" w:hAnsi="Times New Roman" w:cs="Times New Roman"/>
                <w:i w:val="0"/>
                <w:iCs w:val="0"/>
                <w:color w:val="000000"/>
                <w:kern w:val="0"/>
                <w:sz w:val="22"/>
                <w:szCs w:val="22"/>
                <w:u w:val="none"/>
                <w:lang w:val="en-US" w:eastAsia="zh-CN" w:bidi="ar"/>
              </w:rPr>
              <w:t>1</w:t>
            </w: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cs="Times New Roman"/>
                <w:i w:val="0"/>
                <w:iCs w:val="0"/>
                <w:color w:val="000000"/>
                <w:kern w:val="0"/>
                <w:sz w:val="22"/>
                <w:szCs w:val="22"/>
                <w:u w:val="none"/>
                <w:lang w:val="en-US" w:eastAsia="zh-CN" w:bidi="ar"/>
              </w:rPr>
              <w:t>94</w:t>
            </w:r>
            <w:r>
              <w:rPr>
                <w:rFonts w:hint="default" w:ascii="Times New Roman" w:hAnsi="Times New Roman" w:eastAsia="宋体" w:cs="Times New Roman"/>
                <w:i w:val="0"/>
                <w:iCs w:val="0"/>
                <w:color w:val="000000"/>
                <w:kern w:val="0"/>
                <w:sz w:val="22"/>
                <w:szCs w:val="22"/>
                <w:u w:val="none"/>
                <w:lang w:val="en-US" w:eastAsia="zh-CN" w:bidi="ar"/>
              </w:rPr>
              <w:t>.00%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项目过程</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Times New Roman" w:hAnsi="Times New Roman" w:cs="Times New Roman"/>
                <w:i w:val="0"/>
                <w:iCs w:val="0"/>
                <w:color w:val="000000"/>
                <w:kern w:val="0"/>
                <w:sz w:val="22"/>
                <w:szCs w:val="22"/>
                <w:u w:val="none"/>
                <w:lang w:val="en-US" w:eastAsia="zh-CN" w:bidi="ar"/>
              </w:rPr>
              <w:t>1</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Times New Roman" w:hAnsi="Times New Roman" w:cs="Times New Roman"/>
                <w:i w:val="0"/>
                <w:iCs w:val="0"/>
                <w:color w:val="000000"/>
                <w:kern w:val="0"/>
                <w:sz w:val="22"/>
                <w:szCs w:val="22"/>
                <w:u w:val="none"/>
                <w:lang w:val="en-US" w:eastAsia="zh-CN" w:bidi="ar"/>
              </w:rPr>
              <w:t>0</w:t>
            </w: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cs="Times New Roman"/>
                <w:i w:val="0"/>
                <w:iCs w:val="0"/>
                <w:color w:val="000000"/>
                <w:kern w:val="0"/>
                <w:sz w:val="22"/>
                <w:szCs w:val="22"/>
                <w:u w:val="none"/>
                <w:lang w:val="en-US" w:eastAsia="zh-CN" w:bidi="ar"/>
              </w:rPr>
              <w:t>84</w:t>
            </w:r>
            <w:r>
              <w:rPr>
                <w:rFonts w:hint="default" w:ascii="Times New Roman" w:hAnsi="Times New Roman" w:eastAsia="宋体" w:cs="Times New Roman"/>
                <w:i w:val="0"/>
                <w:iCs w:val="0"/>
                <w:color w:val="000000"/>
                <w:kern w:val="0"/>
                <w:sz w:val="22"/>
                <w:szCs w:val="22"/>
                <w:u w:val="none"/>
                <w:lang w:val="en-US" w:eastAsia="zh-CN" w:bidi="ar"/>
              </w:rPr>
              <w:t>.00%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项目产出</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项目效益</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Times New Roman" w:hAnsi="Times New Roman" w:cs="Times New Roman"/>
                <w:i w:val="0"/>
                <w:iCs w:val="0"/>
                <w:color w:val="000000"/>
                <w:kern w:val="0"/>
                <w:sz w:val="22"/>
                <w:szCs w:val="22"/>
                <w:u w:val="none"/>
                <w:lang w:val="en-US" w:eastAsia="zh-CN" w:bidi="ar"/>
              </w:rPr>
              <w:t>8</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Times New Roman" w:hAnsi="Times New Roman" w:cs="Times New Roman"/>
                <w:i w:val="0"/>
                <w:iCs w:val="0"/>
                <w:color w:val="000000"/>
                <w:kern w:val="0"/>
                <w:sz w:val="22"/>
                <w:szCs w:val="22"/>
                <w:u w:val="none"/>
                <w:lang w:val="en-US" w:eastAsia="zh-CN" w:bidi="ar"/>
              </w:rPr>
              <w:t>8</w:t>
            </w: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r>
              <w:rPr>
                <w:rFonts w:hint="eastAsia" w:ascii="Times New Roman" w:hAnsi="Times New Roman" w:cs="Times New Roman"/>
                <w:i w:val="0"/>
                <w:iCs w:val="0"/>
                <w:color w:val="000000"/>
                <w:kern w:val="0"/>
                <w:sz w:val="22"/>
                <w:szCs w:val="22"/>
                <w:u w:val="none"/>
                <w:lang w:val="en-US" w:eastAsia="zh-CN" w:bidi="ar"/>
              </w:rPr>
              <w:t>6</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Times New Roman" w:hAnsi="Times New Roman" w:cs="Times New Roman"/>
                <w:i w:val="0"/>
                <w:iCs w:val="0"/>
                <w:color w:val="000000"/>
                <w:kern w:val="0"/>
                <w:sz w:val="22"/>
                <w:szCs w:val="22"/>
                <w:u w:val="none"/>
                <w:lang w:val="en-US" w:eastAsia="zh-CN" w:bidi="ar"/>
              </w:rPr>
              <w:t>00</w:t>
            </w:r>
            <w:r>
              <w:rPr>
                <w:rFonts w:hint="default" w:ascii="Times New Roman" w:hAnsi="Times New Roman" w:eastAsia="宋体" w:cs="Times New Roman"/>
                <w:i w:val="0"/>
                <w:iCs w:val="0"/>
                <w:color w:val="000000"/>
                <w:kern w:val="0"/>
                <w:sz w:val="22"/>
                <w:szCs w:val="22"/>
                <w:u w:val="none"/>
                <w:lang w:val="en-US" w:eastAsia="zh-CN" w:bidi="ar"/>
              </w:rPr>
              <w:t>%</w:t>
            </w:r>
          </w:p>
        </w:tc>
      </w:tr>
      <w:tr>
        <w:tblPrEx>
          <w:tblCellMar>
            <w:top w:w="0" w:type="dxa"/>
            <w:left w:w="108" w:type="dxa"/>
            <w:bottom w:w="0" w:type="dxa"/>
            <w:right w:w="108" w:type="dxa"/>
          </w:tblCellMar>
        </w:tblPrEx>
        <w:trPr>
          <w:trHeight w:val="90"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w:t>
            </w:r>
            <w:r>
              <w:rPr>
                <w:rFonts w:hint="eastAsia" w:ascii="Times New Roman" w:hAnsi="Times New Roman" w:cs="Times New Roman"/>
                <w:b/>
                <w:bCs/>
                <w:i w:val="0"/>
                <w:iCs w:val="0"/>
                <w:color w:val="000000"/>
                <w:kern w:val="0"/>
                <w:sz w:val="22"/>
                <w:szCs w:val="22"/>
                <w:u w:val="none"/>
                <w:lang w:val="en-US" w:eastAsia="zh-CN" w:bidi="ar"/>
              </w:rPr>
              <w:t>3</w:t>
            </w:r>
            <w:r>
              <w:rPr>
                <w:rFonts w:hint="default" w:ascii="Times New Roman" w:hAnsi="Times New Roman" w:eastAsia="宋体" w:cs="Times New Roman"/>
                <w:b/>
                <w:bCs/>
                <w:i w:val="0"/>
                <w:iCs w:val="0"/>
                <w:color w:val="000000"/>
                <w:kern w:val="0"/>
                <w:sz w:val="22"/>
                <w:szCs w:val="22"/>
                <w:u w:val="none"/>
                <w:lang w:val="en-US" w:eastAsia="zh-CN" w:bidi="ar"/>
              </w:rPr>
              <w:t xml:space="preserve">.90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w:t>
            </w:r>
            <w:r>
              <w:rPr>
                <w:rFonts w:hint="eastAsia" w:ascii="Times New Roman" w:hAnsi="Times New Roman" w:cs="Times New Roman"/>
                <w:b/>
                <w:bCs/>
                <w:i w:val="0"/>
                <w:iCs w:val="0"/>
                <w:color w:val="000000"/>
                <w:kern w:val="0"/>
                <w:sz w:val="22"/>
                <w:szCs w:val="22"/>
                <w:u w:val="none"/>
                <w:lang w:val="en-US" w:eastAsia="zh-CN" w:bidi="ar"/>
              </w:rPr>
              <w:t>3</w:t>
            </w:r>
            <w:r>
              <w:rPr>
                <w:rFonts w:hint="default" w:ascii="Times New Roman" w:hAnsi="Times New Roman" w:eastAsia="宋体" w:cs="Times New Roman"/>
                <w:b/>
                <w:bCs/>
                <w:i w:val="0"/>
                <w:iCs w:val="0"/>
                <w:color w:val="000000"/>
                <w:kern w:val="0"/>
                <w:sz w:val="22"/>
                <w:szCs w:val="22"/>
                <w:u w:val="none"/>
                <w:lang w:val="en-US" w:eastAsia="zh-CN" w:bidi="ar"/>
              </w:rPr>
              <w:t>.90%</w:t>
            </w:r>
          </w:p>
        </w:tc>
      </w:tr>
    </w:tbl>
    <w:p>
      <w:pPr>
        <w:pStyle w:val="52"/>
        <w:bidi w:val="0"/>
        <w:rPr>
          <w:rFonts w:hint="default" w:ascii="Times New Roman" w:hAnsi="Times New Roman" w:cs="Times New Roman"/>
          <w:b/>
          <w:bCs/>
          <w:lang w:val="en-US" w:eastAsia="zh-CN"/>
        </w:rPr>
      </w:pPr>
      <w:r>
        <w:rPr>
          <w:rFonts w:hint="default" w:ascii="Times New Roman" w:hAnsi="Times New Roman" w:cs="Times New Roman"/>
          <w:b/>
          <w:bCs/>
        </w:rPr>
        <w:t>2.</w:t>
      </w:r>
      <w:bookmarkEnd w:id="215"/>
      <w:bookmarkEnd w:id="216"/>
      <w:bookmarkEnd w:id="217"/>
      <w:r>
        <w:rPr>
          <w:rFonts w:hint="default" w:ascii="Times New Roman" w:hAnsi="Times New Roman" w:cs="Times New Roman"/>
          <w:b/>
          <w:bCs/>
          <w:lang w:val="en-US" w:eastAsia="zh-CN"/>
        </w:rPr>
        <w:t>总体评价结论</w:t>
      </w:r>
      <w:bookmarkEnd w:id="218"/>
      <w:bookmarkEnd w:id="219"/>
      <w:bookmarkEnd w:id="220"/>
      <w:bookmarkEnd w:id="221"/>
      <w:bookmarkEnd w:id="222"/>
      <w:bookmarkEnd w:id="223"/>
      <w:bookmarkEnd w:id="224"/>
    </w:p>
    <w:p>
      <w:pPr>
        <w:pStyle w:val="6"/>
        <w:jc w:val="both"/>
        <w:rPr>
          <w:rFonts w:hint="default" w:ascii="Times New Roman" w:hAnsi="Times New Roman" w:cs="Times New Roman"/>
        </w:rPr>
      </w:pPr>
      <w:r>
        <w:rPr>
          <w:rFonts w:hint="default" w:ascii="Times New Roman" w:hAnsi="Times New Roman" w:cs="Times New Roman"/>
        </w:rPr>
        <w:t>总体来看，淮滨县2020年扶贫通村通组道路配套桥涵建设项目实施取得了一定的成效。</w:t>
      </w:r>
      <w:r>
        <w:rPr>
          <w:rFonts w:hint="default" w:ascii="Times New Roman" w:hAnsi="Times New Roman" w:cs="Times New Roman"/>
          <w:b/>
          <w:bCs/>
        </w:rPr>
        <w:t>在项目决策方面：</w:t>
      </w:r>
      <w:r>
        <w:rPr>
          <w:rFonts w:hint="default" w:ascii="Times New Roman" w:hAnsi="Times New Roman" w:cs="Times New Roman"/>
        </w:rPr>
        <w:t>该项目立项依据充分，立项程序规范，绩效目标合理、明确，预算编制合理。</w:t>
      </w:r>
      <w:r>
        <w:rPr>
          <w:rFonts w:hint="default" w:ascii="Times New Roman" w:hAnsi="Times New Roman" w:cs="Times New Roman"/>
          <w:b/>
          <w:bCs/>
        </w:rPr>
        <w:t>在项目管理方面：</w:t>
      </w:r>
      <w:r>
        <w:rPr>
          <w:rFonts w:hint="default" w:ascii="Times New Roman" w:hAnsi="Times New Roman" w:cs="Times New Roman"/>
        </w:rPr>
        <w:t>该项目资金到位及时、项目财务管理制度健全、资金使用合规、财务监控有效。资金支出符合国家财经法规和财务管理制度，项目支出符合项目预算批复用途及合同规定用途；项目库建设及管理、政府采购较为规范，淮滨县建立有2020年脱贫攻坚项目库和项目库管理制度，入库项目内容完整，描述准确，范围合理。</w:t>
      </w:r>
      <w:r>
        <w:rPr>
          <w:rFonts w:hint="default" w:ascii="Times New Roman" w:hAnsi="Times New Roman" w:cs="Times New Roman"/>
          <w:b/>
          <w:bCs/>
        </w:rPr>
        <w:t>在项目产出方面，</w:t>
      </w:r>
      <w:r>
        <w:rPr>
          <w:rFonts w:hint="default" w:ascii="Times New Roman" w:hAnsi="Times New Roman" w:cs="Times New Roman"/>
        </w:rPr>
        <w:t>该项目产出数量达标，完成贫困村公路危桥处置99座，配套桥梁867延米，板涵43座，管涵136延米。项目验收合格，</w:t>
      </w:r>
      <w:r>
        <w:rPr>
          <w:rFonts w:hint="eastAsia" w:cs="Times New Roman"/>
          <w:lang w:val="en-US" w:eastAsia="zh-CN"/>
        </w:rPr>
        <w:t>道路</w:t>
      </w:r>
      <w:r>
        <w:rPr>
          <w:rFonts w:hint="default" w:ascii="Times New Roman" w:hAnsi="Times New Roman" w:cs="Times New Roman"/>
        </w:rPr>
        <w:t>设计及施工符合现行的国家有关建筑设计规范和行业标准。项目完工及时，验收合格，成本节约情况较好。</w:t>
      </w:r>
      <w:r>
        <w:rPr>
          <w:rFonts w:hint="default" w:ascii="Times New Roman" w:hAnsi="Times New Roman" w:cs="Times New Roman"/>
          <w:b/>
          <w:bCs/>
        </w:rPr>
        <w:t>在项目效益方面，</w:t>
      </w:r>
      <w:r>
        <w:rPr>
          <w:rFonts w:hint="default" w:ascii="Times New Roman" w:hAnsi="Times New Roman" w:cs="Times New Roman"/>
        </w:rPr>
        <w:t>该项目社会效益较为显著。项目实施后，贫困地区建制村通客车率和具备条件的建档立卡贫困村通硬化路率达到100%，贫困地区居民出行平均缩短时间为3小时，受益建档立卡贫困人口数达到目标值24623人。项目带来可持续影响。预计持续发挥作用为</w:t>
      </w:r>
      <w:r>
        <w:rPr>
          <w:rFonts w:hint="eastAsia" w:cs="Times New Roman"/>
          <w:lang w:val="en-US" w:eastAsia="zh-CN"/>
        </w:rPr>
        <w:t>10</w:t>
      </w:r>
      <w:r>
        <w:rPr>
          <w:rFonts w:hint="default" w:ascii="Times New Roman" w:hAnsi="Times New Roman" w:cs="Times New Roman"/>
        </w:rPr>
        <w:t>年，持续发挥作用年限达到目标值；新建公路列养率达到100%，养护制度健全。</w:t>
      </w:r>
    </w:p>
    <w:p>
      <w:pPr>
        <w:pStyle w:val="6"/>
        <w:jc w:val="both"/>
        <w:rPr>
          <w:rFonts w:hint="eastAsia" w:ascii="Times New Roman" w:hAnsi="Times New Roman" w:eastAsia="仿宋" w:cs="Times New Roman"/>
          <w:b w:val="0"/>
          <w:bCs w:val="0"/>
          <w:lang w:val="en-US" w:eastAsia="zh-CN"/>
        </w:rPr>
      </w:pPr>
      <w:r>
        <w:rPr>
          <w:rFonts w:hint="default" w:ascii="Times New Roman" w:hAnsi="Times New Roman" w:cs="Times New Roman"/>
        </w:rPr>
        <w:t>但该项目绩效目标设置与计划任务数不够匹配，产出成本未设置指标进行考核</w:t>
      </w:r>
      <w:r>
        <w:rPr>
          <w:rFonts w:hint="eastAsia" w:cs="Times New Roman"/>
          <w:lang w:eastAsia="zh-CN"/>
        </w:rPr>
        <w:t>。</w:t>
      </w:r>
      <w:r>
        <w:rPr>
          <w:rFonts w:hint="default" w:ascii="Times New Roman" w:hAnsi="Times New Roman" w:cs="Times New Roman"/>
        </w:rPr>
        <w:t>利益联结机制、信息公开和公告公示制度执行不够有效，部分利益联结机制描述过于简单，公示内容不够完整，缺少永久公示牌。项目带贫减贫机制不够有效。项目建立有带贫减贫机制，但项目建立后期无帮扶跟进机制，未明确项目扶持期结束后，贫困户的带贫模式，不具备可持续性、可行性</w:t>
      </w:r>
      <w:r>
        <w:rPr>
          <w:rFonts w:hint="eastAsia" w:cs="Times New Roman"/>
          <w:lang w:val="en-US" w:eastAsia="zh-CN"/>
        </w:rPr>
        <w:t>。</w:t>
      </w:r>
    </w:p>
    <w:p>
      <w:pPr>
        <w:pStyle w:val="29"/>
        <w:ind w:firstLine="562"/>
        <w:rPr>
          <w:rFonts w:hint="default" w:ascii="Times New Roman" w:hAnsi="Times New Roman" w:eastAsia="楷体" w:cs="Times New Roman"/>
          <w:sz w:val="32"/>
          <w:szCs w:val="32"/>
        </w:rPr>
      </w:pPr>
      <w:bookmarkStart w:id="225" w:name="_Toc14403"/>
      <w:bookmarkStart w:id="226" w:name="_Toc11112"/>
      <w:bookmarkStart w:id="227" w:name="_Toc23264923"/>
      <w:bookmarkStart w:id="228" w:name="_Toc25876"/>
      <w:bookmarkStart w:id="229" w:name="_Toc14553"/>
      <w:bookmarkStart w:id="230" w:name="_Toc23266438"/>
      <w:bookmarkStart w:id="231" w:name="_Toc3118"/>
      <w:bookmarkStart w:id="232" w:name="_Toc28847"/>
      <w:bookmarkStart w:id="233" w:name="_Toc5660"/>
      <w:bookmarkStart w:id="234" w:name="_Toc24830"/>
      <w:r>
        <w:rPr>
          <w:rFonts w:hint="default" w:ascii="Times New Roman" w:hAnsi="Times New Roman" w:eastAsia="楷体" w:cs="Times New Roman"/>
          <w:sz w:val="32"/>
          <w:szCs w:val="32"/>
        </w:rPr>
        <w:t>（二）指标分析</w:t>
      </w:r>
      <w:bookmarkEnd w:id="225"/>
      <w:bookmarkEnd w:id="226"/>
      <w:bookmarkEnd w:id="227"/>
      <w:bookmarkEnd w:id="228"/>
      <w:bookmarkEnd w:id="229"/>
      <w:bookmarkEnd w:id="230"/>
      <w:bookmarkEnd w:id="231"/>
      <w:bookmarkEnd w:id="232"/>
      <w:bookmarkEnd w:id="233"/>
      <w:bookmarkEnd w:id="234"/>
    </w:p>
    <w:p>
      <w:pPr>
        <w:pStyle w:val="52"/>
        <w:bidi w:val="0"/>
        <w:rPr>
          <w:rFonts w:hint="default" w:ascii="Times New Roman" w:hAnsi="Times New Roman" w:cs="Times New Roman"/>
          <w:b/>
          <w:bCs/>
        </w:rPr>
      </w:pPr>
      <w:bookmarkStart w:id="235" w:name="_Toc9801"/>
      <w:bookmarkStart w:id="236" w:name="_Toc23267050"/>
      <w:bookmarkStart w:id="237" w:name="_Toc23266439"/>
      <w:bookmarkStart w:id="238" w:name="_Toc29284"/>
      <w:bookmarkStart w:id="239" w:name="_Toc18214"/>
      <w:bookmarkStart w:id="240" w:name="_Toc12190"/>
      <w:bookmarkStart w:id="241" w:name="_Toc26537"/>
      <w:bookmarkStart w:id="242" w:name="_Toc28549"/>
      <w:bookmarkStart w:id="243" w:name="_Toc23264924"/>
      <w:bookmarkStart w:id="244" w:name="_Toc22334"/>
      <w:r>
        <w:rPr>
          <w:rFonts w:hint="default" w:ascii="Times New Roman" w:hAnsi="Times New Roman" w:cs="Times New Roman"/>
          <w:b/>
          <w:bCs/>
        </w:rPr>
        <w:t>1.项目决策</w:t>
      </w:r>
      <w:bookmarkEnd w:id="235"/>
      <w:bookmarkEnd w:id="236"/>
      <w:bookmarkEnd w:id="237"/>
      <w:bookmarkEnd w:id="238"/>
      <w:bookmarkEnd w:id="239"/>
      <w:bookmarkEnd w:id="240"/>
      <w:bookmarkEnd w:id="241"/>
      <w:bookmarkEnd w:id="242"/>
      <w:bookmarkEnd w:id="243"/>
      <w:bookmarkEnd w:id="244"/>
    </w:p>
    <w:p>
      <w:pPr>
        <w:pStyle w:val="6"/>
        <w:rPr>
          <w:rFonts w:hint="default" w:ascii="Times New Roman" w:hAnsi="Times New Roman" w:cs="Times New Roman"/>
        </w:rPr>
      </w:pPr>
      <w:r>
        <w:rPr>
          <w:rFonts w:hint="default" w:ascii="Times New Roman" w:hAnsi="Times New Roman" w:cs="Times New Roman"/>
        </w:rPr>
        <w:t>项目决策指标包含</w:t>
      </w:r>
      <w:r>
        <w:rPr>
          <w:rFonts w:hint="default" w:ascii="Times New Roman" w:hAnsi="Times New Roman" w:cs="Times New Roman"/>
          <w:lang w:val="en-US" w:eastAsia="zh-CN"/>
        </w:rPr>
        <w:t>3</w:t>
      </w:r>
      <w:r>
        <w:rPr>
          <w:rFonts w:hint="default" w:ascii="Times New Roman" w:hAnsi="Times New Roman" w:cs="Times New Roman"/>
        </w:rPr>
        <w:t>个二级指标</w:t>
      </w:r>
      <w:r>
        <w:rPr>
          <w:rFonts w:hint="default" w:ascii="Times New Roman" w:hAnsi="Times New Roman" w:cs="Times New Roman"/>
          <w:lang w:val="en-US" w:eastAsia="zh-CN"/>
        </w:rPr>
        <w:t>5</w:t>
      </w:r>
      <w:r>
        <w:rPr>
          <w:rFonts w:hint="default" w:ascii="Times New Roman" w:hAnsi="Times New Roman" w:cs="Times New Roman"/>
        </w:rPr>
        <w:t>个三级指标，权重为</w:t>
      </w:r>
      <w:r>
        <w:rPr>
          <w:rFonts w:hint="default" w:ascii="Times New Roman" w:hAnsi="Times New Roman" w:cs="Times New Roman"/>
          <w:lang w:val="en-US" w:eastAsia="zh-CN"/>
        </w:rPr>
        <w:t>15</w:t>
      </w:r>
      <w:r>
        <w:rPr>
          <w:rFonts w:hint="default" w:ascii="Times New Roman" w:hAnsi="Times New Roman" w:cs="Times New Roman"/>
        </w:rPr>
        <w:t>分，该项得分</w:t>
      </w:r>
      <w:r>
        <w:rPr>
          <w:rFonts w:hint="default" w:ascii="Times New Roman" w:hAnsi="Times New Roman" w:cs="Times New Roman"/>
          <w:lang w:val="en-US" w:eastAsia="zh-CN"/>
        </w:rPr>
        <w:t>1</w:t>
      </w:r>
      <w:r>
        <w:rPr>
          <w:rFonts w:hint="eastAsia" w:cs="Times New Roman"/>
          <w:lang w:val="en-US" w:eastAsia="zh-CN"/>
        </w:rPr>
        <w:t>4.10</w:t>
      </w:r>
      <w:r>
        <w:rPr>
          <w:rFonts w:hint="default" w:ascii="Times New Roman" w:hAnsi="Times New Roman" w:cs="Times New Roman"/>
        </w:rPr>
        <w:t>分，得分率</w:t>
      </w:r>
      <w:r>
        <w:rPr>
          <w:rFonts w:hint="eastAsia" w:cs="Times New Roman"/>
          <w:lang w:val="en-US" w:eastAsia="zh-CN"/>
        </w:rPr>
        <w:t>94</w:t>
      </w:r>
      <w:r>
        <w:rPr>
          <w:rFonts w:hint="default" w:ascii="Times New Roman" w:hAnsi="Times New Roman" w:cs="Times New Roman"/>
          <w:lang w:val="en-US" w:eastAsia="zh-CN"/>
        </w:rPr>
        <w:t>.00</w:t>
      </w:r>
      <w:r>
        <w:rPr>
          <w:rFonts w:hint="default" w:ascii="Times New Roman" w:hAnsi="Times New Roman" w:cs="Times New Roman"/>
        </w:rPr>
        <w:t>%。</w:t>
      </w:r>
      <w:r>
        <w:rPr>
          <w:rFonts w:hint="eastAsia" w:cs="Times New Roman"/>
          <w:lang w:val="en-US" w:eastAsia="zh-CN"/>
        </w:rPr>
        <w:t>主要扣分项为绩效目标明确性。</w:t>
      </w:r>
      <w:r>
        <w:rPr>
          <w:rFonts w:hint="default" w:ascii="Times New Roman" w:hAnsi="Times New Roman" w:cs="Times New Roman"/>
        </w:rPr>
        <w:t>项</w:t>
      </w:r>
      <w:r>
        <w:rPr>
          <w:rFonts w:hint="eastAsia" w:cs="Times New Roman"/>
          <w:lang w:val="en-US" w:eastAsia="zh-CN"/>
        </w:rPr>
        <w:t>目</w:t>
      </w:r>
      <w:r>
        <w:rPr>
          <w:rFonts w:hint="default" w:ascii="Times New Roman" w:hAnsi="Times New Roman" w:cs="Times New Roman"/>
        </w:rPr>
        <w:t>各指标得分情况如表3-2：</w:t>
      </w:r>
    </w:p>
    <w:p>
      <w:pPr>
        <w:pStyle w:val="31"/>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sz w:val="21"/>
          <w:szCs w:val="21"/>
        </w:rPr>
      </w:pPr>
      <w:r>
        <w:rPr>
          <w:rFonts w:hint="default" w:ascii="Times New Roman" w:hAnsi="Times New Roman" w:eastAsia="仿宋_GB2312" w:cs="Times New Roman"/>
          <w:sz w:val="24"/>
          <w:szCs w:val="24"/>
        </w:rPr>
        <w:t>表3-2 项目决策指标得分情况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tblCellMar>
            <w:top w:w="0" w:type="dxa"/>
            <w:left w:w="108" w:type="dxa"/>
            <w:bottom w:w="0" w:type="dxa"/>
            <w:right w:w="108" w:type="dxa"/>
          </w:tblCellMar>
        </w:tblPrEx>
        <w:trPr>
          <w:trHeight w:val="113" w:hRule="atLeast"/>
          <w:tblHeader/>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11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A1 </w:t>
            </w:r>
            <w:r>
              <w:rPr>
                <w:rFonts w:hint="eastAsia" w:ascii="仿宋_GB2312" w:hAnsi="Times New Roman" w:eastAsia="仿宋_GB2312" w:cs="仿宋_GB2312"/>
                <w:b/>
                <w:bCs/>
                <w:i w:val="0"/>
                <w:iCs w:val="0"/>
                <w:color w:val="000000"/>
                <w:kern w:val="0"/>
                <w:sz w:val="22"/>
                <w:szCs w:val="22"/>
                <w:u w:val="none"/>
                <w:lang w:val="en-US" w:eastAsia="zh-CN" w:bidi="ar"/>
              </w:rPr>
              <w:t>项目立项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A2</w:t>
            </w:r>
            <w:r>
              <w:rPr>
                <w:rFonts w:hint="eastAsia" w:ascii="仿宋_GB2312" w:hAnsi="Times New Roman" w:eastAsia="仿宋_GB2312" w:cs="仿宋_GB2312"/>
                <w:b/>
                <w:bCs/>
                <w:i w:val="0"/>
                <w:iCs w:val="0"/>
                <w:color w:val="000000"/>
                <w:kern w:val="0"/>
                <w:sz w:val="22"/>
                <w:szCs w:val="22"/>
                <w:u w:val="none"/>
                <w:lang w:val="en-US" w:eastAsia="zh-CN" w:bidi="ar"/>
              </w:rPr>
              <w:t>绩效目标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eastAsia" w:ascii="Times New Roman" w:hAnsi="Times New Roman" w:cs="Times New Roman"/>
                <w:b/>
                <w:bCs/>
                <w:i w:val="0"/>
                <w:iCs w:val="0"/>
                <w:color w:val="000000"/>
                <w:kern w:val="0"/>
                <w:sz w:val="22"/>
                <w:szCs w:val="22"/>
                <w:u w:val="none"/>
                <w:lang w:val="en-US" w:eastAsia="zh-CN" w:bidi="ar"/>
              </w:rPr>
              <w:t>5.1</w:t>
            </w:r>
            <w:r>
              <w:rPr>
                <w:rFonts w:hint="default" w:ascii="Times New Roman" w:hAnsi="Times New Roman" w:eastAsia="宋体" w:cs="Times New Roman"/>
                <w:b/>
                <w:bCs/>
                <w:i w:val="0"/>
                <w:iCs w:val="0"/>
                <w:color w:val="000000"/>
                <w:kern w:val="0"/>
                <w:sz w:val="22"/>
                <w:szCs w:val="22"/>
                <w:u w:val="none"/>
                <w:lang w:val="en-US" w:eastAsia="zh-CN" w:bidi="ar"/>
              </w:rPr>
              <w:t xml:space="preserve">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eastAsia" w:ascii="Times New Roman" w:hAnsi="Times New Roman" w:cs="Times New Roman"/>
                <w:b/>
                <w:bCs/>
                <w:i w:val="0"/>
                <w:iCs w:val="0"/>
                <w:color w:val="000000"/>
                <w:kern w:val="0"/>
                <w:sz w:val="22"/>
                <w:szCs w:val="22"/>
                <w:u w:val="none"/>
                <w:lang w:val="en-US" w:eastAsia="zh-CN" w:bidi="ar"/>
              </w:rPr>
              <w:t>85</w:t>
            </w:r>
            <w:r>
              <w:rPr>
                <w:rFonts w:hint="default" w:ascii="Times New Roman" w:hAnsi="Times New Roman" w:eastAsia="宋体" w:cs="Times New Roman"/>
                <w:b/>
                <w:bCs/>
                <w:i w:val="0"/>
                <w:iCs w:val="0"/>
                <w:color w:val="000000"/>
                <w:kern w:val="0"/>
                <w:sz w:val="22"/>
                <w:szCs w:val="22"/>
                <w:u w:val="none"/>
                <w:lang w:val="en-US" w:eastAsia="zh-CN" w:bidi="ar"/>
              </w:rPr>
              <w:t>.00%</w:t>
            </w:r>
          </w:p>
        </w:tc>
      </w:tr>
      <w:tr>
        <w:tblPrEx>
          <w:tblCellMar>
            <w:top w:w="0" w:type="dxa"/>
            <w:left w:w="108" w:type="dxa"/>
            <w:bottom w:w="0" w:type="dxa"/>
            <w:right w:w="108" w:type="dxa"/>
          </w:tblCellMar>
        </w:tblPrEx>
        <w:trPr>
          <w:trHeight w:val="90"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90"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cs="Times New Roman"/>
                <w:i w:val="0"/>
                <w:iCs w:val="0"/>
                <w:color w:val="000000"/>
                <w:kern w:val="0"/>
                <w:sz w:val="22"/>
                <w:szCs w:val="22"/>
                <w:u w:val="none"/>
                <w:lang w:val="en-US" w:eastAsia="zh-CN" w:bidi="ar"/>
              </w:rPr>
              <w:t>2.1</w:t>
            </w: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cs="Times New Roman"/>
                <w:i w:val="0"/>
                <w:iCs w:val="0"/>
                <w:color w:val="000000"/>
                <w:kern w:val="0"/>
                <w:sz w:val="22"/>
                <w:szCs w:val="22"/>
                <w:u w:val="none"/>
                <w:lang w:val="en-US" w:eastAsia="zh-CN" w:bidi="ar"/>
              </w:rPr>
              <w:t>7</w:t>
            </w:r>
            <w:r>
              <w:rPr>
                <w:rFonts w:hint="default" w:ascii="Times New Roman" w:hAnsi="Times New Roman" w:eastAsia="宋体" w:cs="Times New Roman"/>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1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A3</w:t>
            </w:r>
            <w:r>
              <w:rPr>
                <w:rFonts w:hint="eastAsia" w:ascii="仿宋_GB2312" w:hAnsi="Times New Roman" w:eastAsia="仿宋_GB2312" w:cs="仿宋_GB2312"/>
                <w:b/>
                <w:bCs/>
                <w:i w:val="0"/>
                <w:iCs w:val="0"/>
                <w:color w:val="000000"/>
                <w:kern w:val="0"/>
                <w:sz w:val="22"/>
                <w:szCs w:val="22"/>
                <w:u w:val="none"/>
                <w:lang w:val="en-US" w:eastAsia="zh-CN" w:bidi="ar"/>
              </w:rPr>
              <w:t>资金安排</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w:t>
            </w:r>
            <w:r>
              <w:rPr>
                <w:rFonts w:hint="eastAsia" w:ascii="Times New Roman" w:hAnsi="Times New Roman" w:cs="Times New Roman"/>
                <w:b/>
                <w:bCs/>
                <w:i w:val="0"/>
                <w:iCs w:val="0"/>
                <w:color w:val="000000"/>
                <w:kern w:val="0"/>
                <w:sz w:val="22"/>
                <w:szCs w:val="22"/>
                <w:u w:val="none"/>
                <w:lang w:val="en-US" w:eastAsia="zh-CN" w:bidi="ar"/>
              </w:rPr>
              <w:t>4</w:t>
            </w:r>
            <w:r>
              <w:rPr>
                <w:rFonts w:hint="default" w:ascii="Times New Roman" w:hAnsi="Times New Roman" w:eastAsia="宋体" w:cs="Times New Roman"/>
                <w:b/>
                <w:bCs/>
                <w:i w:val="0"/>
                <w:iCs w:val="0"/>
                <w:color w:val="000000"/>
                <w:kern w:val="0"/>
                <w:sz w:val="22"/>
                <w:szCs w:val="22"/>
                <w:u w:val="none"/>
                <w:lang w:val="en-US" w:eastAsia="zh-CN" w:bidi="ar"/>
              </w:rPr>
              <w:t>.</w:t>
            </w:r>
            <w:r>
              <w:rPr>
                <w:rFonts w:hint="eastAsia" w:ascii="Times New Roman" w:hAnsi="Times New Roman" w:cs="Times New Roman"/>
                <w:b/>
                <w:bCs/>
                <w:i w:val="0"/>
                <w:iCs w:val="0"/>
                <w:color w:val="000000"/>
                <w:kern w:val="0"/>
                <w:sz w:val="22"/>
                <w:szCs w:val="22"/>
                <w:u w:val="none"/>
                <w:lang w:val="en-US" w:eastAsia="zh-CN" w:bidi="ar"/>
              </w:rPr>
              <w:t>1</w:t>
            </w:r>
            <w:r>
              <w:rPr>
                <w:rFonts w:hint="default" w:ascii="Times New Roman" w:hAnsi="Times New Roman" w:eastAsia="宋体" w:cs="Times New Roman"/>
                <w:b/>
                <w:bCs/>
                <w:i w:val="0"/>
                <w:iCs w:val="0"/>
                <w:color w:val="000000"/>
                <w:kern w:val="0"/>
                <w:sz w:val="22"/>
                <w:szCs w:val="22"/>
                <w:u w:val="none"/>
                <w:lang w:val="en-US" w:eastAsia="zh-CN" w:bidi="ar"/>
              </w:rPr>
              <w:t xml:space="preserve">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eastAsia" w:ascii="Times New Roman" w:hAnsi="Times New Roman" w:cs="Times New Roman"/>
                <w:b/>
                <w:bCs/>
                <w:i w:val="0"/>
                <w:iCs w:val="0"/>
                <w:color w:val="000000"/>
                <w:kern w:val="0"/>
                <w:sz w:val="22"/>
                <w:szCs w:val="22"/>
                <w:u w:val="none"/>
                <w:lang w:val="en-US" w:eastAsia="zh-CN" w:bidi="ar"/>
              </w:rPr>
              <w:t>94</w:t>
            </w:r>
            <w:r>
              <w:rPr>
                <w:rFonts w:hint="default" w:ascii="Times New Roman" w:hAnsi="Times New Roman" w:eastAsia="宋体" w:cs="Times New Roman"/>
                <w:b/>
                <w:bCs/>
                <w:i w:val="0"/>
                <w:iCs w:val="0"/>
                <w:color w:val="000000"/>
                <w:kern w:val="0"/>
                <w:sz w:val="22"/>
                <w:szCs w:val="22"/>
                <w:u w:val="none"/>
                <w:lang w:val="en-US" w:eastAsia="zh-CN" w:bidi="ar"/>
              </w:rPr>
              <w:t>.00%</w:t>
            </w:r>
          </w:p>
        </w:tc>
      </w:tr>
    </w:tbl>
    <w:p>
      <w:pPr>
        <w:pStyle w:val="6"/>
        <w:tabs>
          <w:tab w:val="left" w:pos="6948"/>
        </w:tabs>
        <w:spacing w:before="120" w:after="60"/>
        <w:ind w:firstLine="562"/>
        <w:rPr>
          <w:rFonts w:hint="default" w:ascii="Times New Roman" w:hAnsi="Times New Roman" w:eastAsia="仿宋_GB2312" w:cs="Times New Roman"/>
          <w:lang w:val="en-US" w:eastAsia="zh-CN"/>
        </w:rPr>
      </w:pPr>
      <w:r>
        <w:rPr>
          <w:rFonts w:hint="eastAsia" w:ascii="Times New Roman" w:hAnsi="Times New Roman" w:cs="Times New Roman"/>
          <w:lang w:val="en-US" w:eastAsia="zh-CN"/>
        </w:rPr>
        <w:t>该</w:t>
      </w:r>
      <w:r>
        <w:rPr>
          <w:rFonts w:hint="default" w:ascii="Times New Roman" w:hAnsi="Times New Roman" w:cs="Times New Roman"/>
          <w:lang w:val="en-US" w:eastAsia="zh-CN"/>
        </w:rPr>
        <w:t>项目立项依据较为充分，立项过程按文件规定执行；项目均设置绩效目标，绩效目标合理</w:t>
      </w:r>
      <w:r>
        <w:rPr>
          <w:rFonts w:hint="eastAsia" w:cs="Times New Roman"/>
          <w:lang w:val="en-US" w:eastAsia="zh-CN"/>
        </w:rPr>
        <w:t>，项目预期产出和效果均符合正常水平；绩效目标分解为具体的绩效指标，绩效指标设置清晰、具体、可衡量；项目</w:t>
      </w:r>
      <w:r>
        <w:rPr>
          <w:rFonts w:hint="default" w:ascii="Times New Roman" w:hAnsi="Times New Roman" w:cs="Times New Roman"/>
          <w:lang w:val="en-US" w:eastAsia="zh-CN"/>
        </w:rPr>
        <w:t>预算编制合理</w:t>
      </w:r>
      <w:r>
        <w:rPr>
          <w:rFonts w:hint="eastAsia" w:cs="Times New Roman"/>
          <w:lang w:val="en-US" w:eastAsia="zh-CN"/>
        </w:rPr>
        <w:t>，</w:t>
      </w:r>
      <w:r>
        <w:rPr>
          <w:rFonts w:hint="default" w:ascii="Times New Roman" w:hAnsi="Times New Roman" w:cs="Times New Roman"/>
          <w:lang w:val="en-US" w:eastAsia="zh-CN"/>
        </w:rPr>
        <w:t>预算内容与项目实际内容均相匹配，预算测算额度合理、科学。</w:t>
      </w:r>
      <w:r>
        <w:rPr>
          <w:rFonts w:hint="eastAsia" w:cs="Times New Roman"/>
          <w:lang w:val="en-US" w:eastAsia="zh-CN"/>
        </w:rPr>
        <w:t>但该项目</w:t>
      </w:r>
      <w:r>
        <w:rPr>
          <w:rFonts w:hint="default" w:ascii="Times New Roman" w:hAnsi="Times New Roman" w:cs="Times New Roman"/>
          <w:lang w:val="en-US" w:eastAsia="zh-CN"/>
        </w:rPr>
        <w:t>绩效目标设置与计划任务数不够匹配，产出成本未设置指标进行考核</w:t>
      </w:r>
      <w:r>
        <w:rPr>
          <w:rFonts w:hint="eastAsia" w:cs="Times New Roman"/>
          <w:lang w:val="en-US" w:eastAsia="zh-CN"/>
        </w:rPr>
        <w:t>。</w:t>
      </w:r>
    </w:p>
    <w:p>
      <w:pPr>
        <w:pStyle w:val="52"/>
        <w:bidi w:val="0"/>
        <w:rPr>
          <w:rFonts w:hint="default" w:ascii="Times New Roman" w:hAnsi="Times New Roman" w:cs="Times New Roman"/>
          <w:b/>
          <w:bCs/>
        </w:rPr>
      </w:pPr>
      <w:bookmarkStart w:id="245" w:name="_Toc14678"/>
      <w:bookmarkStart w:id="246" w:name="_Toc23267051"/>
      <w:bookmarkStart w:id="247" w:name="_Toc23266440"/>
      <w:bookmarkStart w:id="248" w:name="_Toc18423"/>
      <w:bookmarkStart w:id="249" w:name="_Toc28835"/>
      <w:bookmarkStart w:id="250" w:name="_Toc23264925"/>
      <w:bookmarkStart w:id="251" w:name="_Toc86"/>
      <w:bookmarkStart w:id="252" w:name="_Toc31513"/>
      <w:bookmarkStart w:id="253" w:name="_Toc29399"/>
      <w:bookmarkStart w:id="254" w:name="_Toc19191"/>
      <w:r>
        <w:rPr>
          <w:rFonts w:hint="default" w:ascii="Times New Roman" w:hAnsi="Times New Roman" w:cs="Times New Roman"/>
          <w:b/>
          <w:bCs/>
        </w:rPr>
        <w:t>2.项目管理</w:t>
      </w:r>
      <w:bookmarkEnd w:id="245"/>
      <w:bookmarkEnd w:id="246"/>
      <w:bookmarkEnd w:id="247"/>
      <w:bookmarkEnd w:id="248"/>
      <w:bookmarkEnd w:id="249"/>
      <w:bookmarkEnd w:id="250"/>
      <w:bookmarkEnd w:id="251"/>
      <w:bookmarkEnd w:id="252"/>
      <w:bookmarkEnd w:id="253"/>
      <w:bookmarkEnd w:id="254"/>
    </w:p>
    <w:p>
      <w:pPr>
        <w:pStyle w:val="31"/>
        <w:keepNext w:val="0"/>
        <w:keepLines w:val="0"/>
        <w:pageBreakBefore w:val="0"/>
        <w:widowControl w:val="0"/>
        <w:kinsoku/>
        <w:wordWrap/>
        <w:overflowPunct/>
        <w:topLinePunct w:val="0"/>
        <w:autoSpaceDE/>
        <w:autoSpaceDN/>
        <w:bidi w:val="0"/>
        <w:adjustRightInd/>
        <w:snapToGrid/>
        <w:spacing w:line="500" w:lineRule="exact"/>
        <w:ind w:firstLine="561"/>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b w:val="0"/>
          <w:kern w:val="2"/>
          <w:sz w:val="32"/>
          <w:szCs w:val="32"/>
          <w:lang w:val="en-US" w:eastAsia="zh-CN" w:bidi="ar-SA"/>
        </w:rPr>
        <w:t>项目管理指标包含2个二级指标10个三级指标，权重为25分，该项得分2</w:t>
      </w:r>
      <w:r>
        <w:rPr>
          <w:rFonts w:hint="eastAsia" w:eastAsia="仿宋" w:cs="Times New Roman"/>
          <w:b w:val="0"/>
          <w:kern w:val="2"/>
          <w:sz w:val="32"/>
          <w:szCs w:val="32"/>
          <w:lang w:val="en-US" w:eastAsia="zh-CN" w:bidi="ar-SA"/>
        </w:rPr>
        <w:t>1.00</w:t>
      </w:r>
      <w:r>
        <w:rPr>
          <w:rFonts w:hint="default" w:ascii="Times New Roman" w:hAnsi="Times New Roman" w:eastAsia="仿宋" w:cs="Times New Roman"/>
          <w:b w:val="0"/>
          <w:kern w:val="2"/>
          <w:sz w:val="32"/>
          <w:szCs w:val="32"/>
          <w:lang w:val="en-US" w:eastAsia="zh-CN" w:bidi="ar-SA"/>
        </w:rPr>
        <w:t>分，得分率</w:t>
      </w:r>
      <w:r>
        <w:rPr>
          <w:rFonts w:hint="eastAsia" w:eastAsia="仿宋" w:cs="Times New Roman"/>
          <w:b w:val="0"/>
          <w:kern w:val="2"/>
          <w:sz w:val="32"/>
          <w:szCs w:val="32"/>
          <w:lang w:val="en-US" w:eastAsia="zh-CN" w:bidi="ar-SA"/>
        </w:rPr>
        <w:t>84</w:t>
      </w:r>
      <w:r>
        <w:rPr>
          <w:rFonts w:hint="default" w:ascii="Times New Roman" w:hAnsi="Times New Roman" w:eastAsia="仿宋" w:cs="Times New Roman"/>
          <w:b w:val="0"/>
          <w:kern w:val="2"/>
          <w:sz w:val="32"/>
          <w:szCs w:val="32"/>
          <w:lang w:val="en-US" w:eastAsia="zh-CN" w:bidi="ar-SA"/>
        </w:rPr>
        <w:t>%。主要扣分指标为利益联结机制有效性</w:t>
      </w:r>
      <w:r>
        <w:rPr>
          <w:rFonts w:hint="eastAsia" w:eastAsia="仿宋" w:cs="Times New Roman"/>
          <w:b w:val="0"/>
          <w:kern w:val="2"/>
          <w:sz w:val="32"/>
          <w:szCs w:val="32"/>
          <w:lang w:val="en-US" w:eastAsia="zh-CN" w:bidi="ar-SA"/>
        </w:rPr>
        <w:t>、信息公开和公告公示制度执行有效性。</w:t>
      </w:r>
      <w:r>
        <w:rPr>
          <w:rFonts w:hint="default" w:ascii="Times New Roman" w:hAnsi="Times New Roman" w:eastAsia="仿宋" w:cs="Times New Roman"/>
          <w:b w:val="0"/>
          <w:kern w:val="2"/>
          <w:sz w:val="32"/>
          <w:szCs w:val="32"/>
          <w:lang w:val="en-US" w:eastAsia="zh-CN" w:bidi="ar-SA"/>
        </w:rPr>
        <w:t>各指标得分情况如表3-3：</w:t>
      </w:r>
    </w:p>
    <w:p>
      <w:pPr>
        <w:pStyle w:val="31"/>
        <w:keepNext w:val="0"/>
        <w:keepLines w:val="0"/>
        <w:pageBreakBefore w:val="0"/>
        <w:widowControl w:val="0"/>
        <w:kinsoku/>
        <w:wordWrap/>
        <w:overflowPunct/>
        <w:topLinePunct w:val="0"/>
        <w:autoSpaceDE/>
        <w:autoSpaceDN/>
        <w:bidi w:val="0"/>
        <w:adjustRightInd/>
        <w:snapToGrid/>
        <w:spacing w:before="60" w:after="60"/>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表3-3 项目管理指标得分情况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shd w:val="clear" w:color="auto" w:fill="auto"/>
          <w:tblCellMar>
            <w:top w:w="0" w:type="dxa"/>
            <w:left w:w="108" w:type="dxa"/>
            <w:bottom w:w="0" w:type="dxa"/>
            <w:right w:w="108" w:type="dxa"/>
          </w:tblCellMar>
        </w:tblPrEx>
        <w:trPr>
          <w:trHeight w:val="23" w:hRule="atLeast"/>
          <w:tblHeader/>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B1</w:t>
            </w:r>
            <w:r>
              <w:rPr>
                <w:rFonts w:hint="eastAsia" w:ascii="仿宋_GB2312" w:hAnsi="Times New Roman" w:eastAsia="仿宋_GB2312" w:cs="仿宋_GB2312"/>
                <w:b/>
                <w:bCs/>
                <w:i w:val="0"/>
                <w:iCs w:val="0"/>
                <w:color w:val="000000"/>
                <w:kern w:val="0"/>
                <w:sz w:val="22"/>
                <w:szCs w:val="22"/>
                <w:u w:val="none"/>
                <w:lang w:val="en-US" w:eastAsia="zh-CN" w:bidi="ar"/>
              </w:rPr>
              <w:t>资金管理</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预算执行率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B2</w:t>
            </w:r>
            <w:r>
              <w:rPr>
                <w:rFonts w:hint="eastAsia" w:ascii="仿宋_GB2312" w:hAnsi="Times New Roman" w:eastAsia="仿宋_GB2312" w:cs="仿宋_GB2312"/>
                <w:b/>
                <w:bCs/>
                <w:i w:val="0"/>
                <w:iCs w:val="0"/>
                <w:color w:val="000000"/>
                <w:kern w:val="0"/>
                <w:sz w:val="22"/>
                <w:szCs w:val="22"/>
                <w:u w:val="none"/>
                <w:lang w:val="en-US" w:eastAsia="zh-CN" w:bidi="ar"/>
              </w:rPr>
              <w:t>项目管理</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eastAsia" w:ascii="Times New Roman" w:hAnsi="Times New Roman" w:cs="Times New Roman"/>
                <w:b/>
                <w:bCs/>
                <w:i w:val="0"/>
                <w:iCs w:val="0"/>
                <w:color w:val="000000"/>
                <w:kern w:val="0"/>
                <w:sz w:val="22"/>
                <w:szCs w:val="22"/>
                <w:u w:val="none"/>
                <w:lang w:val="en-US" w:eastAsia="zh-CN" w:bidi="ar"/>
              </w:rPr>
              <w:t>9.00</w:t>
            </w:r>
            <w:r>
              <w:rPr>
                <w:rFonts w:hint="default" w:ascii="Times New Roman" w:hAnsi="Times New Roman" w:eastAsia="宋体" w:cs="Times New Roman"/>
                <w:b/>
                <w:bCs/>
                <w:i w:val="0"/>
                <w:iCs w:val="0"/>
                <w:color w:val="000000"/>
                <w:kern w:val="0"/>
                <w:sz w:val="22"/>
                <w:szCs w:val="22"/>
                <w:u w:val="none"/>
                <w:lang w:val="en-US" w:eastAsia="zh-CN" w:bidi="ar"/>
              </w:rPr>
              <w:t xml:space="preserve">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eastAsia" w:ascii="Times New Roman" w:hAnsi="Times New Roman" w:cs="Times New Roman"/>
                <w:b/>
                <w:bCs/>
                <w:i w:val="0"/>
                <w:iCs w:val="0"/>
                <w:color w:val="000000"/>
                <w:kern w:val="0"/>
                <w:sz w:val="22"/>
                <w:szCs w:val="22"/>
                <w:u w:val="none"/>
                <w:lang w:val="en-US" w:eastAsia="zh-CN" w:bidi="ar"/>
              </w:rPr>
              <w:t>69.23</w:t>
            </w:r>
            <w:r>
              <w:rPr>
                <w:rFonts w:hint="default" w:ascii="Times New Roman" w:hAnsi="Times New Roman" w:eastAsia="宋体" w:cs="Times New Roman"/>
                <w:b/>
                <w:bCs/>
                <w:i w:val="0"/>
                <w:iCs w:val="0"/>
                <w:color w:val="000000"/>
                <w:kern w:val="0"/>
                <w:sz w:val="22"/>
                <w:szCs w:val="22"/>
                <w:u w:val="none"/>
                <w:lang w:val="en-US" w:eastAsia="zh-CN" w:bidi="ar"/>
              </w:rPr>
              <w:t>%</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90"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eastAsia" w:ascii="Times New Roman" w:hAnsi="Times New Roman" w:cs="Times New Roman"/>
                <w:i w:val="0"/>
                <w:iCs w:val="0"/>
                <w:color w:val="000000"/>
                <w:kern w:val="0"/>
                <w:sz w:val="22"/>
                <w:szCs w:val="22"/>
                <w:u w:val="none"/>
                <w:lang w:val="en-US" w:eastAsia="zh-CN" w:bidi="ar"/>
              </w:rPr>
              <w:t>0.00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r>
              <w:rPr>
                <w:rFonts w:hint="eastAsia" w:ascii="Times New Roman" w:hAnsi="Times New Roman" w:cs="Times New Roman"/>
                <w:i w:val="0"/>
                <w:iCs w:val="0"/>
                <w:color w:val="000000"/>
                <w:kern w:val="0"/>
                <w:sz w:val="22"/>
                <w:szCs w:val="22"/>
                <w:u w:val="none"/>
                <w:lang w:val="en-US" w:eastAsia="zh-CN" w:bidi="ar"/>
              </w:rPr>
              <w:t>.00</w:t>
            </w:r>
            <w:r>
              <w:rPr>
                <w:rFonts w:hint="default" w:ascii="Times New Roman" w:hAnsi="Times New Roman" w:eastAsia="宋体" w:cs="Times New Roman"/>
                <w:i w:val="0"/>
                <w:iCs w:val="0"/>
                <w:color w:val="000000"/>
                <w:kern w:val="0"/>
                <w:sz w:val="22"/>
                <w:szCs w:val="22"/>
                <w:u w:val="none"/>
                <w:lang w:val="en-US" w:eastAsia="zh-CN" w:bidi="ar"/>
              </w:rPr>
              <w:t>%</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lang w:val="en-US"/>
              </w:rPr>
            </w:pPr>
            <w:r>
              <w:rPr>
                <w:rFonts w:hint="default" w:ascii="Times New Roman" w:hAnsi="Times New Roman" w:eastAsia="宋体" w:cs="Times New Roman"/>
                <w:b/>
                <w:bCs/>
                <w:i w:val="0"/>
                <w:iCs w:val="0"/>
                <w:color w:val="000000"/>
                <w:kern w:val="0"/>
                <w:sz w:val="22"/>
                <w:szCs w:val="22"/>
                <w:u w:val="none"/>
                <w:lang w:val="en-US" w:eastAsia="zh-CN" w:bidi="ar"/>
              </w:rPr>
              <w:t>2</w:t>
            </w:r>
            <w:r>
              <w:rPr>
                <w:rFonts w:hint="eastAsia" w:ascii="Times New Roman" w:hAnsi="Times New Roman" w:cs="Times New Roman"/>
                <w:b/>
                <w:bCs/>
                <w:i w:val="0"/>
                <w:iCs w:val="0"/>
                <w:color w:val="000000"/>
                <w:kern w:val="0"/>
                <w:sz w:val="22"/>
                <w:szCs w:val="22"/>
                <w:u w:val="none"/>
                <w:lang w:val="en-US" w:eastAsia="zh-CN" w:bidi="ar"/>
              </w:rPr>
              <w:t>1.00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eastAsia" w:ascii="Times New Roman" w:hAnsi="Times New Roman" w:cs="Times New Roman"/>
                <w:b/>
                <w:bCs/>
                <w:i w:val="0"/>
                <w:iCs w:val="0"/>
                <w:color w:val="000000"/>
                <w:kern w:val="0"/>
                <w:sz w:val="22"/>
                <w:szCs w:val="22"/>
                <w:u w:val="none"/>
                <w:lang w:val="en-US" w:eastAsia="zh-CN" w:bidi="ar"/>
              </w:rPr>
              <w:t>84</w:t>
            </w:r>
            <w:r>
              <w:rPr>
                <w:rFonts w:hint="default" w:ascii="Times New Roman" w:hAnsi="Times New Roman" w:eastAsia="宋体" w:cs="Times New Roman"/>
                <w:b/>
                <w:bCs/>
                <w:i w:val="0"/>
                <w:iCs w:val="0"/>
                <w:color w:val="000000"/>
                <w:kern w:val="0"/>
                <w:sz w:val="22"/>
                <w:szCs w:val="22"/>
                <w:u w:val="none"/>
                <w:lang w:val="en-US" w:eastAsia="zh-CN" w:bidi="ar"/>
              </w:rPr>
              <w:t>.00%</w:t>
            </w:r>
          </w:p>
        </w:tc>
      </w:tr>
    </w:tbl>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eastAsia="仿宋" w:cs="Times New Roman"/>
          <w:b w:val="0"/>
          <w:bCs/>
          <w:sz w:val="32"/>
          <w:szCs w:val="32"/>
          <w:lang w:val="en-US" w:eastAsia="zh-CN"/>
        </w:rPr>
      </w:pPr>
      <w:r>
        <w:rPr>
          <w:rFonts w:hint="eastAsia" w:eastAsia="仿宋" w:cs="Times New Roman"/>
          <w:b w:val="0"/>
          <w:bCs/>
          <w:sz w:val="32"/>
          <w:szCs w:val="32"/>
          <w:lang w:val="en-US" w:eastAsia="zh-CN"/>
        </w:rPr>
        <w:t>淮滨县2020年扶贫通村通组道路配套桥涵建设项目管理较为科学、规范。项目预算资金3198.98万元，实际到位资金3198.98万元，资金到位率为100%。项目预算执行情况较好。实际到位资金3198.98万元，截至2020年12月31日，实际支出资金3198.98万元，预算执行率为100%。项目财务管理制度健全、资金使用合规、财务监控有效，资金支出符合国家财经法规和财务管理制度，项目支出符合项目预算批复用途及合同规定用途。项目库建设及管理、政府采购较为规范。淮滨县建立有2020年脱贫攻坚项目库和项目库管理制度，入库项目均经过充分论证，入库项目内容完整；政府采购均按照相关限额标准采用合适采购方式，采购合同内容全面，合同签订过程中审批程序、签订形式规范，严格依据合同条例执行合同管理。项目管理实施规范。项目管理遵守相关法律法规及管理规定，调整及支出调整手续完备，实施方案、项目合同书、监理报告、验收报告、报账材料、监督检查报告、扶贫资产台账、资产移交手续等资料齐全等。</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 w:cs="Times New Roman"/>
          <w:b w:val="0"/>
          <w:bCs/>
          <w:sz w:val="32"/>
          <w:szCs w:val="32"/>
          <w:lang w:val="en-US" w:eastAsia="zh-CN"/>
        </w:rPr>
      </w:pPr>
      <w:r>
        <w:rPr>
          <w:rFonts w:hint="eastAsia" w:eastAsia="仿宋" w:cs="Times New Roman"/>
          <w:b w:val="0"/>
          <w:bCs/>
          <w:sz w:val="32"/>
          <w:szCs w:val="32"/>
          <w:lang w:val="en-US" w:eastAsia="zh-CN"/>
        </w:rPr>
        <w:t>但该项目利益联结机制、信息公开和公告公示制度执行不够有效，项目利益联结机制包含联结主体、联结模式等方面，但是项目实施方案中没有利益联结机制相关内容，且公示内容不够完整。</w:t>
      </w:r>
    </w:p>
    <w:p>
      <w:pPr>
        <w:pStyle w:val="52"/>
        <w:bidi w:val="0"/>
        <w:rPr>
          <w:rFonts w:hint="default" w:ascii="Times New Roman" w:hAnsi="Times New Roman" w:eastAsia="仿宋" w:cs="Times New Roman"/>
          <w:szCs w:val="32"/>
        </w:rPr>
      </w:pPr>
      <w:bookmarkStart w:id="255" w:name="_Toc5970"/>
      <w:bookmarkStart w:id="256" w:name="_Toc3988"/>
      <w:bookmarkStart w:id="257" w:name="_Toc23264926"/>
      <w:bookmarkStart w:id="258" w:name="_Toc31021"/>
      <w:bookmarkStart w:id="259" w:name="_Toc11432"/>
      <w:bookmarkStart w:id="260" w:name="_Toc16175"/>
      <w:bookmarkStart w:id="261" w:name="_Toc23267052"/>
      <w:bookmarkStart w:id="262" w:name="_Toc20382"/>
      <w:bookmarkStart w:id="263" w:name="_Toc16619"/>
      <w:bookmarkStart w:id="264" w:name="_Toc23266441"/>
      <w:r>
        <w:rPr>
          <w:rFonts w:hint="default" w:ascii="Times New Roman" w:hAnsi="Times New Roman" w:cs="Times New Roman"/>
          <w:b/>
          <w:bCs/>
        </w:rPr>
        <w:t>3.项目产出</w:t>
      </w:r>
      <w:bookmarkEnd w:id="255"/>
      <w:bookmarkEnd w:id="256"/>
      <w:bookmarkEnd w:id="257"/>
      <w:bookmarkEnd w:id="258"/>
      <w:bookmarkEnd w:id="259"/>
      <w:bookmarkEnd w:id="260"/>
      <w:bookmarkEnd w:id="261"/>
      <w:bookmarkEnd w:id="262"/>
      <w:bookmarkEnd w:id="263"/>
      <w:bookmarkEnd w:id="264"/>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b/>
          <w:color w:val="000000"/>
          <w:sz w:val="21"/>
          <w:szCs w:val="21"/>
        </w:rPr>
      </w:pPr>
      <w:r>
        <w:rPr>
          <w:rFonts w:hint="default" w:ascii="Times New Roman" w:hAnsi="Times New Roman" w:eastAsia="仿宋" w:cs="Times New Roman"/>
          <w:color w:val="000000"/>
          <w:sz w:val="32"/>
          <w:szCs w:val="32"/>
        </w:rPr>
        <w:t>项目产出指标包含</w:t>
      </w:r>
      <w:r>
        <w:rPr>
          <w:rFonts w:hint="default" w:ascii="Times New Roman" w:hAnsi="Times New Roman" w:eastAsia="仿宋" w:cs="Times New Roman"/>
          <w:color w:val="000000"/>
          <w:sz w:val="32"/>
          <w:szCs w:val="32"/>
          <w:lang w:val="en-US" w:eastAsia="zh-CN"/>
        </w:rPr>
        <w:t>4</w:t>
      </w:r>
      <w:r>
        <w:rPr>
          <w:rFonts w:hint="default" w:ascii="Times New Roman" w:hAnsi="Times New Roman" w:eastAsia="仿宋" w:cs="Times New Roman"/>
          <w:color w:val="000000"/>
          <w:sz w:val="32"/>
          <w:szCs w:val="32"/>
        </w:rPr>
        <w:t>个二级指标</w:t>
      </w:r>
      <w:r>
        <w:rPr>
          <w:rFonts w:hint="eastAsia" w:cs="Times New Roman"/>
          <w:color w:val="000000"/>
          <w:sz w:val="32"/>
          <w:szCs w:val="32"/>
          <w:lang w:val="en-US" w:eastAsia="zh-CN"/>
        </w:rPr>
        <w:t>9</w:t>
      </w:r>
      <w:r>
        <w:rPr>
          <w:rFonts w:hint="default" w:ascii="Times New Roman" w:hAnsi="Times New Roman" w:eastAsia="仿宋" w:cs="Times New Roman"/>
          <w:color w:val="000000"/>
          <w:sz w:val="32"/>
          <w:szCs w:val="32"/>
        </w:rPr>
        <w:t>个三级指标，权重为</w:t>
      </w:r>
      <w:r>
        <w:rPr>
          <w:rFonts w:hint="default" w:ascii="Times New Roman" w:hAnsi="Times New Roman" w:eastAsia="仿宋" w:cs="Times New Roman"/>
          <w:color w:val="000000"/>
          <w:sz w:val="32"/>
          <w:szCs w:val="32"/>
          <w:lang w:val="en-US" w:eastAsia="zh-CN"/>
        </w:rPr>
        <w:t>30</w:t>
      </w:r>
      <w:r>
        <w:rPr>
          <w:rFonts w:hint="default" w:ascii="Times New Roman" w:hAnsi="Times New Roman" w:eastAsia="仿宋" w:cs="Times New Roman"/>
          <w:color w:val="000000"/>
          <w:sz w:val="32"/>
          <w:szCs w:val="32"/>
        </w:rPr>
        <w:t>分，该项得分</w:t>
      </w:r>
      <w:r>
        <w:rPr>
          <w:rFonts w:hint="eastAsia" w:cs="Times New Roman"/>
          <w:color w:val="000000" w:themeColor="text1"/>
          <w:sz w:val="32"/>
          <w:szCs w:val="32"/>
          <w:lang w:val="en-US" w:eastAsia="zh-CN"/>
          <w14:textFill>
            <w14:solidFill>
              <w14:schemeClr w14:val="tx1"/>
            </w14:solidFill>
          </w14:textFill>
        </w:rPr>
        <w:t>30</w:t>
      </w:r>
      <w:r>
        <w:rPr>
          <w:rFonts w:hint="default" w:ascii="Times New Roman" w:hAnsi="Times New Roman" w:eastAsia="仿宋" w:cs="Times New Roman"/>
          <w:color w:val="000000"/>
          <w:sz w:val="32"/>
          <w:szCs w:val="32"/>
        </w:rPr>
        <w:t>分，得分率</w:t>
      </w:r>
      <w:r>
        <w:rPr>
          <w:rFonts w:hint="eastAsia"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 w:cs="Times New Roman"/>
          <w:color w:val="000000"/>
          <w:sz w:val="32"/>
          <w:szCs w:val="32"/>
        </w:rPr>
        <w:t>。各指标得分情况如表3-4：</w:t>
      </w:r>
    </w:p>
    <w:p>
      <w:pPr>
        <w:pStyle w:val="6"/>
        <w:keepNext w:val="0"/>
        <w:keepLines w:val="0"/>
        <w:pageBreakBefore w:val="0"/>
        <w:widowControl w:val="0"/>
        <w:tabs>
          <w:tab w:val="left" w:pos="6948"/>
        </w:tabs>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cs="Times New Roman"/>
          <w:b/>
          <w:color w:val="000000"/>
          <w:sz w:val="21"/>
          <w:szCs w:val="21"/>
        </w:rPr>
      </w:pPr>
      <w:r>
        <w:rPr>
          <w:rFonts w:hint="default" w:ascii="Times New Roman" w:hAnsi="Times New Roman" w:eastAsia="仿宋_GB2312" w:cs="Times New Roman"/>
          <w:b/>
          <w:color w:val="000000"/>
          <w:sz w:val="24"/>
          <w:szCs w:val="24"/>
        </w:rPr>
        <w:t>表3-4 项目产出指标得分情况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tblCellMar>
            <w:top w:w="0" w:type="dxa"/>
            <w:left w:w="108" w:type="dxa"/>
            <w:bottom w:w="0" w:type="dxa"/>
            <w:right w:w="108" w:type="dxa"/>
          </w:tblCellMar>
        </w:tblPrEx>
        <w:trPr>
          <w:trHeight w:val="57" w:hRule="atLeast"/>
          <w:tblHeader/>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C1</w:t>
            </w:r>
            <w:r>
              <w:rPr>
                <w:rFonts w:hint="eastAsia" w:ascii="仿宋_GB2312" w:hAnsi="Times New Roman" w:eastAsia="仿宋_GB2312" w:cs="仿宋_GB2312"/>
                <w:b/>
                <w:bCs/>
                <w:i w:val="0"/>
                <w:iCs w:val="0"/>
                <w:color w:val="000000"/>
                <w:kern w:val="0"/>
                <w:sz w:val="22"/>
                <w:szCs w:val="22"/>
                <w:u w:val="none"/>
                <w:lang w:val="en-US" w:eastAsia="zh-CN" w:bidi="ar"/>
              </w:rPr>
              <w:t>产出数量</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8.00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3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ascii="仿宋_GB2312" w:hAnsi="Times New Roman" w:eastAsia="仿宋_GB2312" w:cs="仿宋_GB2312"/>
                <w:i w:val="0"/>
                <w:iCs w:val="0"/>
                <w:color w:val="000000"/>
                <w:kern w:val="0"/>
                <w:sz w:val="22"/>
                <w:szCs w:val="22"/>
                <w:u w:val="none"/>
                <w:lang w:val="en-US" w:eastAsia="zh-CN" w:bidi="ar"/>
              </w:rPr>
              <w:t>贫困村公路危桥处置数量</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3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ascii="仿宋_GB2312" w:hAnsi="Times New Roman" w:eastAsia="仿宋_GB2312" w:cs="仿宋_GB2312"/>
                <w:i w:val="0"/>
                <w:iCs w:val="0"/>
                <w:color w:val="000000"/>
                <w:kern w:val="0"/>
                <w:sz w:val="22"/>
                <w:szCs w:val="22"/>
                <w:u w:val="none"/>
                <w:lang w:val="en-US" w:eastAsia="zh-CN" w:bidi="ar"/>
              </w:rPr>
              <w:t>完成配套桥梁建设长度</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3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ascii="仿宋_GB2312" w:hAnsi="Times New Roman" w:eastAsia="仿宋_GB2312" w:cs="仿宋_GB2312"/>
                <w:i w:val="0"/>
                <w:iCs w:val="0"/>
                <w:color w:val="000000"/>
                <w:kern w:val="0"/>
                <w:sz w:val="22"/>
                <w:szCs w:val="22"/>
                <w:u w:val="none"/>
                <w:lang w:val="en-US" w:eastAsia="zh-CN" w:bidi="ar"/>
              </w:rPr>
              <w:t>完成板涵建设数量</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3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C104</w:t>
            </w:r>
            <w:r>
              <w:rPr>
                <w:rFonts w:ascii="仿宋_GB2312" w:hAnsi="Times New Roman" w:eastAsia="仿宋_GB2312" w:cs="仿宋_GB2312"/>
                <w:i w:val="0"/>
                <w:iCs w:val="0"/>
                <w:color w:val="000000"/>
                <w:kern w:val="0"/>
                <w:sz w:val="22"/>
                <w:szCs w:val="22"/>
                <w:u w:val="none"/>
                <w:lang w:val="en-US" w:eastAsia="zh-CN" w:bidi="ar"/>
              </w:rPr>
              <w:t>完成管涵建设长度</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C2</w:t>
            </w:r>
            <w:r>
              <w:rPr>
                <w:rFonts w:hint="eastAsia" w:ascii="仿宋_GB2312" w:hAnsi="Times New Roman" w:eastAsia="仿宋_GB2312" w:cs="仿宋_GB2312"/>
                <w:b/>
                <w:bCs/>
                <w:i w:val="0"/>
                <w:iCs w:val="0"/>
                <w:color w:val="000000"/>
                <w:kern w:val="0"/>
                <w:sz w:val="22"/>
                <w:szCs w:val="22"/>
                <w:u w:val="none"/>
                <w:lang w:val="en-US" w:eastAsia="zh-CN" w:bidi="ar"/>
              </w:rPr>
              <w:t>产出质量</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14</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C3</w:t>
            </w:r>
            <w:r>
              <w:rPr>
                <w:rFonts w:hint="eastAsia" w:ascii="仿宋_GB2312" w:hAnsi="Times New Roman" w:eastAsia="仿宋_GB2312" w:cs="仿宋_GB2312"/>
                <w:b/>
                <w:bCs/>
                <w:i w:val="0"/>
                <w:iCs w:val="0"/>
                <w:color w:val="000000"/>
                <w:kern w:val="0"/>
                <w:sz w:val="22"/>
                <w:szCs w:val="22"/>
                <w:u w:val="none"/>
                <w:lang w:val="en-US" w:eastAsia="zh-CN" w:bidi="ar"/>
              </w:rPr>
              <w:t>产出时效</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C4</w:t>
            </w:r>
            <w:r>
              <w:rPr>
                <w:rFonts w:hint="eastAsia" w:ascii="仿宋_GB2312" w:hAnsi="Times New Roman" w:eastAsia="仿宋_GB2312" w:cs="仿宋_GB2312"/>
                <w:b/>
                <w:bCs/>
                <w:i w:val="0"/>
                <w:iCs w:val="0"/>
                <w:color w:val="000000"/>
                <w:kern w:val="0"/>
                <w:sz w:val="22"/>
                <w:szCs w:val="22"/>
                <w:u w:val="none"/>
                <w:lang w:val="en-US" w:eastAsia="zh-CN" w:bidi="ar"/>
              </w:rPr>
              <w:t>产出成本</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桥梁建设成本</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C402</w:t>
            </w:r>
            <w:r>
              <w:rPr>
                <w:rFonts w:hint="eastAsia" w:ascii="仿宋_GB2312" w:hAnsi="Times New Roman" w:eastAsia="仿宋_GB2312" w:cs="仿宋_GB2312"/>
                <w:i w:val="0"/>
                <w:iCs w:val="0"/>
                <w:color w:val="000000"/>
                <w:kern w:val="0"/>
                <w:sz w:val="22"/>
                <w:szCs w:val="22"/>
                <w:u w:val="none"/>
                <w:lang w:val="en-US" w:eastAsia="zh-CN" w:bidi="ar"/>
              </w:rPr>
              <w:t>盖板涵建设成本</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C403</w:t>
            </w:r>
            <w:r>
              <w:rPr>
                <w:rFonts w:hint="eastAsia" w:ascii="仿宋_GB2312" w:hAnsi="Times New Roman" w:eastAsia="仿宋_GB2312" w:cs="仿宋_GB2312"/>
                <w:i w:val="0"/>
                <w:iCs w:val="0"/>
                <w:color w:val="000000"/>
                <w:kern w:val="0"/>
                <w:sz w:val="22"/>
                <w:szCs w:val="22"/>
                <w:u w:val="none"/>
                <w:lang w:val="en-US" w:eastAsia="zh-CN" w:bidi="ar"/>
              </w:rPr>
              <w:t>圆管涵及路面修补建设成本</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57"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bl>
    <w:p>
      <w:pPr>
        <w:pStyle w:val="6"/>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ascii="Times New Roman" w:hAnsi="Times New Roman" w:cs="Times New Roman"/>
          <w:color w:val="000000"/>
          <w:szCs w:val="21"/>
          <w:lang w:val="en-US" w:eastAsia="zh-CN"/>
        </w:rPr>
      </w:pPr>
      <w:r>
        <w:rPr>
          <w:rFonts w:hint="eastAsia" w:cs="Times New Roman"/>
          <w:color w:val="000000"/>
          <w:szCs w:val="21"/>
          <w:lang w:val="en-US" w:eastAsia="zh-CN"/>
        </w:rPr>
        <w:t>该项目产出数量达标，项目完成贫困村公路危桥处置99座，配套桥梁867延米，板涵43座，管涵136延米。项目验收合格，桥涵设计及施工符合现行的国家有关建筑设计规范和行业标准。项目完工及时，于2020年5月开工，2020年9月完工，按计划进度完成施工任务。项目成本节约率高。桥梁实际建设成本为0.4万元/㎡、盖板涵实际建设成本为0.65万元/㎡，与计划成本无偏差；且圆管涵及路面修补建设成本与设置的标准值无偏差。</w:t>
      </w:r>
    </w:p>
    <w:p>
      <w:pPr>
        <w:pStyle w:val="52"/>
        <w:bidi w:val="0"/>
        <w:rPr>
          <w:rFonts w:hint="eastAsia" w:ascii="Times New Roman" w:hAnsi="Times New Roman" w:eastAsia="仿宋" w:cs="Times New Roman"/>
          <w:b/>
          <w:bCs/>
          <w:lang w:eastAsia="zh-CN"/>
        </w:rPr>
      </w:pPr>
      <w:bookmarkStart w:id="265" w:name="_Toc14144"/>
      <w:bookmarkStart w:id="266" w:name="_Toc14003"/>
      <w:bookmarkStart w:id="267" w:name="_Toc15345"/>
      <w:bookmarkStart w:id="268" w:name="_Toc23266442"/>
      <w:bookmarkStart w:id="269" w:name="_Toc15403"/>
      <w:bookmarkStart w:id="270" w:name="_Toc6774"/>
      <w:bookmarkStart w:id="271" w:name="_Toc23264927"/>
      <w:bookmarkStart w:id="272" w:name="_Toc23267053"/>
      <w:bookmarkStart w:id="273" w:name="_Toc12091"/>
      <w:bookmarkStart w:id="274" w:name="_Toc18499"/>
      <w:r>
        <w:rPr>
          <w:rFonts w:hint="default" w:ascii="Times New Roman" w:hAnsi="Times New Roman" w:cs="Times New Roman"/>
          <w:b/>
          <w:bCs/>
        </w:rPr>
        <w:t>4.项目效</w:t>
      </w:r>
      <w:bookmarkEnd w:id="265"/>
      <w:bookmarkEnd w:id="266"/>
      <w:bookmarkEnd w:id="267"/>
      <w:bookmarkEnd w:id="268"/>
      <w:bookmarkEnd w:id="269"/>
      <w:bookmarkEnd w:id="270"/>
      <w:bookmarkEnd w:id="271"/>
      <w:bookmarkEnd w:id="272"/>
      <w:bookmarkEnd w:id="273"/>
      <w:bookmarkEnd w:id="274"/>
      <w:r>
        <w:rPr>
          <w:rFonts w:hint="eastAsia" w:cs="Times New Roman"/>
          <w:b/>
          <w:bCs/>
          <w:lang w:val="en-US" w:eastAsia="zh-CN"/>
        </w:rPr>
        <w:t>益</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项目效</w:t>
      </w:r>
      <w:r>
        <w:rPr>
          <w:rFonts w:hint="eastAsia" w:cs="Times New Roman"/>
          <w:color w:val="000000"/>
          <w:szCs w:val="21"/>
          <w:lang w:val="en-US" w:eastAsia="zh-CN"/>
        </w:rPr>
        <w:t>益</w:t>
      </w:r>
      <w:r>
        <w:rPr>
          <w:rFonts w:hint="default" w:ascii="Times New Roman" w:hAnsi="Times New Roman" w:cs="Times New Roman"/>
          <w:color w:val="000000"/>
          <w:szCs w:val="21"/>
        </w:rPr>
        <w:t>指标包含</w:t>
      </w:r>
      <w:r>
        <w:rPr>
          <w:rFonts w:hint="eastAsia" w:cs="Times New Roman"/>
          <w:color w:val="000000"/>
          <w:szCs w:val="21"/>
          <w:lang w:val="en-US" w:eastAsia="zh-CN"/>
        </w:rPr>
        <w:t>3</w:t>
      </w:r>
      <w:r>
        <w:rPr>
          <w:rFonts w:hint="default" w:ascii="Times New Roman" w:hAnsi="Times New Roman" w:cs="Times New Roman"/>
          <w:color w:val="000000"/>
          <w:szCs w:val="21"/>
        </w:rPr>
        <w:t>个二级指标</w:t>
      </w:r>
      <w:r>
        <w:rPr>
          <w:rFonts w:hint="eastAsia" w:cs="Times New Roman"/>
          <w:color w:val="000000"/>
          <w:szCs w:val="21"/>
          <w:lang w:val="en-US" w:eastAsia="zh-CN"/>
        </w:rPr>
        <w:t>8</w:t>
      </w:r>
      <w:r>
        <w:rPr>
          <w:rFonts w:hint="default" w:ascii="Times New Roman" w:hAnsi="Times New Roman" w:cs="Times New Roman"/>
          <w:color w:val="000000"/>
          <w:szCs w:val="21"/>
        </w:rPr>
        <w:t>个三级指标，权重为</w:t>
      </w:r>
      <w:r>
        <w:rPr>
          <w:rFonts w:hint="default" w:ascii="Times New Roman" w:hAnsi="Times New Roman" w:cs="Times New Roman"/>
          <w:color w:val="000000"/>
          <w:szCs w:val="21"/>
          <w:lang w:val="en-US" w:eastAsia="zh-CN"/>
        </w:rPr>
        <w:t>30</w:t>
      </w:r>
      <w:r>
        <w:rPr>
          <w:rFonts w:hint="default" w:ascii="Times New Roman" w:hAnsi="Times New Roman" w:cs="Times New Roman"/>
          <w:color w:val="000000"/>
          <w:szCs w:val="21"/>
        </w:rPr>
        <w:t>分，该项得分</w:t>
      </w:r>
      <w:r>
        <w:rPr>
          <w:rFonts w:hint="eastAsia" w:cs="Times New Roman"/>
          <w:color w:val="000000"/>
          <w:szCs w:val="21"/>
          <w:lang w:val="en-US" w:eastAsia="zh-CN"/>
        </w:rPr>
        <w:t>28.80</w:t>
      </w:r>
      <w:r>
        <w:rPr>
          <w:rFonts w:hint="default" w:ascii="Times New Roman" w:hAnsi="Times New Roman" w:cs="Times New Roman"/>
          <w:color w:val="000000"/>
          <w:szCs w:val="21"/>
        </w:rPr>
        <w:t>分，得分率</w:t>
      </w:r>
      <w:r>
        <w:rPr>
          <w:rFonts w:hint="eastAsia" w:cs="Times New Roman"/>
          <w:color w:val="000000" w:themeColor="text1"/>
          <w:szCs w:val="21"/>
          <w:lang w:val="en-US" w:eastAsia="zh-CN"/>
          <w14:textFill>
            <w14:solidFill>
              <w14:schemeClr w14:val="tx1"/>
            </w14:solidFill>
          </w14:textFill>
        </w:rPr>
        <w:t>96.00</w:t>
      </w:r>
      <w:r>
        <w:rPr>
          <w:rFonts w:hint="default" w:ascii="Times New Roman" w:hAnsi="Times New Roman"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szCs w:val="21"/>
        </w:rPr>
        <w:t>。主要扣分指标为扶贫项目带贫减贫机制有效性</w:t>
      </w:r>
      <w:r>
        <w:rPr>
          <w:rFonts w:hint="eastAsia" w:cs="Times New Roman"/>
          <w:color w:val="000000"/>
          <w:szCs w:val="21"/>
          <w:lang w:eastAsia="zh-CN"/>
        </w:rPr>
        <w:t>、</w:t>
      </w:r>
      <w:r>
        <w:rPr>
          <w:rFonts w:hint="eastAsia" w:cs="Times New Roman"/>
          <w:color w:val="000000"/>
          <w:szCs w:val="21"/>
          <w:lang w:val="en-US" w:eastAsia="zh-CN"/>
        </w:rPr>
        <w:t>受益</w:t>
      </w:r>
      <w:r>
        <w:rPr>
          <w:rFonts w:hint="eastAsia" w:cs="Times New Roman"/>
          <w:color w:val="000000"/>
          <w:szCs w:val="21"/>
          <w:lang w:eastAsia="zh-CN"/>
        </w:rPr>
        <w:t>贫困</w:t>
      </w:r>
      <w:r>
        <w:rPr>
          <w:rFonts w:hint="eastAsia" w:cs="Times New Roman"/>
          <w:color w:val="000000"/>
          <w:szCs w:val="21"/>
          <w:lang w:val="en-US" w:eastAsia="zh-CN"/>
        </w:rPr>
        <w:t>人口</w:t>
      </w:r>
      <w:r>
        <w:rPr>
          <w:rFonts w:hint="eastAsia" w:cs="Times New Roman"/>
          <w:color w:val="000000"/>
          <w:szCs w:val="21"/>
          <w:lang w:eastAsia="zh-CN"/>
        </w:rPr>
        <w:t>满意度。</w:t>
      </w:r>
      <w:r>
        <w:rPr>
          <w:rFonts w:hint="default" w:ascii="Times New Roman" w:hAnsi="Times New Roman" w:cs="Times New Roman"/>
          <w:color w:val="000000"/>
          <w:szCs w:val="21"/>
        </w:rPr>
        <w:t xml:space="preserve">各指标得分情况如表3-5： </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表3-5 项目效</w:t>
      </w:r>
      <w:r>
        <w:rPr>
          <w:rFonts w:hint="eastAsia" w:cs="Times New Roman"/>
          <w:sz w:val="24"/>
          <w:szCs w:val="24"/>
          <w:lang w:val="en-US" w:eastAsia="zh-CN"/>
        </w:rPr>
        <w:t>益</w:t>
      </w:r>
      <w:r>
        <w:rPr>
          <w:rFonts w:hint="default" w:ascii="Times New Roman" w:hAnsi="Times New Roman" w:eastAsia="仿宋_GB2312" w:cs="Times New Roman"/>
          <w:sz w:val="24"/>
          <w:szCs w:val="24"/>
        </w:rPr>
        <w:t>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4810"/>
        <w:gridCol w:w="1037"/>
        <w:gridCol w:w="1122"/>
        <w:gridCol w:w="1556"/>
      </w:tblGrid>
      <w:tr>
        <w:tblPrEx>
          <w:tblCellMar>
            <w:top w:w="0" w:type="dxa"/>
            <w:left w:w="108" w:type="dxa"/>
            <w:bottom w:w="0" w:type="dxa"/>
            <w:right w:w="108" w:type="dxa"/>
          </w:tblCellMar>
        </w:tblPrEx>
        <w:trPr>
          <w:trHeight w:val="282" w:hRule="atLeast"/>
        </w:trPr>
        <w:tc>
          <w:tcPr>
            <w:tcW w:w="282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6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65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912"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D1</w:t>
            </w:r>
            <w:r>
              <w:rPr>
                <w:rFonts w:hint="eastAsia" w:ascii="仿宋_GB2312" w:hAnsi="Times New Roman" w:eastAsia="仿宋_GB2312" w:cs="仿宋_GB2312"/>
                <w:b/>
                <w:bCs/>
                <w:i w:val="0"/>
                <w:iCs w:val="0"/>
                <w:color w:val="000000"/>
                <w:kern w:val="0"/>
                <w:sz w:val="22"/>
                <w:szCs w:val="22"/>
                <w:u w:val="none"/>
                <w:lang w:val="en-US" w:eastAsia="zh-CN" w:bidi="ar"/>
              </w:rPr>
              <w:t>社会效益</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20</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20.00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4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ascii="仿宋_GB2312" w:hAnsi="Times New Roman" w:eastAsia="仿宋_GB2312" w:cs="仿宋_GB2312"/>
                <w:i w:val="0"/>
                <w:iCs w:val="0"/>
                <w:color w:val="000000"/>
                <w:kern w:val="0"/>
                <w:sz w:val="22"/>
                <w:szCs w:val="22"/>
                <w:u w:val="none"/>
                <w:lang w:val="en-US" w:eastAsia="zh-CN" w:bidi="ar"/>
              </w:rPr>
              <w:t>贫困地区建制村通客车率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ascii="仿宋_GB2312" w:hAnsi="Times New Roman" w:eastAsia="仿宋_GB2312" w:cs="仿宋_GB2312"/>
                <w:i w:val="0"/>
                <w:iCs w:val="0"/>
                <w:color w:val="000000"/>
                <w:kern w:val="0"/>
                <w:sz w:val="22"/>
                <w:szCs w:val="22"/>
                <w:u w:val="none"/>
                <w:lang w:val="en-US" w:eastAsia="zh-CN" w:bidi="ar"/>
              </w:rPr>
              <w:t>具备条件的建档立卡贫困村通硬化路率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4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D103</w:t>
            </w:r>
            <w:r>
              <w:rPr>
                <w:rFonts w:ascii="仿宋_GB2312" w:hAnsi="Times New Roman" w:eastAsia="仿宋_GB2312" w:cs="仿宋_GB2312"/>
                <w:i w:val="0"/>
                <w:iCs w:val="0"/>
                <w:color w:val="000000"/>
                <w:kern w:val="0"/>
                <w:sz w:val="22"/>
                <w:szCs w:val="22"/>
                <w:u w:val="none"/>
                <w:lang w:val="en-US" w:eastAsia="zh-CN" w:bidi="ar"/>
              </w:rPr>
              <w:t>贫困地区居民出行平均缩短时间</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4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D104</w:t>
            </w:r>
            <w:r>
              <w:rPr>
                <w:rFonts w:hint="eastAsia" w:ascii="仿宋_GB2312" w:hAnsi="Times New Roman" w:eastAsia="仿宋_GB2312" w:cs="仿宋_GB2312"/>
                <w:i w:val="0"/>
                <w:iCs w:val="0"/>
                <w:color w:val="000000"/>
                <w:kern w:val="0"/>
                <w:sz w:val="22"/>
                <w:szCs w:val="22"/>
                <w:u w:val="none"/>
                <w:lang w:val="en-US" w:eastAsia="zh-CN" w:bidi="ar"/>
              </w:rPr>
              <w:t>扶贫项目带贫减贫机制有效性</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 xml:space="preserve">3.20 </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80.00%</w:t>
            </w:r>
          </w:p>
        </w:tc>
      </w:tr>
      <w:tr>
        <w:tblPrEx>
          <w:shd w:val="clear" w:color="auto" w:fill="auto"/>
          <w:tblCellMar>
            <w:top w:w="0" w:type="dxa"/>
            <w:left w:w="108" w:type="dxa"/>
            <w:bottom w:w="0" w:type="dxa"/>
            <w:right w:w="108" w:type="dxa"/>
          </w:tblCellMar>
        </w:tblPrEx>
        <w:trPr>
          <w:trHeight w:val="23" w:hRule="atLeast"/>
        </w:trPr>
        <w:tc>
          <w:tcPr>
            <w:tcW w:w="4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D105</w:t>
            </w:r>
            <w:r>
              <w:rPr>
                <w:rFonts w:ascii="仿宋_GB2312" w:hAnsi="Times New Roman" w:eastAsia="仿宋_GB2312" w:cs="仿宋_GB2312"/>
                <w:i w:val="0"/>
                <w:iCs w:val="0"/>
                <w:color w:val="000000"/>
                <w:kern w:val="0"/>
                <w:sz w:val="22"/>
                <w:szCs w:val="22"/>
                <w:u w:val="none"/>
                <w:lang w:val="en-US" w:eastAsia="zh-CN" w:bidi="ar"/>
              </w:rPr>
              <w:t>受益建档立卡贫困人口数</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82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D2</w:t>
            </w:r>
            <w:r>
              <w:rPr>
                <w:rFonts w:hint="eastAsia" w:ascii="仿宋_GB2312" w:hAnsi="Times New Roman" w:eastAsia="仿宋_GB2312" w:cs="仿宋_GB2312"/>
                <w:b/>
                <w:bCs/>
                <w:i w:val="0"/>
                <w:iCs w:val="0"/>
                <w:color w:val="000000"/>
                <w:kern w:val="0"/>
                <w:sz w:val="22"/>
                <w:szCs w:val="22"/>
                <w:u w:val="none"/>
                <w:lang w:val="en-US" w:eastAsia="zh-CN" w:bidi="ar"/>
              </w:rPr>
              <w:t>可持续影响</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8.00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D202</w:t>
            </w:r>
            <w:r>
              <w:rPr>
                <w:rFonts w:hint="eastAsia" w:ascii="仿宋_GB2312" w:hAnsi="Times New Roman" w:eastAsia="仿宋_GB2312" w:cs="仿宋_GB2312"/>
                <w:i w:val="0"/>
                <w:iCs w:val="0"/>
                <w:color w:val="000000"/>
                <w:kern w:val="0"/>
                <w:sz w:val="22"/>
                <w:szCs w:val="22"/>
                <w:u w:val="none"/>
                <w:lang w:val="en-US" w:eastAsia="zh-CN" w:bidi="ar"/>
              </w:rPr>
              <w:t>新建公路列养率</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D3</w:t>
            </w:r>
            <w:r>
              <w:rPr>
                <w:rFonts w:hint="eastAsia" w:ascii="仿宋_GB2312" w:hAnsi="Times New Roman" w:eastAsia="仿宋_GB2312" w:cs="仿宋_GB2312"/>
                <w:b/>
                <w:bCs/>
                <w:i w:val="0"/>
                <w:iCs w:val="0"/>
                <w:color w:val="000000"/>
                <w:kern w:val="0"/>
                <w:sz w:val="22"/>
                <w:szCs w:val="22"/>
                <w:u w:val="none"/>
                <w:lang w:val="en-US" w:eastAsia="zh-CN" w:bidi="ar"/>
              </w:rPr>
              <w:t>服务对象满意度</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1.60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80.00%</w:t>
            </w:r>
          </w:p>
        </w:tc>
      </w:tr>
      <w:tr>
        <w:tblPrEx>
          <w:tblCellMar>
            <w:top w:w="0" w:type="dxa"/>
            <w:left w:w="108" w:type="dxa"/>
            <w:bottom w:w="0" w:type="dxa"/>
            <w:right w:w="108" w:type="dxa"/>
          </w:tblCellMar>
        </w:tblPrEx>
        <w:trPr>
          <w:trHeight w:val="23" w:hRule="atLeast"/>
        </w:trPr>
        <w:tc>
          <w:tcPr>
            <w:tcW w:w="2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80.00%</w:t>
            </w:r>
          </w:p>
        </w:tc>
      </w:tr>
      <w:tr>
        <w:tblPrEx>
          <w:tblCellMar>
            <w:top w:w="0" w:type="dxa"/>
            <w:left w:w="108" w:type="dxa"/>
            <w:bottom w:w="0" w:type="dxa"/>
            <w:right w:w="108" w:type="dxa"/>
          </w:tblCellMar>
        </w:tblPrEx>
        <w:trPr>
          <w:trHeight w:val="23" w:hRule="atLeast"/>
        </w:trPr>
        <w:tc>
          <w:tcPr>
            <w:tcW w:w="282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w:t>
            </w:r>
            <w:r>
              <w:rPr>
                <w:rFonts w:hint="eastAsia" w:ascii="Times New Roman" w:hAnsi="Times New Roman" w:eastAsia="宋体" w:cs="Times New Roman"/>
                <w:b/>
                <w:bCs/>
                <w:i w:val="0"/>
                <w:iCs w:val="0"/>
                <w:color w:val="000000"/>
                <w:kern w:val="0"/>
                <w:sz w:val="22"/>
                <w:szCs w:val="22"/>
                <w:u w:val="none"/>
                <w:lang w:val="en-US" w:eastAsia="zh-CN" w:bidi="ar"/>
              </w:rPr>
              <w:t>8</w:t>
            </w:r>
            <w:r>
              <w:rPr>
                <w:rFonts w:hint="default" w:ascii="Times New Roman" w:hAnsi="Times New Roman" w:eastAsia="宋体" w:cs="Times New Roman"/>
                <w:b/>
                <w:bCs/>
                <w:i w:val="0"/>
                <w:iCs w:val="0"/>
                <w:color w:val="000000"/>
                <w:kern w:val="0"/>
                <w:sz w:val="22"/>
                <w:szCs w:val="22"/>
                <w:u w:val="none"/>
                <w:lang w:val="en-US" w:eastAsia="zh-CN" w:bidi="ar"/>
              </w:rPr>
              <w:t>.</w:t>
            </w:r>
            <w:r>
              <w:rPr>
                <w:rFonts w:hint="eastAsia" w:ascii="Times New Roman" w:hAnsi="Times New Roman" w:eastAsia="宋体" w:cs="Times New Roman"/>
                <w:b/>
                <w:bCs/>
                <w:i w:val="0"/>
                <w:iCs w:val="0"/>
                <w:color w:val="000000"/>
                <w:kern w:val="0"/>
                <w:sz w:val="22"/>
                <w:szCs w:val="22"/>
                <w:u w:val="none"/>
                <w:lang w:val="en-US" w:eastAsia="zh-CN" w:bidi="ar"/>
              </w:rPr>
              <w:t>8</w:t>
            </w:r>
            <w:r>
              <w:rPr>
                <w:rFonts w:hint="default" w:ascii="Times New Roman" w:hAnsi="Times New Roman" w:eastAsia="宋体" w:cs="Times New Roman"/>
                <w:b/>
                <w:bCs/>
                <w:i w:val="0"/>
                <w:iCs w:val="0"/>
                <w:color w:val="000000"/>
                <w:kern w:val="0"/>
                <w:sz w:val="22"/>
                <w:szCs w:val="22"/>
                <w:u w:val="none"/>
                <w:lang w:val="en-US" w:eastAsia="zh-CN" w:bidi="ar"/>
              </w:rPr>
              <w:t xml:space="preserve">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w:t>
            </w:r>
            <w:r>
              <w:rPr>
                <w:rFonts w:hint="eastAsia" w:ascii="Times New Roman" w:hAnsi="Times New Roman" w:eastAsia="宋体" w:cs="Times New Roman"/>
                <w:b/>
                <w:bCs/>
                <w:i w:val="0"/>
                <w:iCs w:val="0"/>
                <w:color w:val="000000"/>
                <w:kern w:val="0"/>
                <w:sz w:val="22"/>
                <w:szCs w:val="22"/>
                <w:u w:val="none"/>
                <w:lang w:val="en-US" w:eastAsia="zh-CN" w:bidi="ar"/>
              </w:rPr>
              <w:t>6.00</w:t>
            </w:r>
            <w:r>
              <w:rPr>
                <w:rFonts w:hint="default" w:ascii="Times New Roman" w:hAnsi="Times New Roman" w:eastAsia="宋体" w:cs="Times New Roman"/>
                <w:b/>
                <w:bCs/>
                <w:i w:val="0"/>
                <w:iCs w:val="0"/>
                <w:color w:val="000000"/>
                <w:kern w:val="0"/>
                <w:sz w:val="22"/>
                <w:szCs w:val="22"/>
                <w:u w:val="none"/>
                <w:lang w:val="en-US" w:eastAsia="zh-CN" w:bidi="ar"/>
              </w:rPr>
              <w:t>%</w:t>
            </w:r>
          </w:p>
        </w:tc>
      </w:tr>
    </w:tbl>
    <w:p>
      <w:pPr>
        <w:pStyle w:val="6"/>
        <w:spacing w:line="560" w:lineRule="exact"/>
        <w:ind w:firstLine="640" w:firstLineChars="200"/>
        <w:rPr>
          <w:rFonts w:hint="eastAsia" w:cs="Times New Roman"/>
          <w:lang w:val="en-US" w:eastAsia="zh-CN"/>
        </w:rPr>
      </w:pPr>
      <w:r>
        <w:rPr>
          <w:rFonts w:hint="eastAsia" w:cs="Times New Roman"/>
          <w:lang w:val="en-US" w:eastAsia="zh-CN"/>
        </w:rPr>
        <w:t>该项目社会效益较为显著。淮滨县2020年扶贫通村通组道路配套桥涵建设项目社会效益较为显著。项目实施后，贫困地区建制村通客车率和具备条件的建档立卡贫困村通硬化路率达到100%，贫困地区居民出行平均缩短时间为3小时，受益建档立卡贫困人口数达到目标值24623人。项目带来可持续影响。预计持续发挥作用为10年，持续发挥作用年限达到目标值；新建公路列养率达到100%，养护制度健全。受益贫困人口较为满意，通过对受扶持贫困村村民进行问卷调查，受扶持贫困村村民满意度达到92%。</w:t>
      </w:r>
    </w:p>
    <w:p>
      <w:pPr>
        <w:pStyle w:val="6"/>
        <w:spacing w:line="560" w:lineRule="exact"/>
        <w:ind w:firstLine="640" w:firstLineChars="200"/>
        <w:rPr>
          <w:rFonts w:hint="default" w:cs="Times New Roman"/>
          <w:lang w:val="en-US" w:eastAsia="zh-CN"/>
        </w:rPr>
      </w:pPr>
      <w:r>
        <w:rPr>
          <w:rFonts w:hint="eastAsia" w:cs="Times New Roman"/>
          <w:lang w:val="en-US" w:eastAsia="zh-CN"/>
        </w:rPr>
        <w:t>但该项目带贫减贫机制不够有效。项目建立有带贫减贫机制，但项目建立后期无帮扶跟进机制，未明确项目扶持期结束后，贫困户的带贫模式，不具备可持续性、可行性。</w:t>
      </w:r>
    </w:p>
    <w:p>
      <w:pPr>
        <w:pStyle w:val="4"/>
        <w:ind w:firstLine="640"/>
        <w:rPr>
          <w:rFonts w:hint="default" w:ascii="Times New Roman" w:hAnsi="Times New Roman" w:cs="Times New Roman"/>
          <w:b w:val="0"/>
          <w:szCs w:val="32"/>
          <w:highlight w:val="yellow"/>
        </w:rPr>
      </w:pPr>
      <w:bookmarkStart w:id="275" w:name="_Toc30997"/>
      <w:bookmarkStart w:id="276" w:name="_Toc27138"/>
      <w:bookmarkStart w:id="277" w:name="_Toc4784"/>
      <w:bookmarkStart w:id="278" w:name="_Toc7477"/>
      <w:bookmarkStart w:id="279" w:name="_Toc4088"/>
      <w:bookmarkStart w:id="280" w:name="_Toc7121"/>
      <w:bookmarkStart w:id="281" w:name="_Toc23266443"/>
      <w:bookmarkStart w:id="282" w:name="_Toc26503"/>
      <w:bookmarkStart w:id="283" w:name="_Toc30943"/>
      <w:bookmarkStart w:id="284" w:name="_Toc23264928"/>
      <w:bookmarkStart w:id="285" w:name="_Toc27661"/>
      <w:bookmarkStart w:id="286" w:name="_Toc1990"/>
      <w:bookmarkStart w:id="287" w:name="_Toc3616"/>
      <w:bookmarkStart w:id="288" w:name="_Toc8668"/>
      <w:bookmarkStart w:id="289" w:name="_Toc28960"/>
      <w:bookmarkStart w:id="290" w:name="_Toc1964"/>
      <w:bookmarkStart w:id="291" w:name="_Toc23266449"/>
      <w:bookmarkStart w:id="292" w:name="_Toc24315"/>
      <w:bookmarkStart w:id="293" w:name="_Toc21071"/>
      <w:bookmarkStart w:id="294" w:name="_Toc4985"/>
      <w:bookmarkStart w:id="295" w:name="_Toc23264937"/>
      <w:r>
        <w:rPr>
          <w:rFonts w:hint="default" w:ascii="Times New Roman" w:hAnsi="Times New Roman" w:cs="Times New Roman"/>
          <w:b/>
          <w:bCs w:val="0"/>
          <w:szCs w:val="32"/>
          <w:highlight w:val="none"/>
        </w:rPr>
        <w:t>四、项目主要成绩和经验做法</w:t>
      </w:r>
      <w:bookmarkEnd w:id="275"/>
      <w:bookmarkEnd w:id="276"/>
      <w:bookmarkEnd w:id="277"/>
      <w:bookmarkEnd w:id="278"/>
      <w:bookmarkEnd w:id="279"/>
      <w:bookmarkEnd w:id="280"/>
      <w:bookmarkEnd w:id="281"/>
      <w:bookmarkEnd w:id="282"/>
      <w:bookmarkEnd w:id="283"/>
      <w:bookmarkEnd w:id="284"/>
      <w:bookmarkEnd w:id="285"/>
      <w:bookmarkEnd w:id="286"/>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eastAsia="楷体"/>
          <w:lang w:val="en-US" w:eastAsia="zh-CN"/>
        </w:rPr>
      </w:pPr>
      <w:bookmarkStart w:id="296" w:name="_Toc29570"/>
      <w:bookmarkStart w:id="297" w:name="_Toc11209"/>
      <w:bookmarkStart w:id="298" w:name="_Toc11357"/>
      <w:bookmarkStart w:id="299" w:name="_Toc23264930"/>
      <w:bookmarkStart w:id="300" w:name="_Toc23266445"/>
      <w:r>
        <w:rPr>
          <w:rFonts w:hint="default"/>
          <w:lang w:eastAsia="zh-CN"/>
        </w:rPr>
        <w:t>（</w:t>
      </w:r>
      <w:r>
        <w:rPr>
          <w:rFonts w:hint="eastAsia"/>
          <w:lang w:val="en-US" w:eastAsia="zh-CN"/>
        </w:rPr>
        <w:t>一</w:t>
      </w:r>
      <w:r>
        <w:rPr>
          <w:rFonts w:hint="default"/>
          <w:lang w:eastAsia="zh-CN"/>
        </w:rPr>
        <w:t>）</w:t>
      </w:r>
      <w:bookmarkEnd w:id="296"/>
      <w:r>
        <w:rPr>
          <w:rFonts w:hint="eastAsia"/>
          <w:lang w:val="en-US" w:eastAsia="zh-CN"/>
        </w:rPr>
        <w:t>建设资金管理规范、使用合规，提高了资金的使用效益</w:t>
      </w:r>
      <w:bookmarkEnd w:id="297"/>
      <w:bookmarkEnd w:id="298"/>
    </w:p>
    <w:p>
      <w:pPr>
        <w:pStyle w:val="6"/>
        <w:tabs>
          <w:tab w:val="left" w:pos="6948"/>
        </w:tabs>
        <w:rPr>
          <w:rFonts w:hint="default" w:ascii="Times New Roman" w:hAnsi="Times New Roman" w:cs="Times New Roman"/>
          <w:color w:val="000000"/>
          <w:szCs w:val="21"/>
        </w:rPr>
      </w:pPr>
      <w:r>
        <w:rPr>
          <w:rFonts w:hint="eastAsia" w:cs="Times New Roman"/>
          <w:color w:val="000000"/>
          <w:szCs w:val="21"/>
          <w:lang w:eastAsia="zh-CN"/>
        </w:rPr>
        <w:t>淮滨</w:t>
      </w:r>
      <w:r>
        <w:rPr>
          <w:rFonts w:hint="default" w:ascii="Times New Roman" w:hAnsi="Times New Roman" w:cs="Times New Roman"/>
          <w:color w:val="000000"/>
          <w:szCs w:val="21"/>
        </w:rPr>
        <w:t>县</w:t>
      </w:r>
      <w:r>
        <w:rPr>
          <w:rFonts w:hint="eastAsia" w:cs="Times New Roman"/>
          <w:color w:val="000000"/>
          <w:szCs w:val="21"/>
          <w:lang w:eastAsia="zh-CN"/>
        </w:rPr>
        <w:t>交通运输局</w:t>
      </w:r>
      <w:r>
        <w:rPr>
          <w:rFonts w:hint="default" w:ascii="Times New Roman" w:hAnsi="Times New Roman" w:cs="Times New Roman"/>
          <w:color w:val="000000"/>
          <w:szCs w:val="21"/>
        </w:rPr>
        <w:t>根据各村致贫原因及脱贫需求，制定了相应的项目资金管理办法，资金管理办法符合相关财务会计制度的规定，脱贫效果较为显著。在使用建设资金</w:t>
      </w:r>
      <w:r>
        <w:rPr>
          <w:rFonts w:hint="eastAsia" w:cs="Times New Roman"/>
          <w:color w:val="000000"/>
          <w:szCs w:val="21"/>
          <w:lang w:val="en-US" w:eastAsia="zh-CN"/>
        </w:rPr>
        <w:t>和</w:t>
      </w:r>
      <w:r>
        <w:rPr>
          <w:rFonts w:hint="default" w:ascii="Times New Roman" w:hAnsi="Times New Roman" w:cs="Times New Roman"/>
          <w:color w:val="000000"/>
          <w:szCs w:val="21"/>
        </w:rPr>
        <w:t>财务管理</w:t>
      </w:r>
      <w:r>
        <w:rPr>
          <w:rFonts w:hint="eastAsia" w:cs="Times New Roman"/>
          <w:color w:val="000000"/>
          <w:szCs w:val="21"/>
          <w:lang w:eastAsia="zh-CN"/>
        </w:rPr>
        <w:t>、</w:t>
      </w:r>
      <w:r>
        <w:rPr>
          <w:rFonts w:hint="default" w:ascii="Times New Roman" w:hAnsi="Times New Roman" w:cs="Times New Roman"/>
          <w:color w:val="000000"/>
          <w:szCs w:val="21"/>
        </w:rPr>
        <w:t>计量支付方面</w:t>
      </w:r>
      <w:r>
        <w:rPr>
          <w:rFonts w:hint="eastAsia" w:cs="Times New Roman"/>
          <w:color w:val="000000"/>
          <w:szCs w:val="21"/>
          <w:lang w:eastAsia="zh-CN"/>
        </w:rPr>
        <w:t>，</w:t>
      </w:r>
      <w:r>
        <w:rPr>
          <w:rFonts w:hint="default" w:ascii="Times New Roman" w:hAnsi="Times New Roman" w:cs="Times New Roman"/>
          <w:color w:val="000000"/>
          <w:szCs w:val="21"/>
        </w:rPr>
        <w:t>认真执行国家有关的财政法规及制度</w:t>
      </w:r>
      <w:r>
        <w:rPr>
          <w:rFonts w:hint="eastAsia" w:cs="Times New Roman"/>
          <w:color w:val="000000"/>
          <w:szCs w:val="21"/>
          <w:lang w:eastAsia="zh-CN"/>
        </w:rPr>
        <w:t>，</w:t>
      </w:r>
      <w:r>
        <w:rPr>
          <w:rFonts w:hint="default" w:ascii="Times New Roman" w:hAnsi="Times New Roman" w:cs="Times New Roman"/>
          <w:color w:val="000000"/>
          <w:szCs w:val="21"/>
        </w:rPr>
        <w:t>严格落实扶贫</w:t>
      </w:r>
      <w:r>
        <w:rPr>
          <w:rFonts w:hint="eastAsia" w:cs="Times New Roman"/>
          <w:color w:val="000000"/>
          <w:szCs w:val="21"/>
          <w:lang w:val="en-US" w:eastAsia="zh-CN"/>
        </w:rPr>
        <w:t>项</w:t>
      </w:r>
      <w:r>
        <w:rPr>
          <w:rFonts w:hint="default" w:ascii="Times New Roman" w:hAnsi="Times New Roman" w:cs="Times New Roman"/>
          <w:color w:val="000000"/>
          <w:szCs w:val="21"/>
        </w:rPr>
        <w:t>目资金报账制度要求</w:t>
      </w:r>
      <w:r>
        <w:rPr>
          <w:rFonts w:hint="eastAsia" w:cs="Times New Roman"/>
          <w:color w:val="000000"/>
          <w:szCs w:val="21"/>
          <w:lang w:eastAsia="zh-CN"/>
        </w:rPr>
        <w:t>，</w:t>
      </w:r>
      <w:r>
        <w:rPr>
          <w:rFonts w:hint="default" w:ascii="Times New Roman" w:hAnsi="Times New Roman" w:cs="Times New Roman"/>
          <w:color w:val="000000"/>
          <w:szCs w:val="21"/>
        </w:rPr>
        <w:t>单独建</w:t>
      </w:r>
      <w:r>
        <w:rPr>
          <w:rFonts w:hint="eastAsia" w:cs="Times New Roman"/>
          <w:color w:val="000000"/>
          <w:szCs w:val="21"/>
          <w:lang w:val="en-US" w:eastAsia="zh-CN"/>
        </w:rPr>
        <w:t>账</w:t>
      </w:r>
      <w:r>
        <w:rPr>
          <w:rFonts w:hint="eastAsia" w:cs="Times New Roman"/>
          <w:color w:val="000000"/>
          <w:szCs w:val="21"/>
          <w:lang w:eastAsia="zh-CN"/>
        </w:rPr>
        <w:t>、</w:t>
      </w:r>
      <w:r>
        <w:rPr>
          <w:rFonts w:hint="default" w:ascii="Times New Roman" w:hAnsi="Times New Roman" w:cs="Times New Roman"/>
          <w:color w:val="000000"/>
          <w:szCs w:val="21"/>
        </w:rPr>
        <w:t>单独核算</w:t>
      </w:r>
      <w:r>
        <w:rPr>
          <w:rFonts w:hint="eastAsia" w:cs="Times New Roman"/>
          <w:color w:val="000000"/>
          <w:szCs w:val="21"/>
          <w:lang w:eastAsia="zh-CN"/>
        </w:rPr>
        <w:t>、</w:t>
      </w:r>
      <w:r>
        <w:rPr>
          <w:rFonts w:hint="default" w:ascii="Times New Roman" w:hAnsi="Times New Roman" w:cs="Times New Roman"/>
          <w:color w:val="000000"/>
          <w:szCs w:val="21"/>
        </w:rPr>
        <w:t>封闭运行</w:t>
      </w:r>
      <w:r>
        <w:rPr>
          <w:rFonts w:hint="eastAsia" w:cs="Times New Roman"/>
          <w:color w:val="000000"/>
          <w:szCs w:val="21"/>
          <w:lang w:eastAsia="zh-CN"/>
        </w:rPr>
        <w:t>，</w:t>
      </w:r>
      <w:r>
        <w:rPr>
          <w:rFonts w:hint="default" w:ascii="Times New Roman" w:hAnsi="Times New Roman" w:cs="Times New Roman"/>
          <w:color w:val="000000"/>
          <w:szCs w:val="21"/>
        </w:rPr>
        <w:t>并自觉接受财政、审计等部门的监管</w:t>
      </w:r>
      <w:r>
        <w:rPr>
          <w:rFonts w:hint="eastAsia" w:cs="Times New Roman"/>
          <w:color w:val="000000"/>
          <w:szCs w:val="21"/>
          <w:lang w:eastAsia="zh-CN"/>
        </w:rPr>
        <w:t>，</w:t>
      </w:r>
      <w:r>
        <w:rPr>
          <w:rFonts w:hint="default" w:ascii="Times New Roman" w:hAnsi="Times New Roman" w:cs="Times New Roman"/>
          <w:color w:val="000000"/>
          <w:szCs w:val="21"/>
        </w:rPr>
        <w:t>严格按照要求</w:t>
      </w:r>
      <w:r>
        <w:rPr>
          <w:rFonts w:hint="eastAsia" w:cs="Times New Roman"/>
          <w:color w:val="000000"/>
          <w:szCs w:val="21"/>
          <w:lang w:eastAsia="zh-CN"/>
        </w:rPr>
        <w:t>，</w:t>
      </w:r>
      <w:r>
        <w:rPr>
          <w:rFonts w:hint="default" w:ascii="Times New Roman" w:hAnsi="Times New Roman" w:cs="Times New Roman"/>
          <w:color w:val="000000"/>
          <w:szCs w:val="21"/>
        </w:rPr>
        <w:t>逐级审批</w:t>
      </w:r>
      <w:r>
        <w:rPr>
          <w:rFonts w:hint="eastAsia" w:cs="Times New Roman"/>
          <w:color w:val="000000"/>
          <w:szCs w:val="21"/>
          <w:lang w:eastAsia="zh-CN"/>
        </w:rPr>
        <w:t>，</w:t>
      </w:r>
      <w:r>
        <w:rPr>
          <w:rFonts w:hint="default" w:ascii="Times New Roman" w:hAnsi="Times New Roman" w:cs="Times New Roman"/>
          <w:color w:val="000000"/>
          <w:szCs w:val="21"/>
        </w:rPr>
        <w:t>杜绝截留、挤占、挪用和超范围使用项目资金的现象</w:t>
      </w:r>
      <w:r>
        <w:rPr>
          <w:rFonts w:hint="eastAsia" w:cs="Times New Roman"/>
          <w:color w:val="000000"/>
          <w:szCs w:val="21"/>
          <w:lang w:eastAsia="zh-CN"/>
        </w:rPr>
        <w:t>，</w:t>
      </w:r>
      <w:r>
        <w:rPr>
          <w:rFonts w:hint="default" w:ascii="Times New Roman" w:hAnsi="Times New Roman" w:cs="Times New Roman"/>
          <w:color w:val="000000"/>
          <w:szCs w:val="21"/>
        </w:rPr>
        <w:t>提高了资金的使用效益</w:t>
      </w:r>
      <w:r>
        <w:rPr>
          <w:rFonts w:hint="eastAsia" w:cs="Times New Roman"/>
          <w:color w:val="000000"/>
          <w:szCs w:val="21"/>
          <w:lang w:eastAsia="zh-CN"/>
        </w:rPr>
        <w:t>，</w:t>
      </w:r>
      <w:r>
        <w:rPr>
          <w:rFonts w:hint="default" w:ascii="Times New Roman" w:hAnsi="Times New Roman" w:cs="Times New Roman"/>
          <w:color w:val="000000"/>
          <w:szCs w:val="21"/>
        </w:rPr>
        <w:t>保证了计量支付的真实、可靠</w:t>
      </w:r>
      <w:r>
        <w:rPr>
          <w:rFonts w:hint="eastAsia" w:cs="Times New Roman"/>
          <w:color w:val="000000"/>
          <w:szCs w:val="21"/>
          <w:lang w:eastAsia="zh-CN"/>
        </w:rPr>
        <w:t>，</w:t>
      </w:r>
      <w:r>
        <w:rPr>
          <w:rFonts w:hint="default" w:ascii="Times New Roman" w:hAnsi="Times New Roman" w:cs="Times New Roman"/>
          <w:color w:val="000000"/>
          <w:szCs w:val="21"/>
        </w:rPr>
        <w:t>杜绝了重复计量现象。</w:t>
      </w:r>
    </w:p>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heme="majorBidi"/>
          <w:b/>
          <w:bCs/>
          <w:kern w:val="2"/>
          <w:sz w:val="32"/>
          <w:szCs w:val="22"/>
          <w:lang w:val="en-US" w:eastAsia="zh-CN" w:bidi="ar-SA"/>
        </w:rPr>
      </w:pPr>
      <w:bookmarkStart w:id="301" w:name="_Toc18345"/>
      <w:bookmarkStart w:id="302" w:name="_Toc21035"/>
      <w:bookmarkStart w:id="303" w:name="_Toc30022"/>
      <w:bookmarkStart w:id="304" w:name="_Toc21989"/>
      <w:r>
        <w:rPr>
          <w:rFonts w:hint="default" w:ascii="Times New Roman" w:hAnsi="Times New Roman" w:eastAsia="楷体" w:cstheme="majorBidi"/>
          <w:b/>
          <w:bCs/>
          <w:kern w:val="2"/>
          <w:sz w:val="32"/>
          <w:szCs w:val="22"/>
          <w:lang w:val="en-US" w:eastAsia="zh-CN" w:bidi="ar-SA"/>
        </w:rPr>
        <w:t>（</w:t>
      </w:r>
      <w:r>
        <w:rPr>
          <w:rFonts w:hint="eastAsia" w:ascii="Times New Roman" w:hAnsi="Times New Roman" w:eastAsia="楷体" w:cstheme="majorBidi"/>
          <w:b/>
          <w:bCs/>
          <w:kern w:val="2"/>
          <w:sz w:val="32"/>
          <w:szCs w:val="22"/>
          <w:lang w:val="en-US" w:eastAsia="zh-CN" w:bidi="ar-SA"/>
        </w:rPr>
        <w:t>二</w:t>
      </w:r>
      <w:r>
        <w:rPr>
          <w:rFonts w:hint="default" w:ascii="Times New Roman" w:hAnsi="Times New Roman" w:eastAsia="楷体" w:cstheme="majorBidi"/>
          <w:b/>
          <w:bCs/>
          <w:kern w:val="2"/>
          <w:sz w:val="32"/>
          <w:szCs w:val="22"/>
          <w:lang w:val="en-US" w:eastAsia="zh-CN" w:bidi="ar-SA"/>
        </w:rPr>
        <w:t>）</w:t>
      </w:r>
      <w:bookmarkEnd w:id="301"/>
      <w:r>
        <w:rPr>
          <w:rFonts w:hint="default" w:ascii="Times New Roman" w:hAnsi="Times New Roman" w:eastAsia="楷体" w:cstheme="majorBidi"/>
          <w:b/>
          <w:bCs/>
          <w:kern w:val="2"/>
          <w:sz w:val="32"/>
          <w:szCs w:val="22"/>
          <w:lang w:val="en-US" w:eastAsia="zh-CN" w:bidi="ar-SA"/>
        </w:rPr>
        <w:t>资金投入保障有力，项目建设完成度相对较高</w:t>
      </w:r>
      <w:bookmarkEnd w:id="302"/>
      <w:bookmarkEnd w:id="303"/>
      <w:bookmarkEnd w:id="304"/>
    </w:p>
    <w:p>
      <w:pPr>
        <w:widowControl w:val="0"/>
        <w:bidi w:val="0"/>
        <w:spacing w:line="560" w:lineRule="exact"/>
        <w:ind w:firstLine="640" w:firstLineChars="200"/>
        <w:jc w:val="both"/>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color w:val="auto"/>
          <w:kern w:val="2"/>
          <w:sz w:val="32"/>
          <w:szCs w:val="32"/>
          <w:lang w:val="en-US" w:eastAsia="zh-CN" w:bidi="ar-SA"/>
        </w:rPr>
        <w:t>该项目</w:t>
      </w:r>
      <w:r>
        <w:rPr>
          <w:rFonts w:hint="default" w:ascii="Times New Roman" w:hAnsi="Times New Roman" w:eastAsia="仿宋" w:cs="Times New Roman"/>
          <w:color w:val="auto"/>
          <w:kern w:val="2"/>
          <w:sz w:val="32"/>
          <w:szCs w:val="32"/>
          <w:lang w:val="en-US" w:eastAsia="zh-CN" w:bidi="ar-SA"/>
        </w:rPr>
        <w:t>资金</w:t>
      </w:r>
      <w:r>
        <w:rPr>
          <w:rFonts w:hint="eastAsia" w:ascii="Times New Roman" w:hAnsi="Times New Roman" w:eastAsia="仿宋" w:cs="Times New Roman"/>
          <w:color w:val="auto"/>
          <w:kern w:val="2"/>
          <w:sz w:val="32"/>
          <w:szCs w:val="32"/>
          <w:lang w:val="en-US" w:eastAsia="zh-CN" w:bidi="ar-SA"/>
        </w:rPr>
        <w:t>到位及时、预算执行率较高</w:t>
      </w:r>
      <w:r>
        <w:rPr>
          <w:rFonts w:hint="default" w:ascii="Times New Roman" w:hAnsi="Times New Roman" w:eastAsia="仿宋" w:cs="Times New Roman"/>
          <w:color w:val="auto"/>
          <w:kern w:val="2"/>
          <w:sz w:val="32"/>
          <w:szCs w:val="32"/>
          <w:lang w:val="en-US" w:eastAsia="zh-CN" w:bidi="ar-SA"/>
        </w:rPr>
        <w:t>。202</w:t>
      </w:r>
      <w:r>
        <w:rPr>
          <w:rFonts w:hint="eastAsia" w:ascii="Times New Roman" w:hAnsi="Times New Roman" w:eastAsia="仿宋" w:cs="Times New Roman"/>
          <w:color w:val="auto"/>
          <w:kern w:val="2"/>
          <w:sz w:val="32"/>
          <w:szCs w:val="32"/>
          <w:lang w:val="en-US" w:eastAsia="zh-CN" w:bidi="ar-SA"/>
        </w:rPr>
        <w:t>0</w:t>
      </w:r>
      <w:r>
        <w:rPr>
          <w:rFonts w:hint="default" w:ascii="Times New Roman" w:hAnsi="Times New Roman" w:eastAsia="仿宋" w:cs="Times New Roman"/>
          <w:color w:val="auto"/>
          <w:kern w:val="2"/>
          <w:sz w:val="32"/>
          <w:szCs w:val="32"/>
          <w:lang w:val="en-US" w:eastAsia="zh-CN" w:bidi="ar-SA"/>
        </w:rPr>
        <w:t>年度</w:t>
      </w:r>
      <w:r>
        <w:rPr>
          <w:rFonts w:hint="eastAsia" w:ascii="Times New Roman" w:hAnsi="Times New Roman" w:eastAsia="仿宋" w:cs="Times New Roman"/>
          <w:color w:val="auto"/>
          <w:kern w:val="2"/>
          <w:sz w:val="32"/>
          <w:szCs w:val="32"/>
          <w:lang w:val="en-US" w:eastAsia="zh-CN" w:bidi="ar-SA"/>
        </w:rPr>
        <w:t>，淮滨县2020年扶贫通村通组道路配套桥涵建设项目预算资金3198.98万元，实际到位资金3198.98万元，资金到位率为100%；截至2020年12月，实际支出资金3198.98万元，预算执行率为100%。</w:t>
      </w:r>
      <w:r>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t>同时，为推动脱贫攻坚巩固工作有序开展，</w:t>
      </w:r>
      <w:r>
        <w:rPr>
          <w:rFonts w:hint="eastAsia" w:ascii="Times New Roman" w:hAnsi="Times New Roman" w:eastAsia="仿宋" w:cs="Times New Roman"/>
          <w:color w:val="000000" w:themeColor="text1"/>
          <w:kern w:val="2"/>
          <w:sz w:val="32"/>
          <w:szCs w:val="32"/>
          <w:lang w:val="en-US" w:eastAsia="zh-CN" w:bidi="ar-SA"/>
          <w14:textFill>
            <w14:solidFill>
              <w14:schemeClr w14:val="tx1"/>
            </w14:solidFill>
          </w14:textFill>
        </w:rPr>
        <w:t>淮滨</w:t>
      </w:r>
      <w:r>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t>县对全县涉农项目进行统筹管理。制定帮扶计划，设计项目实施方案，明确帮扶责任单位、帮扶人员等，项目建设进度总体良好。</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lang w:val="en-US" w:eastAsia="zh-CN"/>
        </w:rPr>
      </w:pPr>
      <w:bookmarkStart w:id="305" w:name="_Toc7134"/>
      <w:bookmarkStart w:id="306" w:name="_Toc13027"/>
      <w:bookmarkStart w:id="307" w:name="_Toc8715"/>
      <w:bookmarkStart w:id="308" w:name="_Toc27031"/>
      <w:bookmarkStart w:id="309" w:name="_Toc12424"/>
      <w:bookmarkStart w:id="310" w:name="_Toc8305"/>
      <w:r>
        <w:rPr>
          <w:rFonts w:hint="default"/>
          <w:lang w:val="en-US" w:eastAsia="zh-CN"/>
        </w:rPr>
        <w:t>（</w:t>
      </w:r>
      <w:r>
        <w:rPr>
          <w:rFonts w:hint="eastAsia"/>
          <w:lang w:val="en-US" w:eastAsia="zh-CN"/>
        </w:rPr>
        <w:t>三</w:t>
      </w:r>
      <w:r>
        <w:rPr>
          <w:rFonts w:hint="default"/>
          <w:lang w:val="en-US" w:eastAsia="zh-CN"/>
        </w:rPr>
        <w:t>）加强工程</w:t>
      </w:r>
      <w:r>
        <w:rPr>
          <w:rFonts w:hint="eastAsia"/>
          <w:lang w:val="en-US" w:eastAsia="zh-CN"/>
        </w:rPr>
        <w:t>流程</w:t>
      </w:r>
      <w:r>
        <w:rPr>
          <w:rFonts w:hint="default"/>
          <w:lang w:val="en-US" w:eastAsia="zh-CN"/>
        </w:rPr>
        <w:t>管理，</w:t>
      </w:r>
      <w:bookmarkEnd w:id="305"/>
      <w:bookmarkEnd w:id="306"/>
      <w:bookmarkEnd w:id="307"/>
      <w:bookmarkEnd w:id="308"/>
      <w:bookmarkEnd w:id="309"/>
      <w:r>
        <w:rPr>
          <w:rFonts w:hint="eastAsia"/>
          <w:lang w:val="en-US" w:eastAsia="zh-CN"/>
        </w:rPr>
        <w:t>保障项目高质量完成</w:t>
      </w:r>
      <w:bookmarkEnd w:id="310"/>
    </w:p>
    <w:p>
      <w:pPr>
        <w:pStyle w:val="52"/>
        <w:bidi w:val="0"/>
        <w:rPr>
          <w:rFonts w:hint="eastAsia" w:cs="Times New Roman"/>
          <w:lang w:val="en-US" w:eastAsia="zh-CN"/>
        </w:rPr>
      </w:pPr>
      <w:r>
        <w:rPr>
          <w:rFonts w:hint="default" w:ascii="Times New Roman" w:hAnsi="Times New Roman" w:cs="Times New Roman"/>
          <w:lang w:val="en-US" w:eastAsia="zh-CN"/>
        </w:rPr>
        <w:t>项目实施过程中</w:t>
      </w:r>
      <w:r>
        <w:rPr>
          <w:rFonts w:hint="eastAsia" w:cs="Times New Roman"/>
          <w:lang w:val="en-US" w:eastAsia="zh-CN"/>
        </w:rPr>
        <w:t>交通运输局</w:t>
      </w:r>
      <w:r>
        <w:rPr>
          <w:rFonts w:hint="default" w:ascii="Times New Roman" w:hAnsi="Times New Roman" w:cs="Times New Roman"/>
          <w:lang w:val="en-US" w:eastAsia="zh-CN"/>
        </w:rPr>
        <w:t>对整体项目进度进行把控，</w:t>
      </w:r>
      <w:r>
        <w:rPr>
          <w:rFonts w:hint="eastAsia" w:cs="Times New Roman"/>
          <w:lang w:val="en-US" w:eastAsia="zh-CN"/>
        </w:rPr>
        <w:t>对项目</w:t>
      </w:r>
      <w:r>
        <w:rPr>
          <w:rFonts w:hint="default" w:ascii="Times New Roman" w:hAnsi="Times New Roman" w:cs="Times New Roman"/>
          <w:lang w:val="en-US" w:eastAsia="zh-CN"/>
        </w:rPr>
        <w:t>全流程管理，</w:t>
      </w:r>
      <w:r>
        <w:rPr>
          <w:rFonts w:hint="eastAsia" w:cs="Times New Roman"/>
          <w:lang w:val="en-US" w:eastAsia="zh-CN"/>
        </w:rPr>
        <w:t>确保</w:t>
      </w:r>
      <w:r>
        <w:rPr>
          <w:rFonts w:hint="default" w:ascii="Times New Roman" w:hAnsi="Times New Roman" w:cs="Times New Roman"/>
          <w:lang w:val="en-US" w:eastAsia="zh-CN"/>
        </w:rPr>
        <w:t>分工明确、责任落实。对项目实施关键环节进行监督指导，委托监理负责质量把关，保障项目</w:t>
      </w:r>
      <w:r>
        <w:rPr>
          <w:rFonts w:hint="eastAsia" w:cs="Times New Roman"/>
          <w:lang w:val="en-US" w:eastAsia="zh-CN"/>
        </w:rPr>
        <w:t>高</w:t>
      </w:r>
      <w:r>
        <w:rPr>
          <w:rFonts w:hint="default" w:ascii="Times New Roman" w:hAnsi="Times New Roman" w:cs="Times New Roman"/>
          <w:lang w:val="en-US" w:eastAsia="zh-CN"/>
        </w:rPr>
        <w:t>质量</w:t>
      </w:r>
      <w:r>
        <w:rPr>
          <w:rFonts w:hint="eastAsia" w:cs="Times New Roman"/>
          <w:lang w:val="en-US" w:eastAsia="zh-CN"/>
        </w:rPr>
        <w:t>完成，</w:t>
      </w:r>
      <w:r>
        <w:rPr>
          <w:rFonts w:hint="default" w:ascii="Times New Roman" w:hAnsi="Times New Roman" w:cs="Times New Roman"/>
          <w:lang w:val="en-US" w:eastAsia="zh-CN"/>
        </w:rPr>
        <w:t>保障项目实施过程中无偏差。</w:t>
      </w:r>
      <w:r>
        <w:rPr>
          <w:rFonts w:hint="eastAsia" w:cs="Times New Roman"/>
          <w:lang w:val="en-US" w:eastAsia="zh-CN"/>
        </w:rPr>
        <w:t>交通运输局</w:t>
      </w:r>
      <w:r>
        <w:rPr>
          <w:rFonts w:hint="default" w:ascii="Times New Roman" w:hAnsi="Times New Roman" w:cs="Times New Roman"/>
          <w:lang w:val="en-US" w:eastAsia="zh-CN"/>
        </w:rPr>
        <w:t>作为建设单位</w:t>
      </w:r>
      <w:r>
        <w:rPr>
          <w:rFonts w:hint="eastAsia" w:cs="Times New Roman"/>
          <w:lang w:val="en-US" w:eastAsia="zh-CN"/>
        </w:rPr>
        <w:t>，</w:t>
      </w:r>
      <w:r>
        <w:rPr>
          <w:rFonts w:hint="default" w:ascii="Times New Roman" w:hAnsi="Times New Roman" w:cs="Times New Roman"/>
          <w:lang w:val="en-US" w:eastAsia="zh-CN"/>
        </w:rPr>
        <w:t>加强工程进度管理</w:t>
      </w:r>
      <w:r>
        <w:rPr>
          <w:rFonts w:hint="eastAsia" w:cs="Times New Roman"/>
          <w:lang w:val="en-US" w:eastAsia="zh-CN"/>
        </w:rPr>
        <w:t>，</w:t>
      </w:r>
      <w:r>
        <w:rPr>
          <w:rFonts w:hint="default" w:ascii="Times New Roman" w:hAnsi="Times New Roman" w:cs="Times New Roman"/>
          <w:lang w:val="en-US" w:eastAsia="zh-CN"/>
        </w:rPr>
        <w:t>并根据实际进度情况调整进度</w:t>
      </w:r>
      <w:r>
        <w:rPr>
          <w:rFonts w:hint="eastAsia" w:cs="Times New Roman"/>
          <w:lang w:val="en-US" w:eastAsia="zh-CN"/>
        </w:rPr>
        <w:t>，</w:t>
      </w:r>
      <w:r>
        <w:rPr>
          <w:rFonts w:hint="default" w:ascii="Times New Roman" w:hAnsi="Times New Roman" w:cs="Times New Roman"/>
          <w:lang w:val="en-US" w:eastAsia="zh-CN"/>
        </w:rPr>
        <w:t>要求党组成员督促施工单位</w:t>
      </w:r>
      <w:r>
        <w:rPr>
          <w:rFonts w:hint="eastAsia" w:cs="Times New Roman"/>
          <w:lang w:val="en-US" w:eastAsia="zh-CN"/>
        </w:rPr>
        <w:t>，</w:t>
      </w:r>
      <w:r>
        <w:rPr>
          <w:rFonts w:hint="default" w:ascii="Times New Roman" w:hAnsi="Times New Roman" w:cs="Times New Roman"/>
          <w:lang w:val="en-US" w:eastAsia="zh-CN"/>
        </w:rPr>
        <w:t>加大机械设备和技术力量的投入</w:t>
      </w:r>
      <w:r>
        <w:rPr>
          <w:rFonts w:hint="eastAsia" w:cs="Times New Roman"/>
          <w:lang w:val="en-US" w:eastAsia="zh-CN"/>
        </w:rPr>
        <w:t>，以确保工程</w:t>
      </w:r>
      <w:r>
        <w:rPr>
          <w:rFonts w:hint="default" w:ascii="Times New Roman" w:hAnsi="Times New Roman" w:cs="Times New Roman"/>
          <w:lang w:val="en-US" w:eastAsia="zh-CN"/>
        </w:rPr>
        <w:t>质量</w:t>
      </w:r>
      <w:r>
        <w:rPr>
          <w:rFonts w:hint="eastAsia" w:cs="Times New Roman"/>
          <w:lang w:val="en-US" w:eastAsia="zh-CN"/>
        </w:rPr>
        <w:t>。</w:t>
      </w:r>
      <w:r>
        <w:rPr>
          <w:rFonts w:hint="default" w:ascii="Times New Roman" w:hAnsi="Times New Roman" w:cs="Times New Roman"/>
          <w:lang w:val="en-US" w:eastAsia="zh-CN"/>
        </w:rPr>
        <w:t>对施工管理混乱、施工进展缓慢、履约信誉差等问题</w:t>
      </w:r>
      <w:r>
        <w:rPr>
          <w:rFonts w:hint="eastAsia" w:cs="Times New Roman"/>
          <w:lang w:val="en-US" w:eastAsia="zh-CN"/>
        </w:rPr>
        <w:t>，</w:t>
      </w:r>
      <w:r>
        <w:rPr>
          <w:rFonts w:hint="default" w:ascii="Times New Roman" w:hAnsi="Times New Roman" w:cs="Times New Roman"/>
          <w:lang w:val="en-US" w:eastAsia="zh-CN"/>
        </w:rPr>
        <w:t>要求其严格履约</w:t>
      </w:r>
      <w:r>
        <w:rPr>
          <w:rFonts w:hint="eastAsia" w:cs="Times New Roman"/>
          <w:lang w:val="en-US" w:eastAsia="zh-CN"/>
        </w:rPr>
        <w:t>，</w:t>
      </w:r>
      <w:r>
        <w:rPr>
          <w:rFonts w:hint="default" w:ascii="Times New Roman" w:hAnsi="Times New Roman" w:cs="Times New Roman"/>
          <w:lang w:val="en-US" w:eastAsia="zh-CN"/>
        </w:rPr>
        <w:t>限期整改</w:t>
      </w:r>
      <w:r>
        <w:rPr>
          <w:rFonts w:hint="eastAsia" w:cs="Times New Roman"/>
          <w:lang w:val="en-US" w:eastAsia="zh-CN"/>
        </w:rPr>
        <w:t>。</w:t>
      </w:r>
    </w:p>
    <w:bookmarkEnd w:id="299"/>
    <w:bookmarkEnd w:id="300"/>
    <w:p>
      <w:pPr>
        <w:pStyle w:val="4"/>
        <w:bidi w:val="0"/>
        <w:rPr>
          <w:rFonts w:hint="default" w:ascii="Times New Roman" w:hAnsi="Times New Roman" w:cs="Times New Roman"/>
        </w:rPr>
      </w:pPr>
      <w:bookmarkStart w:id="311" w:name="_Toc14149"/>
      <w:bookmarkStart w:id="312" w:name="_Toc19712"/>
      <w:bookmarkStart w:id="313" w:name="_Toc3672"/>
      <w:bookmarkStart w:id="314" w:name="_Toc30892"/>
      <w:bookmarkStart w:id="315" w:name="_Toc19694"/>
      <w:bookmarkStart w:id="316" w:name="_Toc30256"/>
      <w:r>
        <w:rPr>
          <w:rFonts w:hint="default" w:ascii="Times New Roman" w:hAnsi="Times New Roman" w:cs="Times New Roman"/>
        </w:rPr>
        <w:t>五、存在的主要问题</w:t>
      </w:r>
      <w:bookmarkEnd w:id="287"/>
      <w:bookmarkEnd w:id="288"/>
      <w:bookmarkEnd w:id="289"/>
      <w:bookmarkEnd w:id="290"/>
      <w:bookmarkEnd w:id="311"/>
      <w:bookmarkEnd w:id="312"/>
      <w:bookmarkEnd w:id="313"/>
      <w:bookmarkEnd w:id="314"/>
      <w:bookmarkEnd w:id="315"/>
      <w:bookmarkEnd w:id="316"/>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lang w:val="en-US" w:eastAsia="zh-CN"/>
        </w:rPr>
      </w:pPr>
      <w:bookmarkStart w:id="317" w:name="_Toc29796"/>
      <w:bookmarkStart w:id="318" w:name="_Toc25037"/>
      <w:bookmarkStart w:id="319" w:name="_Toc19101"/>
      <w:r>
        <w:rPr>
          <w:rFonts w:hint="default"/>
          <w:lang w:val="en-US" w:eastAsia="zh-CN"/>
        </w:rPr>
        <w:t>（一）部分项目实施方案不够完善</w:t>
      </w:r>
      <w:r>
        <w:rPr>
          <w:rFonts w:hint="eastAsia"/>
          <w:lang w:val="en-US" w:eastAsia="zh-CN"/>
        </w:rPr>
        <w:t>，</w:t>
      </w:r>
      <w:r>
        <w:rPr>
          <w:rFonts w:hint="default"/>
          <w:lang w:val="en-US" w:eastAsia="zh-CN"/>
        </w:rPr>
        <w:t>利益链接机制不够健全</w:t>
      </w:r>
      <w:bookmarkEnd w:id="317"/>
      <w:bookmarkEnd w:id="318"/>
      <w:bookmarkEnd w:id="319"/>
    </w:p>
    <w:p>
      <w:pPr>
        <w:pStyle w:val="6"/>
        <w:tabs>
          <w:tab w:val="left" w:pos="6948"/>
        </w:tabs>
        <w:rPr>
          <w:rFonts w:hint="default" w:ascii="Times New Roman" w:hAnsi="Times New Roman" w:cs="Times New Roman"/>
          <w:b w:val="0"/>
          <w:bCs w:val="0"/>
          <w:lang w:val="en-US" w:eastAsia="zh-CN"/>
        </w:rPr>
      </w:pPr>
      <w:r>
        <w:rPr>
          <w:rFonts w:hint="eastAsia" w:cs="Times New Roman"/>
          <w:b w:val="0"/>
          <w:bCs w:val="0"/>
          <w:lang w:val="en-US" w:eastAsia="zh-CN"/>
        </w:rPr>
        <w:t>部分项目实施方案内容不够丰富、完善。例如，该项目实施方案建设任务较为粗糙，未能明确体现建设内容、建设规模及建设标准；缺少项目建设可行性与必要性、建设标准、进度计划、投资概算与资金来源、责任主体等内容。该</w:t>
      </w:r>
      <w:r>
        <w:rPr>
          <w:rFonts w:hint="default" w:ascii="Times New Roman" w:hAnsi="Times New Roman" w:cs="Times New Roman"/>
          <w:b w:val="0"/>
          <w:bCs w:val="0"/>
          <w:lang w:val="en-US" w:eastAsia="zh-CN"/>
        </w:rPr>
        <w:t>项目</w:t>
      </w:r>
      <w:r>
        <w:rPr>
          <w:rFonts w:hint="eastAsia" w:cs="Times New Roman"/>
          <w:b w:val="0"/>
          <w:bCs w:val="0"/>
          <w:lang w:val="en-US" w:eastAsia="zh-CN"/>
        </w:rPr>
        <w:t>无</w:t>
      </w:r>
      <w:r>
        <w:rPr>
          <w:rFonts w:hint="default" w:ascii="Times New Roman" w:hAnsi="Times New Roman" w:cs="Times New Roman"/>
          <w:b w:val="0"/>
          <w:bCs w:val="0"/>
          <w:lang w:val="en-US" w:eastAsia="zh-CN"/>
        </w:rPr>
        <w:t>利益联结机制</w:t>
      </w:r>
      <w:r>
        <w:rPr>
          <w:rFonts w:hint="default" w:ascii="Times New Roman" w:hAnsi="Times New Roman" w:cs="Times New Roman"/>
          <w:b/>
          <w:bCs/>
          <w:lang w:val="en-US" w:eastAsia="zh-CN"/>
        </w:rPr>
        <w:t>，</w:t>
      </w:r>
      <w:r>
        <w:rPr>
          <w:rFonts w:hint="default" w:ascii="Times New Roman" w:hAnsi="Times New Roman" w:cs="Times New Roman"/>
          <w:b w:val="0"/>
          <w:bCs w:val="0"/>
          <w:lang w:val="en-US" w:eastAsia="zh-CN"/>
        </w:rPr>
        <w:t>利益联结机制与带贫减贫机制</w:t>
      </w:r>
      <w:r>
        <w:rPr>
          <w:rFonts w:hint="eastAsia" w:cs="Times New Roman"/>
          <w:b w:val="0"/>
          <w:bCs w:val="0"/>
          <w:lang w:val="en-US" w:eastAsia="zh-CN"/>
        </w:rPr>
        <w:t>缺失。</w:t>
      </w:r>
      <w:r>
        <w:rPr>
          <w:rFonts w:hint="default" w:ascii="Times New Roman" w:hAnsi="Times New Roman" w:cs="Times New Roman"/>
          <w:b w:val="0"/>
          <w:bCs w:val="0"/>
          <w:lang w:val="en-US" w:eastAsia="zh-CN"/>
        </w:rPr>
        <w:t>项目利益联结机制包含联结主体、联结模式等方面，但是</w:t>
      </w:r>
      <w:r>
        <w:rPr>
          <w:rFonts w:hint="eastAsia" w:cs="Times New Roman"/>
          <w:b w:val="0"/>
          <w:bCs w:val="0"/>
          <w:lang w:val="en-US" w:eastAsia="zh-CN"/>
        </w:rPr>
        <w:t>如果</w:t>
      </w:r>
      <w:r>
        <w:rPr>
          <w:rFonts w:hint="default" w:ascii="Times New Roman" w:hAnsi="Times New Roman" w:cs="Times New Roman"/>
          <w:b w:val="0"/>
          <w:bCs w:val="0"/>
          <w:lang w:val="en-US" w:eastAsia="zh-CN"/>
        </w:rPr>
        <w:t>部分利益联结机制描述过于简单</w:t>
      </w:r>
      <w:r>
        <w:rPr>
          <w:rFonts w:hint="eastAsia" w:cs="Times New Roman"/>
          <w:b w:val="0"/>
          <w:bCs w:val="0"/>
          <w:lang w:val="en-US" w:eastAsia="zh-CN"/>
        </w:rPr>
        <w:t>或者缺失，</w:t>
      </w:r>
      <w:r>
        <w:rPr>
          <w:rFonts w:hint="default" w:ascii="Times New Roman" w:hAnsi="Times New Roman" w:cs="Times New Roman"/>
          <w:b w:val="0"/>
          <w:bCs w:val="0"/>
          <w:lang w:val="en-US" w:eastAsia="zh-CN"/>
        </w:rPr>
        <w:t>无法充分发挥对项目实施的指导作用。</w:t>
      </w:r>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imes New Roman"/>
          <w:b/>
          <w:bCs/>
          <w:kern w:val="2"/>
          <w:sz w:val="32"/>
          <w:szCs w:val="32"/>
          <w:lang w:val="en-US" w:eastAsia="zh-CN" w:bidi="ar-SA"/>
        </w:rPr>
      </w:pPr>
      <w:bookmarkStart w:id="320" w:name="_Toc11837"/>
      <w:bookmarkStart w:id="321" w:name="_Toc25284"/>
      <w:bookmarkStart w:id="322" w:name="_Toc7617"/>
      <w:bookmarkStart w:id="323" w:name="_Toc29349"/>
      <w:bookmarkStart w:id="324" w:name="_Toc23188"/>
      <w:r>
        <w:rPr>
          <w:rFonts w:hint="eastAsia" w:ascii="Times New Roman" w:hAnsi="Times New Roman" w:eastAsia="楷体" w:cs="Times New Roman"/>
          <w:b/>
          <w:bCs/>
          <w:kern w:val="2"/>
          <w:sz w:val="32"/>
          <w:szCs w:val="32"/>
          <w:lang w:val="en-US" w:eastAsia="zh-CN" w:bidi="ar-SA"/>
        </w:rPr>
        <w:t>（二）预算绩效管理水平有待提高</w:t>
      </w:r>
      <w:bookmarkEnd w:id="320"/>
      <w:bookmarkEnd w:id="321"/>
      <w:bookmarkEnd w:id="322"/>
      <w:bookmarkEnd w:id="323"/>
      <w:bookmarkEnd w:id="324"/>
    </w:p>
    <w:p>
      <w:pPr>
        <w:pStyle w:val="6"/>
        <w:tabs>
          <w:tab w:val="left" w:pos="6948"/>
        </w:tabs>
        <w:rPr>
          <w:rFonts w:hint="default" w:ascii="Times New Roman" w:hAnsi="Times New Roman" w:cs="Times New Roman"/>
          <w:b w:val="0"/>
          <w:bCs w:val="0"/>
          <w:lang w:val="en-US" w:eastAsia="zh-CN"/>
        </w:rPr>
      </w:pPr>
      <w:r>
        <w:rPr>
          <w:rFonts w:hint="eastAsia" w:ascii="仿宋" w:hAnsi="仿宋" w:eastAsia="仿宋" w:cs="仿宋"/>
          <w:kern w:val="2"/>
          <w:sz w:val="32"/>
          <w:szCs w:val="32"/>
          <w:lang w:val="en-US" w:eastAsia="zh-CN" w:bidi="ar-SA"/>
        </w:rPr>
        <w:t>该项目绩效目标管理水平仍然较为薄弱。一方面，绩效指标设计不够清晰，时效指标、社会效益等指标设置与实际工作内容相关性较弱，绩效目标指导约束性不强；产出成本未设置成本指标进行考核。另一方面，项目绩效运行监控表与绩效目标申报表指标、绩效自评表和自评报告内容不对应，已完工项目未及时开展项目自评</w:t>
      </w:r>
      <w:r>
        <w:rPr>
          <w:rFonts w:hint="eastAsia" w:ascii="仿宋" w:hAnsi="仿宋" w:cs="仿宋"/>
          <w:kern w:val="2"/>
          <w:sz w:val="32"/>
          <w:szCs w:val="32"/>
          <w:lang w:val="en-US" w:eastAsia="zh-CN" w:bidi="ar-SA"/>
        </w:rPr>
        <w:t>。</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lang w:val="en-US" w:eastAsia="zh-CN"/>
        </w:rPr>
      </w:pPr>
      <w:bookmarkStart w:id="325" w:name="_Toc8010"/>
      <w:bookmarkStart w:id="326" w:name="_Toc25619"/>
      <w:bookmarkStart w:id="327" w:name="_Toc13060"/>
      <w:r>
        <w:rPr>
          <w:rFonts w:hint="default"/>
          <w:lang w:val="en-US" w:eastAsia="zh-CN"/>
        </w:rPr>
        <w:t>（</w:t>
      </w:r>
      <w:r>
        <w:rPr>
          <w:rFonts w:hint="eastAsia"/>
          <w:lang w:val="en-US" w:eastAsia="zh-CN"/>
        </w:rPr>
        <w:t>三</w:t>
      </w:r>
      <w:r>
        <w:rPr>
          <w:rFonts w:hint="default"/>
          <w:lang w:val="en-US" w:eastAsia="zh-CN"/>
        </w:rPr>
        <w:t>）乡（镇）、村级公告公示落实不够规范，永久性公示牌设置缺失</w:t>
      </w:r>
      <w:bookmarkEnd w:id="325"/>
      <w:bookmarkEnd w:id="326"/>
      <w:bookmarkEnd w:id="327"/>
    </w:p>
    <w:p>
      <w:pPr>
        <w:pStyle w:val="6"/>
        <w:keepNext w:val="0"/>
        <w:keepLines w:val="0"/>
        <w:pageBreakBefore w:val="0"/>
        <w:widowControl w:val="0"/>
        <w:tabs>
          <w:tab w:val="left" w:pos="6948"/>
        </w:tabs>
        <w:kinsoku/>
        <w:wordWrap/>
        <w:overflowPunct/>
        <w:topLinePunct w:val="0"/>
        <w:autoSpaceDE/>
        <w:autoSpaceDN/>
        <w:bidi w:val="0"/>
        <w:adjustRightInd/>
        <w:snapToGrid/>
        <w:ind w:left="0" w:leftChars="0" w:firstLine="640" w:firstLineChars="20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部分乡（镇）、村级公告公示落实内容不够完整，乡（镇）、村级公告公示缺失。根据脱贫攻坚项目公告公示要求，乡（镇）、村级应设置脱贫攻坚专项公告公示牌，对相关内容进行公示。公示内容应包括：扶贫资金项目公告公示制度、扶贫资金项目安排计划、扶贫资金项目计划完成情况、脱贫攻坚项目库等内容。经评价组实地核查，部分乡（镇）、村级公告公示未就扶贫资金项目公告公示制度、脱贫攻坚项目库等进行公告公示。公示牌设置不够规范，项目实施地未设置永久性公示牌。根据脱贫攻坚项目公告公示要求，项目实施地应设置永久性公告公示牌，公告公示内容应包括项目名称、资金来源、绩效目标等内容。经评价组实地核查，部分项目实施地公告公示牌仅由泡沫版制成，公示牌设置不够规范。</w:t>
      </w:r>
    </w:p>
    <w:p>
      <w:pPr>
        <w:pStyle w:val="4"/>
        <w:bidi w:val="0"/>
        <w:rPr>
          <w:rFonts w:hint="default" w:ascii="Times New Roman" w:hAnsi="Times New Roman" w:cs="Times New Roman"/>
        </w:rPr>
      </w:pPr>
      <w:bookmarkStart w:id="328" w:name="_Toc14572"/>
      <w:bookmarkStart w:id="329" w:name="_Toc13360"/>
      <w:bookmarkStart w:id="330" w:name="_Toc23266448"/>
      <w:bookmarkStart w:id="331" w:name="_Toc22234"/>
      <w:bookmarkStart w:id="332" w:name="_Toc19449"/>
      <w:bookmarkStart w:id="333" w:name="_Toc23264936"/>
      <w:bookmarkStart w:id="334" w:name="_Toc26691"/>
      <w:bookmarkStart w:id="335" w:name="_Toc12935"/>
      <w:bookmarkStart w:id="336" w:name="_Toc19617"/>
      <w:bookmarkStart w:id="337" w:name="_Toc9655"/>
      <w:r>
        <w:rPr>
          <w:rFonts w:hint="default" w:ascii="Times New Roman" w:hAnsi="Times New Roman" w:cs="Times New Roman"/>
          <w:lang w:val="en-US" w:eastAsia="zh-CN"/>
        </w:rPr>
        <w:t>六、</w:t>
      </w:r>
      <w:r>
        <w:rPr>
          <w:rFonts w:hint="default" w:ascii="Times New Roman" w:hAnsi="Times New Roman" w:cs="Times New Roman"/>
        </w:rPr>
        <w:t>有关建议</w:t>
      </w:r>
      <w:bookmarkEnd w:id="328"/>
      <w:bookmarkEnd w:id="329"/>
      <w:bookmarkEnd w:id="330"/>
      <w:bookmarkEnd w:id="331"/>
      <w:bookmarkEnd w:id="332"/>
      <w:bookmarkEnd w:id="333"/>
      <w:bookmarkEnd w:id="334"/>
      <w:bookmarkEnd w:id="335"/>
      <w:bookmarkEnd w:id="336"/>
      <w:bookmarkEnd w:id="337"/>
    </w:p>
    <w:p>
      <w:pPr>
        <w:pStyle w:val="6"/>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ascii="Times New Roman" w:hAnsi="Times New Roman" w:cs="Times New Roman"/>
          <w:b w:val="0"/>
          <w:bCs/>
          <w:lang w:val="en-US" w:eastAsia="zh-CN"/>
        </w:rPr>
      </w:pPr>
      <w:r>
        <w:rPr>
          <w:rFonts w:hint="default" w:ascii="Times New Roman" w:hAnsi="Times New Roman" w:eastAsia="仿宋" w:cs="Times New Roman"/>
          <w:b/>
          <w:bCs/>
          <w:color w:val="000000"/>
          <w:kern w:val="2"/>
          <w:sz w:val="32"/>
          <w:szCs w:val="21"/>
          <w:lang w:val="en-US" w:eastAsia="zh-CN" w:bidi="ar-SA"/>
        </w:rPr>
        <w:t>一是完善项目联农带农和后续帮扶跟进机制。</w:t>
      </w:r>
      <w:r>
        <w:rPr>
          <w:rFonts w:hint="default" w:ascii="Times New Roman" w:hAnsi="Times New Roman" w:cs="Times New Roman"/>
          <w:b w:val="0"/>
          <w:bCs/>
          <w:lang w:val="en-US" w:eastAsia="zh-CN"/>
        </w:rPr>
        <w:t>通过政策引导，根据受扶持村民自身条件与发展需求，与村民建立多形式的利益联结方式，如股份联结、订单联结、服务联结、劳务联结等形式，促进利益联结机制多样化，全面巩固脱贫攻坚成果，避免出现复贫、返贫现象。同时，建议各乡镇政府和村委完善扶持项目后期帮扶跟进措施，并增加浮动收益，保障实施效果。明确项目建设结束后，如何在一定期限内继续帮助受扶持村民持续收益等方式方法。可通过对扶持人口进行定期跟踪、反馈的方式，了解帮扶村有关设施投入使用、运营情况，以及村民实际生活情况，避免出现脱贫人口再次返贫等问题。</w:t>
      </w:r>
    </w:p>
    <w:p>
      <w:pPr>
        <w:pStyle w:val="6"/>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eastAsia" w:ascii="Times New Roman" w:hAnsi="Times New Roman" w:eastAsia="仿宋" w:cs="Times New Roman"/>
          <w:b w:val="0"/>
          <w:bCs/>
          <w:lang w:val="en-US" w:eastAsia="zh-CN"/>
        </w:rPr>
      </w:pPr>
      <w:r>
        <w:rPr>
          <w:rFonts w:hint="eastAsia" w:cs="Times New Roman"/>
          <w:b/>
          <w:bCs w:val="0"/>
          <w:color w:val="000000" w:themeColor="text1"/>
          <w:lang w:val="en-US" w:eastAsia="zh-CN"/>
          <w14:textFill>
            <w14:solidFill>
              <w14:schemeClr w14:val="tx1"/>
            </w14:solidFill>
          </w14:textFill>
        </w:rPr>
        <w:t>二是</w:t>
      </w:r>
      <w:r>
        <w:rPr>
          <w:rFonts w:hint="default" w:cs="Times New Roman"/>
          <w:b/>
          <w:bCs w:val="0"/>
          <w:color w:val="000000" w:themeColor="text1"/>
          <w:lang w:val="en-US" w:eastAsia="zh-CN"/>
          <w14:textFill>
            <w14:solidFill>
              <w14:schemeClr w14:val="tx1"/>
            </w14:solidFill>
          </w14:textFill>
        </w:rPr>
        <w:t>规范</w:t>
      </w:r>
      <w:r>
        <w:rPr>
          <w:rFonts w:hint="eastAsia" w:cs="Times New Roman"/>
          <w:b/>
          <w:bCs w:val="0"/>
          <w:color w:val="000000" w:themeColor="text1"/>
          <w:lang w:val="en-US" w:eastAsia="zh-CN"/>
          <w14:textFill>
            <w14:solidFill>
              <w14:schemeClr w14:val="tx1"/>
            </w14:solidFill>
          </w14:textFill>
        </w:rPr>
        <w:t>项目</w:t>
      </w:r>
      <w:r>
        <w:rPr>
          <w:rFonts w:hint="default" w:cs="Times New Roman"/>
          <w:b/>
          <w:bCs w:val="0"/>
          <w:color w:val="000000" w:themeColor="text1"/>
          <w:lang w:val="en-US" w:eastAsia="zh-CN"/>
          <w14:textFill>
            <w14:solidFill>
              <w14:schemeClr w14:val="tx1"/>
            </w14:solidFill>
          </w14:textFill>
        </w:rPr>
        <w:t>管理流程，细化绩效考核。</w:t>
      </w:r>
      <w:r>
        <w:rPr>
          <w:rFonts w:hint="eastAsia" w:cs="Times New Roman"/>
          <w:b w:val="0"/>
          <w:bCs/>
          <w:color w:val="000000" w:themeColor="text1"/>
          <w:lang w:val="en-US" w:eastAsia="zh-CN"/>
          <w14:textFill>
            <w14:solidFill>
              <w14:schemeClr w14:val="tx1"/>
            </w14:solidFill>
          </w14:textFill>
        </w:rPr>
        <w:t>建议项目主管部门</w:t>
      </w:r>
      <w:r>
        <w:rPr>
          <w:rFonts w:hint="default" w:cs="Times New Roman"/>
          <w:b w:val="0"/>
          <w:bCs/>
          <w:color w:val="000000" w:themeColor="text1"/>
          <w:lang w:val="en-US" w:eastAsia="zh-CN"/>
          <w14:textFill>
            <w14:solidFill>
              <w14:schemeClr w14:val="tx1"/>
            </w14:solidFill>
          </w14:textFill>
        </w:rPr>
        <w:t>提高</w:t>
      </w:r>
      <w:r>
        <w:rPr>
          <w:rFonts w:hint="eastAsia" w:cs="Times New Roman"/>
          <w:b w:val="0"/>
          <w:bCs/>
          <w:color w:val="000000" w:themeColor="text1"/>
          <w:lang w:val="en-US" w:eastAsia="zh-CN"/>
          <w14:textFill>
            <w14:solidFill>
              <w14:schemeClr w14:val="tx1"/>
            </w14:solidFill>
          </w14:textFill>
        </w:rPr>
        <w:t>项目</w:t>
      </w:r>
      <w:r>
        <w:rPr>
          <w:rFonts w:hint="default" w:cs="Times New Roman"/>
          <w:b w:val="0"/>
          <w:bCs/>
          <w:color w:val="000000" w:themeColor="text1"/>
          <w:lang w:val="en-US" w:eastAsia="zh-CN"/>
          <w14:textFill>
            <w14:solidFill>
              <w14:schemeClr w14:val="tx1"/>
            </w14:solidFill>
          </w14:textFill>
        </w:rPr>
        <w:t>精细化管理</w:t>
      </w:r>
      <w:r>
        <w:rPr>
          <w:rFonts w:hint="eastAsia" w:cs="Times New Roman"/>
          <w:b w:val="0"/>
          <w:bCs/>
          <w:color w:val="000000" w:themeColor="text1"/>
          <w:lang w:val="en-US" w:eastAsia="zh-CN"/>
          <w14:textFill>
            <w14:solidFill>
              <w14:schemeClr w14:val="tx1"/>
            </w14:solidFill>
          </w14:textFill>
        </w:rPr>
        <w:t>，</w:t>
      </w:r>
      <w:r>
        <w:rPr>
          <w:rFonts w:hint="default" w:cs="Times New Roman"/>
          <w:b w:val="0"/>
          <w:bCs/>
          <w:color w:val="000000" w:themeColor="text1"/>
          <w:lang w:val="en-US" w:eastAsia="zh-CN"/>
          <w14:textFill>
            <w14:solidFill>
              <w14:schemeClr w14:val="tx1"/>
            </w14:solidFill>
          </w14:textFill>
        </w:rPr>
        <w:t>细化绩效考核</w:t>
      </w:r>
      <w:r>
        <w:rPr>
          <w:rFonts w:hint="eastAsia" w:cs="Times New Roman"/>
          <w:b w:val="0"/>
          <w:bCs/>
          <w:color w:val="000000" w:themeColor="text1"/>
          <w:lang w:val="en-US" w:eastAsia="zh-CN"/>
          <w14:textFill>
            <w14:solidFill>
              <w14:schemeClr w14:val="tx1"/>
            </w14:solidFill>
          </w14:textFill>
        </w:rPr>
        <w:t>，</w:t>
      </w:r>
      <w:r>
        <w:rPr>
          <w:rFonts w:hint="default" w:cs="Times New Roman"/>
          <w:b w:val="0"/>
          <w:bCs/>
          <w:color w:val="000000" w:themeColor="text1"/>
          <w:lang w:val="en-US" w:eastAsia="zh-CN"/>
          <w14:textFill>
            <w14:solidFill>
              <w14:schemeClr w14:val="tx1"/>
            </w14:solidFill>
          </w14:textFill>
        </w:rPr>
        <w:t>在</w:t>
      </w:r>
      <w:r>
        <w:rPr>
          <w:rFonts w:hint="eastAsia" w:cs="Times New Roman"/>
          <w:b w:val="0"/>
          <w:bCs/>
          <w:color w:val="000000" w:themeColor="text1"/>
          <w:lang w:val="en-US" w:eastAsia="zh-CN"/>
          <w14:textFill>
            <w14:solidFill>
              <w14:schemeClr w14:val="tx1"/>
            </w14:solidFill>
          </w14:textFill>
        </w:rPr>
        <w:t>项目</w:t>
      </w:r>
      <w:r>
        <w:rPr>
          <w:rFonts w:hint="default" w:cs="Times New Roman"/>
          <w:b w:val="0"/>
          <w:bCs/>
          <w:color w:val="000000" w:themeColor="text1"/>
          <w:lang w:val="en-US" w:eastAsia="zh-CN"/>
          <w14:textFill>
            <w14:solidFill>
              <w14:schemeClr w14:val="tx1"/>
            </w14:solidFill>
          </w14:textFill>
        </w:rPr>
        <w:t>管理规章制度和同业对标考核实施细则中完善考核具体内容和办法。</w:t>
      </w:r>
      <w:r>
        <w:rPr>
          <w:color w:val="000000"/>
          <w:szCs w:val="21"/>
        </w:rPr>
        <w:t>建议</w:t>
      </w:r>
      <w:r>
        <w:rPr>
          <w:rFonts w:hint="eastAsia"/>
          <w:color w:val="000000"/>
          <w:szCs w:val="21"/>
          <w:lang w:val="en-US" w:eastAsia="zh-CN"/>
        </w:rPr>
        <w:t>淮滨县</w:t>
      </w:r>
      <w:r>
        <w:rPr>
          <w:rFonts w:hint="eastAsia"/>
          <w:color w:val="000000"/>
          <w:szCs w:val="21"/>
        </w:rPr>
        <w:t>财政局和</w:t>
      </w:r>
      <w:r>
        <w:rPr>
          <w:color w:val="000000"/>
          <w:szCs w:val="21"/>
        </w:rPr>
        <w:t>扶贫办</w:t>
      </w:r>
      <w:r>
        <w:rPr>
          <w:rFonts w:hint="eastAsia"/>
          <w:color w:val="000000"/>
          <w:szCs w:val="21"/>
        </w:rPr>
        <w:t>定期</w:t>
      </w:r>
      <w:r>
        <w:rPr>
          <w:color w:val="000000"/>
          <w:szCs w:val="21"/>
        </w:rPr>
        <w:t>派出工作人员对各贫困</w:t>
      </w:r>
      <w:r>
        <w:rPr>
          <w:rFonts w:hint="eastAsia"/>
          <w:color w:val="000000"/>
          <w:szCs w:val="21"/>
        </w:rPr>
        <w:t>申报</w:t>
      </w:r>
      <w:r>
        <w:rPr>
          <w:color w:val="000000"/>
          <w:szCs w:val="21"/>
        </w:rPr>
        <w:t>村</w:t>
      </w:r>
      <w:r>
        <w:rPr>
          <w:rFonts w:hint="eastAsia"/>
          <w:color w:val="000000"/>
          <w:szCs w:val="21"/>
        </w:rPr>
        <w:t>负责人</w:t>
      </w:r>
      <w:r>
        <w:rPr>
          <w:color w:val="000000"/>
          <w:szCs w:val="21"/>
        </w:rPr>
        <w:t>进行绩效目标填报的教学与讲解，帮助贫困村培养有经验</w:t>
      </w:r>
      <w:r>
        <w:rPr>
          <w:rFonts w:hint="eastAsia"/>
          <w:color w:val="000000"/>
          <w:szCs w:val="21"/>
        </w:rPr>
        <w:t>、</w:t>
      </w:r>
      <w:r>
        <w:rPr>
          <w:color w:val="000000"/>
          <w:szCs w:val="21"/>
        </w:rPr>
        <w:t>有技术的工作人员，明确绩效目标理念，按照指向明确、细化量化、合理可行、相应匹配</w:t>
      </w:r>
      <w:r>
        <w:rPr>
          <w:rFonts w:hint="eastAsia"/>
          <w:color w:val="000000"/>
          <w:szCs w:val="21"/>
        </w:rPr>
        <w:t>等原则合理设置绩效目标。可通过集中培训或</w:t>
      </w:r>
      <w:r>
        <w:rPr>
          <w:color w:val="000000"/>
          <w:szCs w:val="21"/>
        </w:rPr>
        <w:t>定期调研</w:t>
      </w:r>
      <w:r>
        <w:rPr>
          <w:rFonts w:hint="eastAsia"/>
          <w:color w:val="000000"/>
          <w:szCs w:val="21"/>
        </w:rPr>
        <w:t>等</w:t>
      </w:r>
      <w:r>
        <w:rPr>
          <w:color w:val="000000"/>
          <w:szCs w:val="21"/>
        </w:rPr>
        <w:t>形式，</w:t>
      </w:r>
      <w:r>
        <w:rPr>
          <w:rFonts w:hint="eastAsia"/>
          <w:color w:val="000000"/>
          <w:szCs w:val="21"/>
        </w:rPr>
        <w:t>在每年项目申报前，针对扶贫项目绩效目标设置的原则、方法和和要求等内容进行讲解，帮助项目申报单位答疑解惑</w:t>
      </w:r>
      <w:r>
        <w:rPr>
          <w:color w:val="000000"/>
          <w:szCs w:val="21"/>
        </w:rPr>
        <w:t>，提高村级项目绩效目标申报的科学性与合理性</w:t>
      </w:r>
      <w:r>
        <w:rPr>
          <w:rFonts w:hint="eastAsia"/>
          <w:color w:val="000000"/>
          <w:szCs w:val="21"/>
        </w:rPr>
        <w:t>，并由此促进项目建设实施方案的规范性与可行性</w:t>
      </w:r>
      <w:r>
        <w:rPr>
          <w:rFonts w:hint="eastAsia"/>
          <w:color w:val="000000"/>
          <w:szCs w:val="21"/>
          <w:lang w:eastAsia="zh-CN"/>
        </w:rPr>
        <w:t>。</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color w:val="000000"/>
          <w:szCs w:val="21"/>
        </w:rPr>
      </w:pPr>
      <w:r>
        <w:rPr>
          <w:rFonts w:hint="eastAsia" w:cs="Times New Roman"/>
          <w:b/>
          <w:bCs/>
          <w:color w:val="000000"/>
          <w:kern w:val="2"/>
          <w:sz w:val="32"/>
          <w:szCs w:val="21"/>
          <w:lang w:val="en-US" w:eastAsia="zh-CN" w:bidi="ar-SA"/>
        </w:rPr>
        <w:t>三</w:t>
      </w:r>
      <w:r>
        <w:rPr>
          <w:rFonts w:hint="default" w:ascii="Times New Roman" w:hAnsi="Times New Roman" w:eastAsia="仿宋" w:cs="Times New Roman"/>
          <w:b/>
          <w:bCs/>
          <w:color w:val="000000"/>
          <w:kern w:val="2"/>
          <w:sz w:val="32"/>
          <w:szCs w:val="21"/>
          <w:lang w:val="en-US" w:eastAsia="zh-CN" w:bidi="ar-SA"/>
        </w:rPr>
        <w:t>是提高乡（镇）、村公告公示制度完整性、规范性，加强宣传、讲解工作。</w:t>
      </w:r>
      <w:r>
        <w:rPr>
          <w:rFonts w:hint="default" w:ascii="Times New Roman" w:hAnsi="Times New Roman" w:cs="Times New Roman"/>
          <w:color w:val="000000"/>
          <w:szCs w:val="21"/>
        </w:rPr>
        <w:t>建议</w:t>
      </w:r>
      <w:r>
        <w:rPr>
          <w:rFonts w:hint="eastAsia" w:cs="Times New Roman"/>
          <w:color w:val="000000"/>
          <w:szCs w:val="21"/>
          <w:lang w:val="en-US" w:eastAsia="zh-CN"/>
        </w:rPr>
        <w:t>淮滨县交通运输局</w:t>
      </w:r>
      <w:r>
        <w:rPr>
          <w:rFonts w:hint="default" w:ascii="Times New Roman" w:hAnsi="Times New Roman" w:cs="Times New Roman"/>
          <w:color w:val="000000"/>
          <w:szCs w:val="21"/>
        </w:rPr>
        <w:t>定期派出工作人员对各</w:t>
      </w:r>
      <w:r>
        <w:rPr>
          <w:rFonts w:hint="default" w:ascii="Times New Roman" w:hAnsi="Times New Roman" w:cs="Times New Roman"/>
          <w:color w:val="000000"/>
          <w:szCs w:val="21"/>
          <w:lang w:val="en-US" w:eastAsia="zh-CN"/>
        </w:rPr>
        <w:t>乡（镇）、村脱贫攻坚项目</w:t>
      </w:r>
      <w:r>
        <w:rPr>
          <w:rFonts w:hint="default" w:ascii="Times New Roman" w:hAnsi="Times New Roman" w:cs="Times New Roman"/>
          <w:color w:val="000000"/>
          <w:szCs w:val="21"/>
        </w:rPr>
        <w:t>负责人进行</w:t>
      </w:r>
      <w:r>
        <w:rPr>
          <w:rFonts w:hint="default" w:ascii="Times New Roman" w:hAnsi="Times New Roman" w:cs="Times New Roman"/>
          <w:color w:val="000000"/>
          <w:szCs w:val="21"/>
          <w:lang w:val="en-US" w:eastAsia="zh-CN"/>
        </w:rPr>
        <w:t>公告公示制度宣传</w:t>
      </w:r>
      <w:r>
        <w:rPr>
          <w:rFonts w:hint="default" w:ascii="Times New Roman" w:hAnsi="Times New Roman" w:cs="Times New Roman"/>
          <w:color w:val="000000"/>
          <w:szCs w:val="21"/>
        </w:rPr>
        <w:t>，可通过集中培训或定期调研等形式，在每年项目申报前，针对扶贫项目</w:t>
      </w:r>
      <w:r>
        <w:rPr>
          <w:rFonts w:hint="default" w:ascii="Times New Roman" w:hAnsi="Times New Roman" w:cs="Times New Roman"/>
          <w:color w:val="000000"/>
          <w:szCs w:val="21"/>
          <w:lang w:val="en-US" w:eastAsia="zh-CN"/>
        </w:rPr>
        <w:t>公告公示制度的完整性、规范性</w:t>
      </w:r>
      <w:r>
        <w:rPr>
          <w:rFonts w:hint="default" w:ascii="Times New Roman" w:hAnsi="Times New Roman" w:cs="Times New Roman"/>
          <w:color w:val="000000"/>
          <w:szCs w:val="21"/>
        </w:rPr>
        <w:t>等内容进行讲解，帮助项目申报单位答疑解惑，提高</w:t>
      </w:r>
      <w:r>
        <w:rPr>
          <w:rFonts w:hint="default" w:ascii="Times New Roman" w:hAnsi="Times New Roman" w:cs="Times New Roman"/>
          <w:color w:val="000000"/>
          <w:szCs w:val="21"/>
          <w:lang w:val="en-US" w:eastAsia="zh-CN"/>
        </w:rPr>
        <w:t>乡（镇）、村公告公示制度完整性、规范性</w:t>
      </w:r>
      <w:r>
        <w:rPr>
          <w:rFonts w:hint="default" w:ascii="Times New Roman" w:hAnsi="Times New Roman" w:cs="Times New Roman"/>
          <w:color w:val="000000"/>
          <w:szCs w:val="21"/>
        </w:rPr>
        <w:t>，并由此促进项目建设实施的规范性与可行性。</w:t>
      </w:r>
    </w:p>
    <w:p>
      <w:pPr>
        <w:pStyle w:val="6"/>
        <w:tabs>
          <w:tab w:val="left" w:pos="6948"/>
        </w:tabs>
        <w:spacing w:before="120" w:after="60"/>
        <w:outlineLvl w:val="0"/>
        <w:rPr>
          <w:rFonts w:hint="default" w:ascii="Times New Roman" w:hAnsi="Times New Roman" w:cs="Times New Roman"/>
        </w:rPr>
      </w:pPr>
      <w:bookmarkStart w:id="338" w:name="_Toc24730"/>
      <w:bookmarkStart w:id="339" w:name="_Toc31088"/>
      <w:bookmarkStart w:id="340" w:name="_Toc24811"/>
      <w:bookmarkStart w:id="341" w:name="_Toc5101"/>
      <w:bookmarkStart w:id="342" w:name="_Toc11115"/>
      <w:bookmarkStart w:id="343" w:name="_Toc3059"/>
      <w:bookmarkStart w:id="344" w:name="_Toc12201"/>
      <w:bookmarkStart w:id="345" w:name="_Toc9169"/>
      <w:bookmarkStart w:id="346" w:name="_Toc23332"/>
      <w:r>
        <w:rPr>
          <w:rFonts w:hint="eastAsia" w:eastAsia="黑体" w:cs="Times New Roman"/>
          <w:b/>
          <w:bCs/>
          <w:kern w:val="44"/>
          <w:sz w:val="32"/>
          <w:szCs w:val="44"/>
          <w:lang w:val="en-US" w:eastAsia="zh-CN" w:bidi="ar-SA"/>
        </w:rPr>
        <w:t>七</w:t>
      </w:r>
      <w:r>
        <w:rPr>
          <w:rFonts w:hint="default" w:ascii="Times New Roman" w:hAnsi="Times New Roman" w:eastAsia="黑体" w:cs="Times New Roman"/>
          <w:b/>
          <w:bCs/>
          <w:kern w:val="44"/>
          <w:sz w:val="32"/>
          <w:szCs w:val="44"/>
          <w:lang w:val="en-US" w:eastAsia="zh-CN" w:bidi="ar-SA"/>
        </w:rPr>
        <w:t>、绩效评价结果应用建议</w:t>
      </w:r>
      <w:bookmarkEnd w:id="338"/>
      <w:bookmarkEnd w:id="339"/>
      <w:bookmarkEnd w:id="340"/>
      <w:bookmarkEnd w:id="341"/>
      <w:bookmarkEnd w:id="342"/>
      <w:bookmarkEnd w:id="343"/>
      <w:bookmarkEnd w:id="344"/>
      <w:bookmarkEnd w:id="345"/>
      <w:bookmarkEnd w:id="346"/>
    </w:p>
    <w:p>
      <w:pPr>
        <w:pStyle w:val="6"/>
        <w:bidi w:val="0"/>
        <w:rPr>
          <w:rFonts w:hint="default" w:ascii="Times New Roman" w:hAnsi="Times New Roman" w:cs="Times New Roman"/>
        </w:rPr>
      </w:pPr>
      <w:r>
        <w:rPr>
          <w:rFonts w:hint="default" w:ascii="Times New Roman" w:hAnsi="Times New Roman" w:cs="Times New Roman"/>
        </w:rPr>
        <w:t>（一）把绩效评价结果作为财政部门每年安排部门预算的重要依据，为预算编制提供参考，加强项目预算准确性，尽快实现预算与绩效管理一体化。</w:t>
      </w:r>
    </w:p>
    <w:p>
      <w:pPr>
        <w:pStyle w:val="6"/>
        <w:bidi w:val="0"/>
        <w:rPr>
          <w:rFonts w:hint="default" w:ascii="Times New Roman" w:hAnsi="Times New Roman" w:cs="Times New Roman"/>
        </w:rPr>
      </w:pPr>
      <w:r>
        <w:rPr>
          <w:rFonts w:hint="default" w:ascii="Times New Roman" w:hAnsi="Times New Roman" w:cs="Times New Roman"/>
        </w:rPr>
        <w:t>（二）利用绩效监督结果，促进主管部门增强责任和效益观念，提高财政资金支出决策水平、管理水平和资金使用效果，完善长效管理制度</w:t>
      </w:r>
      <w:r>
        <w:rPr>
          <w:rFonts w:hint="default" w:ascii="Times New Roman" w:hAnsi="Times New Roman" w:cs="Times New Roman"/>
          <w:lang w:eastAsia="zh-CN"/>
        </w:rPr>
        <w:t>。</w:t>
      </w:r>
      <w:r>
        <w:rPr>
          <w:rFonts w:hint="default" w:ascii="Times New Roman" w:hAnsi="Times New Roman" w:cs="Times New Roman"/>
        </w:rPr>
        <w:t>硬化绩效约束</w:t>
      </w:r>
      <w:r>
        <w:rPr>
          <w:rFonts w:hint="default" w:ascii="Times New Roman" w:hAnsi="Times New Roman" w:cs="Times New Roman"/>
          <w:lang w:eastAsia="zh-CN"/>
        </w:rPr>
        <w:t>，</w:t>
      </w:r>
      <w:r>
        <w:rPr>
          <w:rFonts w:hint="default" w:ascii="Times New Roman" w:hAnsi="Times New Roman" w:cs="Times New Roman"/>
        </w:rPr>
        <w:t>在提高预算绩效约束力方面，深入贯彻绩效评价结果，按照规定作为改进管理和编制以后年度预算的依据，落实责任，实现绩效约束提升项目产出和效益的目的。</w:t>
      </w:r>
    </w:p>
    <w:p>
      <w:pPr>
        <w:pStyle w:val="6"/>
        <w:bidi w:val="0"/>
        <w:rPr>
          <w:rFonts w:hint="default" w:ascii="Times New Roman" w:hAnsi="Times New Roman" w:cs="Times New Roman"/>
        </w:rPr>
      </w:pPr>
      <w:r>
        <w:rPr>
          <w:rFonts w:hint="default" w:ascii="Times New Roman" w:hAnsi="Times New Roman" w:cs="Times New Roman"/>
        </w:rPr>
        <w:t>（三）公开年度预算安排和评价结果，搭建社会公众参与绩效管理的途径和平台，自觉接受社会各界监督，完善压力传导机制，落实主体责任。</w:t>
      </w:r>
    </w:p>
    <w:p>
      <w:pPr>
        <w:pStyle w:val="6"/>
        <w:bidi w:val="0"/>
        <w:rPr>
          <w:rFonts w:hint="default" w:ascii="Times New Roman" w:hAnsi="Times New Roman" w:cs="Times New Roman"/>
        </w:rPr>
      </w:pPr>
      <w:bookmarkStart w:id="347" w:name="_Toc11235"/>
      <w:bookmarkStart w:id="348" w:name="_Toc13331"/>
      <w:r>
        <w:rPr>
          <w:rFonts w:hint="default" w:ascii="Times New Roman" w:hAnsi="Times New Roman" w:cs="Times New Roman"/>
        </w:rPr>
        <w:t>（四）在落实主体责任过程中逐渐加强对预算绩效管理的组织领导，切实转变思想观念，牢固树立绩效意识，完善相关政策约束，加强预算绩效管理力量，充实预算绩效管理人员，督促指导有关政策措施落实。针对预算执行率较低的问题，落实主体责任，合理分析原因并进行整改完善，总结经验教训且在下年度预算安排中应用执行。</w:t>
      </w:r>
      <w:bookmarkEnd w:id="347"/>
      <w:bookmarkEnd w:id="348"/>
    </w:p>
    <w:p>
      <w:pPr>
        <w:pStyle w:val="6"/>
        <w:tabs>
          <w:tab w:val="left" w:pos="6948"/>
        </w:tabs>
        <w:spacing w:before="120" w:after="60"/>
        <w:outlineLvl w:val="0"/>
        <w:rPr>
          <w:rFonts w:hint="default" w:ascii="Times New Roman" w:hAnsi="Times New Roman" w:eastAsia="黑体" w:cs="Times New Roman"/>
          <w:b/>
          <w:bCs/>
          <w:kern w:val="44"/>
          <w:sz w:val="32"/>
          <w:szCs w:val="44"/>
          <w:lang w:val="en-US" w:eastAsia="zh-CN" w:bidi="ar-SA"/>
        </w:rPr>
      </w:pPr>
      <w:bookmarkStart w:id="349" w:name="_Toc10401"/>
      <w:bookmarkStart w:id="350" w:name="_Toc3589"/>
      <w:bookmarkStart w:id="351" w:name="_Toc13276"/>
      <w:bookmarkStart w:id="352" w:name="_Toc17071"/>
      <w:bookmarkStart w:id="353" w:name="_Toc30560"/>
      <w:bookmarkStart w:id="354" w:name="_Toc6639"/>
      <w:r>
        <w:rPr>
          <w:rFonts w:hint="eastAsia" w:eastAsia="黑体" w:cs="Times New Roman"/>
          <w:b/>
          <w:bCs/>
          <w:kern w:val="44"/>
          <w:sz w:val="32"/>
          <w:szCs w:val="44"/>
          <w:lang w:val="en-US" w:eastAsia="zh-CN" w:bidi="ar-SA"/>
        </w:rPr>
        <w:t>八</w:t>
      </w:r>
      <w:r>
        <w:rPr>
          <w:rFonts w:hint="default" w:ascii="Times New Roman" w:hAnsi="Times New Roman" w:eastAsia="黑体" w:cs="Times New Roman"/>
          <w:b/>
          <w:bCs/>
          <w:kern w:val="44"/>
          <w:sz w:val="32"/>
          <w:szCs w:val="44"/>
          <w:lang w:val="en-US" w:eastAsia="zh-CN" w:bidi="ar-SA"/>
        </w:rPr>
        <w:t>、其他需要说明的问题</w:t>
      </w:r>
      <w:bookmarkEnd w:id="291"/>
      <w:bookmarkEnd w:id="292"/>
      <w:bookmarkEnd w:id="293"/>
      <w:bookmarkEnd w:id="294"/>
      <w:bookmarkEnd w:id="295"/>
      <w:bookmarkEnd w:id="349"/>
      <w:bookmarkEnd w:id="350"/>
      <w:bookmarkEnd w:id="351"/>
      <w:bookmarkEnd w:id="352"/>
      <w:bookmarkEnd w:id="353"/>
      <w:bookmarkEnd w:id="354"/>
    </w:p>
    <w:p>
      <w:pPr>
        <w:pStyle w:val="6"/>
        <w:tabs>
          <w:tab w:val="left" w:pos="6948"/>
        </w:tabs>
        <w:spacing w:before="120" w:after="60"/>
        <w:rPr>
          <w:rFonts w:hint="default" w:ascii="Times New Roman" w:hAnsi="Times New Roman" w:cs="Times New Roman"/>
          <w:lang w:val="en-US" w:eastAsia="zh-CN"/>
        </w:rPr>
      </w:pPr>
      <w:r>
        <w:rPr>
          <w:rFonts w:hint="default" w:ascii="Times New Roman" w:hAnsi="Times New Roman" w:cs="Times New Roman"/>
          <w:lang w:val="en-US" w:eastAsia="zh-CN"/>
        </w:rPr>
        <w:t>无。</w:t>
      </w:r>
    </w:p>
    <w:p>
      <w:pPr>
        <w:pStyle w:val="6"/>
        <w:tabs>
          <w:tab w:val="left" w:pos="6948"/>
        </w:tabs>
        <w:spacing w:before="120" w:after="60"/>
        <w:rPr>
          <w:rFonts w:hint="eastAsia" w:ascii="Times New Roman" w:hAnsi="Times New Roman" w:cs="Times New Roman"/>
          <w:lang w:val="en-US" w:eastAsia="zh-CN"/>
        </w:rPr>
        <w:sectPr>
          <w:footerReference r:id="rId8" w:type="default"/>
          <w:pgSz w:w="11906" w:h="16838"/>
          <w:pgMar w:top="1440" w:right="1797" w:bottom="1440" w:left="1797" w:header="851" w:footer="992" w:gutter="0"/>
          <w:pgNumType w:fmt="decimal"/>
          <w:cols w:space="425" w:num="1"/>
          <w:docGrid w:linePitch="312" w:charSpace="0"/>
        </w:sectPr>
      </w:pPr>
      <w:r>
        <w:rPr>
          <w:rFonts w:hint="eastAsia" w:ascii="Times New Roman" w:hAnsi="Times New Roman" w:cs="Times New Roman"/>
          <w:lang w:val="en-US" w:eastAsia="zh-CN"/>
        </w:rPr>
        <w:t>附件 综合评分表</w:t>
      </w:r>
    </w:p>
    <w:p>
      <w:pPr>
        <w:pStyle w:val="6"/>
        <w:tabs>
          <w:tab w:val="left" w:pos="6948"/>
        </w:tabs>
        <w:spacing w:before="120" w:after="60"/>
        <w:outlineLvl w:val="0"/>
        <w:rPr>
          <w:rFonts w:hint="eastAsia" w:eastAsia="黑体" w:cs="Times New Roman"/>
          <w:b/>
          <w:bCs/>
          <w:kern w:val="44"/>
          <w:sz w:val="32"/>
          <w:szCs w:val="44"/>
          <w:lang w:val="en-US" w:eastAsia="zh-CN" w:bidi="ar-SA"/>
        </w:rPr>
      </w:pPr>
      <w:bookmarkStart w:id="355" w:name="_Toc30122"/>
      <w:r>
        <w:rPr>
          <w:rFonts w:hint="eastAsia" w:eastAsia="黑体" w:cs="Times New Roman"/>
          <w:b/>
          <w:bCs/>
          <w:kern w:val="44"/>
          <w:sz w:val="32"/>
          <w:szCs w:val="44"/>
          <w:lang w:val="en-US" w:eastAsia="zh-CN" w:bidi="ar-SA"/>
        </w:rPr>
        <w:t>附件一 综合评分表</w:t>
      </w:r>
      <w:bookmarkEnd w:id="355"/>
    </w:p>
    <w:tbl>
      <w:tblPr>
        <w:tblStyle w:val="19"/>
        <w:tblW w:w="5000" w:type="pct"/>
        <w:tblInd w:w="0" w:type="dxa"/>
        <w:shd w:val="clear" w:color="auto" w:fill="auto"/>
        <w:tblLayout w:type="fixed"/>
        <w:tblCellMar>
          <w:top w:w="0" w:type="dxa"/>
          <w:left w:w="108" w:type="dxa"/>
          <w:bottom w:w="0" w:type="dxa"/>
          <w:right w:w="108" w:type="dxa"/>
        </w:tblCellMar>
      </w:tblPr>
      <w:tblGrid>
        <w:gridCol w:w="703"/>
        <w:gridCol w:w="722"/>
        <w:gridCol w:w="764"/>
        <w:gridCol w:w="941"/>
        <w:gridCol w:w="1561"/>
        <w:gridCol w:w="1009"/>
        <w:gridCol w:w="2796"/>
        <w:gridCol w:w="3857"/>
        <w:gridCol w:w="736"/>
        <w:gridCol w:w="1085"/>
      </w:tblGrid>
      <w:tr>
        <w:tblPrEx>
          <w:tblCellMar>
            <w:top w:w="0" w:type="dxa"/>
            <w:left w:w="108" w:type="dxa"/>
            <w:bottom w:w="0" w:type="dxa"/>
            <w:right w:w="108" w:type="dxa"/>
          </w:tblCellMar>
        </w:tblPrEx>
        <w:trPr>
          <w:trHeight w:val="23" w:hRule="atLeast"/>
        </w:trPr>
        <w:tc>
          <w:tcPr>
            <w:tcW w:w="247"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254"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26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331"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55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指标解释</w:t>
            </w:r>
          </w:p>
        </w:tc>
        <w:tc>
          <w:tcPr>
            <w:tcW w:w="35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目标值</w:t>
            </w:r>
          </w:p>
        </w:tc>
        <w:tc>
          <w:tcPr>
            <w:tcW w:w="986"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评分标准</w:t>
            </w:r>
          </w:p>
        </w:tc>
        <w:tc>
          <w:tcPr>
            <w:tcW w:w="136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评分过程</w:t>
            </w:r>
          </w:p>
        </w:tc>
        <w:tc>
          <w:tcPr>
            <w:tcW w:w="25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382"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w:t>
            </w:r>
            <w:r>
              <w:rPr>
                <w:rFonts w:hint="eastAsia" w:ascii="仿宋_GB2312" w:hAnsi="Times New Roman" w:eastAsia="仿宋_GB2312" w:cs="仿宋_GB2312"/>
                <w:i w:val="0"/>
                <w:iCs w:val="0"/>
                <w:color w:val="000000"/>
                <w:kern w:val="0"/>
                <w:sz w:val="22"/>
                <w:szCs w:val="22"/>
                <w:u w:val="none"/>
                <w:lang w:val="en-US" w:eastAsia="zh-CN" w:bidi="ar"/>
              </w:rPr>
              <w:t>项目决策（</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w:t>
            </w:r>
            <w:r>
              <w:rPr>
                <w:rFonts w:hint="eastAsia" w:ascii="仿宋_GB2312" w:hAnsi="Times New Roman" w:eastAsia="仿宋_GB2312" w:cs="仿宋_GB2312"/>
                <w:i w:val="0"/>
                <w:iCs w:val="0"/>
                <w:color w:val="000000"/>
                <w:kern w:val="0"/>
                <w:sz w:val="22"/>
                <w:szCs w:val="22"/>
                <w:u w:val="none"/>
                <w:lang w:val="en-US" w:eastAsia="zh-CN" w:bidi="ar"/>
              </w:rPr>
              <w:t>项目立项（</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项目立项符合法律法规、相关政策、发展规划以及部门职责，用以反映和考核项目立项依据情况。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充分</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①项目立项符合国家法律法规、省市国民经济</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十三五发展规划</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；②项目立项符合国家、省市相关政策要求；③项目立项与淮滨县交通运输局部门职责范围相符，属于部门履职所需；④项目属于公共财政支持范围，符合中央、地方事权支出责任划分原则。以上各项各占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年扶贫通村通组道路配套桥涵建设项目立项符合国家法律法规及河南省、信阳市</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发展规划，该要素得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权重分；②淮滨县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年扶贫通村通组道路配套桥涵建设项目立项均符合国家、省市相关政策要求，该要素得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权重分；③淮滨县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年扶贫通村通组道路配套桥涵建设项目立项均在淮滨县交通运输局及各行业主管单位职责范围之内，属于部门履职所需，该要素得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权重分；④项目均属于公共财政支持范围，符合中央、地方事权支出责任划分原则，该要素得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权重分；⑤项目与相关部门同类项目均无重复，该要素得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项目的申请、设立过程符合相关要求，用以反映和考核项目立项的规范情况。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①项目按照规定的程序申请设立；②审批文件、材料符合相关要求；③事前已经过必要的可行性研究、专家论证、风险评估、集体决策，</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四议</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（即村党支部会提议、村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会商议、党员大会审议、村民代表会议或村民会议决议）和</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两公开</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（即决议公开、实施结果公开）等。其中①②各占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根据淮滨县交通运输局提供资料，经评价组实地核查：①项目立项经过规定程序申请，入库手续完备；得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权重分；②项目审批文件符合河南省关于扶贫项目申报的相关要求，得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权重分；③项目立项前经过行业主管部门组织相关专家进行论证，出具有可行性研究报告，村级申报四议两公开程序规范，得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w:t>
            </w:r>
            <w:r>
              <w:rPr>
                <w:rFonts w:hint="eastAsia" w:ascii="仿宋_GB2312" w:hAnsi="Times New Roman" w:eastAsia="仿宋_GB2312" w:cs="仿宋_GB2312"/>
                <w:i w:val="0"/>
                <w:iCs w:val="0"/>
                <w:color w:val="000000"/>
                <w:kern w:val="0"/>
                <w:sz w:val="22"/>
                <w:szCs w:val="22"/>
                <w:u w:val="none"/>
                <w:lang w:val="en-US" w:eastAsia="zh-CN" w:bidi="ar"/>
              </w:rPr>
              <w:t>绩效目标（</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项目所设定的绩效目标符合实际、切实可行，用以反映和考核项目绩效目标与项目实施的相符情况。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①项目有绩效目标；②项目绩效目标与实际工作内容具有相关性；③项目预期产出和效果符合正常的水平。具备要素①，得到指标分值的</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；如不具备，该指标分值为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。具备要素②③，分别得到指标分值的</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根据淮滨县交通运输局提供资料，经评价组实地核查：①该项目设置有绩效目标，得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权重分；②该项目绩效目标与实际工作内容具有较强的相关性，得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权重分；③该项目预期产出和效果均符合正常水平，得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依据绩效目标设定的绩效指标清晰、细化、可衡量等，用以反映和考核项目绩效目标的明细化情况。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明确</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①将项目绩效目标细化分解为具体的绩效指标；②通过清晰、可衡量的指标值予以体现；③与项目目标任务数或计划数相对应。其中①占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权重分，②③各占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根据淮滨县交通运输局提供资料，经评价组实地核查：①该项目将绩效目标分解为具体的绩效指标，得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权重分；②绩效指标设置清晰、具体、可衡量，得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权重分；③该项目绩效目标设置与计划任务数不够匹配，产出成本未设置指标进行考核，该要素不得分。综上所述，依据评分标准，该项指标得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70%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w:t>
            </w:r>
            <w:r>
              <w:rPr>
                <w:rFonts w:hint="eastAsia" w:ascii="仿宋_GB2312" w:hAnsi="Times New Roman" w:eastAsia="仿宋_GB2312" w:cs="仿宋_GB2312"/>
                <w:i w:val="0"/>
                <w:iCs w:val="0"/>
                <w:color w:val="000000"/>
                <w:kern w:val="0"/>
                <w:sz w:val="22"/>
                <w:szCs w:val="22"/>
                <w:u w:val="none"/>
                <w:lang w:val="en-US" w:eastAsia="zh-CN" w:bidi="ar"/>
              </w:rPr>
              <w:t>资金安排（</w:t>
            </w: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项目预算编制经过科学论证、有明确标准，资金额度与年度目标相适应，用以反映和考核项目预算编制的科学性、合理性情况。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①项目预算内容与项目实际内容匹配；②预算额度测算依据充分。以上要素各占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根据淮滨县交通运输局提供资料，经评价组实地核查：该项目预算内容与项目实际内容均相匹配，得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权重分；②项目预算额度测算依据充分。综上所述，依据评分标准，该项指标得满分权重分。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25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w:t>
            </w:r>
            <w:r>
              <w:rPr>
                <w:rFonts w:hint="eastAsia" w:ascii="仿宋_GB2312" w:hAnsi="Times New Roman" w:eastAsia="仿宋_GB2312" w:cs="仿宋_GB2312"/>
                <w:i w:val="0"/>
                <w:iCs w:val="0"/>
                <w:color w:val="000000"/>
                <w:kern w:val="0"/>
                <w:sz w:val="22"/>
                <w:szCs w:val="22"/>
                <w:u w:val="none"/>
                <w:lang w:val="en-US" w:eastAsia="zh-CN" w:bidi="ar"/>
              </w:rPr>
              <w:t>资金管理（</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实际到位资金与预算资金的比率，用以反映和考核专项资金的到位情况。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资金到位率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财政批复资金）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实际到位资金：一定时期（本年度或项目期）内落实到具体项目的资金。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，且未对项目开展造成不良影响，得分等于指标分值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资金到位率；资金到位率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，且对项目开展造成不良影响，得分等于</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年扶贫通村通组道路配套桥涵建设项目预算资金</w:t>
            </w:r>
            <w:r>
              <w:rPr>
                <w:rFonts w:hint="default" w:ascii="Times New Roman" w:hAnsi="Times New Roman" w:eastAsia="仿宋_GB2312" w:cs="Times New Roman"/>
                <w:i w:val="0"/>
                <w:iCs w:val="0"/>
                <w:color w:val="000000"/>
                <w:kern w:val="0"/>
                <w:sz w:val="22"/>
                <w:szCs w:val="22"/>
                <w:u w:val="none"/>
                <w:lang w:val="en-US" w:eastAsia="zh-CN" w:bidi="ar"/>
              </w:rPr>
              <w:t>3198.98</w:t>
            </w:r>
            <w:r>
              <w:rPr>
                <w:rFonts w:hint="eastAsia" w:ascii="仿宋_GB2312" w:hAnsi="宋体" w:eastAsia="仿宋_GB2312" w:cs="仿宋_GB2312"/>
                <w:i w:val="0"/>
                <w:iCs w:val="0"/>
                <w:color w:val="000000"/>
                <w:kern w:val="0"/>
                <w:sz w:val="22"/>
                <w:szCs w:val="22"/>
                <w:u w:val="none"/>
                <w:lang w:val="en-US" w:eastAsia="zh-CN" w:bidi="ar"/>
              </w:rPr>
              <w:t>万元，实际到位资金</w:t>
            </w:r>
            <w:r>
              <w:rPr>
                <w:rFonts w:hint="default" w:ascii="Times New Roman" w:hAnsi="Times New Roman" w:eastAsia="仿宋_GB2312" w:cs="Times New Roman"/>
                <w:i w:val="0"/>
                <w:iCs w:val="0"/>
                <w:color w:val="000000"/>
                <w:kern w:val="0"/>
                <w:sz w:val="22"/>
                <w:szCs w:val="22"/>
                <w:u w:val="none"/>
                <w:lang w:val="en-US" w:eastAsia="zh-CN" w:bidi="ar"/>
              </w:rPr>
              <w:t>3198.98</w:t>
            </w:r>
            <w:r>
              <w:rPr>
                <w:rFonts w:hint="eastAsia" w:ascii="仿宋_GB2312" w:hAnsi="宋体" w:eastAsia="仿宋_GB2312" w:cs="仿宋_GB2312"/>
                <w:i w:val="0"/>
                <w:iCs w:val="0"/>
                <w:color w:val="000000"/>
                <w:kern w:val="0"/>
                <w:sz w:val="22"/>
                <w:szCs w:val="22"/>
                <w:u w:val="none"/>
                <w:lang w:val="en-US" w:eastAsia="zh-CN" w:bidi="ar"/>
              </w:rPr>
              <w:t>万元，资金到位率为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预算执行率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项目预算资金按照计划执行，用以反映或考核项目预算执行情况。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预算执行率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（实际支出资金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。①实际支出资金：一定时期（本年度或项目期）内项目实际拨付的资金；②实际到位资金：一定时期（本年度或项目期）内实际落实到具体项目的资金。得分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预算执行率。</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年扶贫通村通组道路配套桥涵建设项目实际到位资金</w:t>
            </w:r>
            <w:r>
              <w:rPr>
                <w:rFonts w:hint="default" w:ascii="Times New Roman" w:hAnsi="Times New Roman" w:eastAsia="仿宋_GB2312" w:cs="Times New Roman"/>
                <w:i w:val="0"/>
                <w:iCs w:val="0"/>
                <w:color w:val="000000"/>
                <w:kern w:val="0"/>
                <w:sz w:val="22"/>
                <w:szCs w:val="22"/>
                <w:u w:val="none"/>
                <w:lang w:val="en-US" w:eastAsia="zh-CN" w:bidi="ar"/>
              </w:rPr>
              <w:t>3198.98</w:t>
            </w:r>
            <w:r>
              <w:rPr>
                <w:rFonts w:hint="eastAsia" w:ascii="仿宋_GB2312" w:hAnsi="宋体" w:eastAsia="仿宋_GB2312" w:cs="仿宋_GB2312"/>
                <w:i w:val="0"/>
                <w:iCs w:val="0"/>
                <w:color w:val="000000"/>
                <w:kern w:val="0"/>
                <w:sz w:val="22"/>
                <w:szCs w:val="22"/>
                <w:u w:val="none"/>
                <w:lang w:val="en-US" w:eastAsia="zh-CN" w:bidi="ar"/>
              </w:rPr>
              <w:t>万元，截至</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31</w:t>
            </w:r>
            <w:r>
              <w:rPr>
                <w:rFonts w:hint="eastAsia" w:ascii="仿宋_GB2312" w:hAnsi="宋体" w:eastAsia="仿宋_GB2312" w:cs="仿宋_GB2312"/>
                <w:i w:val="0"/>
                <w:iCs w:val="0"/>
                <w:color w:val="000000"/>
                <w:kern w:val="0"/>
                <w:sz w:val="22"/>
                <w:szCs w:val="22"/>
                <w:u w:val="none"/>
                <w:lang w:val="en-US" w:eastAsia="zh-CN" w:bidi="ar"/>
              </w:rPr>
              <w:t>日，实际支出资金</w:t>
            </w:r>
            <w:r>
              <w:rPr>
                <w:rFonts w:hint="default" w:ascii="Times New Roman" w:hAnsi="Times New Roman" w:eastAsia="仿宋_GB2312" w:cs="Times New Roman"/>
                <w:i w:val="0"/>
                <w:iCs w:val="0"/>
                <w:color w:val="000000"/>
                <w:kern w:val="0"/>
                <w:sz w:val="22"/>
                <w:szCs w:val="22"/>
                <w:u w:val="none"/>
                <w:lang w:val="en-US" w:eastAsia="zh-CN" w:bidi="ar"/>
              </w:rPr>
              <w:t>3198.98</w:t>
            </w:r>
            <w:r>
              <w:rPr>
                <w:rFonts w:hint="eastAsia" w:ascii="仿宋_GB2312" w:hAnsi="宋体" w:eastAsia="仿宋_GB2312" w:cs="仿宋_GB2312"/>
                <w:i w:val="0"/>
                <w:iCs w:val="0"/>
                <w:color w:val="000000"/>
                <w:kern w:val="0"/>
                <w:sz w:val="22"/>
                <w:szCs w:val="22"/>
                <w:u w:val="none"/>
                <w:lang w:val="en-US" w:eastAsia="zh-CN" w:bidi="ar"/>
              </w:rPr>
              <w:t>万元，预算执行率为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项目财务制度健全，用以反映和考核财务管理制度对资金规范、安全运行的保障情况。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健全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①已制定或具有相应的项目资金管理办法；②项目资金管理办法符合相关财务会计制度的规定。以上要素各占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根据淮滨县交通运输局提供资料，经评价组实地核查：①淮滨县有相应的财政扶贫资金管理办法，对预算安排与项目分配，资金支出与下达范围等方面进行了明确规定，得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权重分；②项目资金管理办法符合相关会计制度的规定与要求，得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项目资金使用符合相关的财务管理制度规定，用以反映和考核项目资金的规范运行情况。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合规</w:t>
            </w:r>
          </w:p>
        </w:tc>
        <w:tc>
          <w:tcPr>
            <w:tcW w:w="98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①符合国家财经法规和财务管理制度以及有关专项资金管理办法的规定；</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②资金的拨付有完整的审批程序和手续；</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③项目开支符合政府采购管理要求；</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④符合项目预算批复或合同规定的用途；</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⑤不存在截留、挤占、挪用、虚列支出等情况。</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具备一个得分要素，得到指标分值的</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。但如缺少要素④或⑤指标得分为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年扶贫通村通组道路配套桥涵建设项目资金支出符合国家财经法规和财务管理制度，得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权重分；②项目资金拨付有完善的审批程序，报账资料齐全，得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权重分；③项目开支符合政府采购要求，得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权重分；④项目支出符合项目预算批复用途及合同规定用途，得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权重分；⑤不存在截留、挤占、挪用，得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项目实施单位为保障资金的安全、规范运行而采取了必要的监控措施，用以反映和考核项目实施单位对资金运行的控制情况。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①制定或具有相应的扶贫资金财政监督检查和审计制度建设；②组织开展财政监督检查和审计，出具检查和审计成果；③对于检查发现的问题整改到位；以上要素各占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根据淮滨县交通运输局提供资料，经评价组实地核查：①截止评价结束，有相应的扶贫资金财政监督检查和审计制度建设，故该指标得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权重分；②出具有审计报告，得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权重分；③对于检查发现的问题整改到位，故指标</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13</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考察与项目库直接相关的管理规范，用以项目管理的规范情况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建立项目库；②项目库管理制度健全，项目动态调整、滚动管理机制；③具备入库项目经过充分论证、择优遴选、突出支持重点；④核查入库项目内容完整，描述准确。应包括项目名称、项目类型、建设性质、实施地点、时间进度、责任单位、建设任务、资金规模和筹资方式、受益对象、绩效目标、群众参与和带贫减贫机制等；⑤入库项目范围合理，两不愁三保障无关的项目原则上不允许纳入脱贫攻坚项目库（如县乡道路，大中型水利工程，大中型污水处理设施等）。以上要素各占</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权重分，符合得分；实施项目中发现一例非入库项目，扣除</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根据淮滨县交通运输局提供资料，经评价组实地核查：①淮滨县建立有</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年脱贫攻坚项目库，得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权重分；②淮滨县建立有项目库管理制度，包含有动态调整、滚动管理机制，得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权重分；③项目入库均经过充分论证，得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权重分；④入库项目内容完整，描述准确，包括项目名称、项目类型、建设性质、实施地点等内容，得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权重分；⑤入库项目范围合理，无超出范围、无负面清单项目，得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考察项目采购流程合规，合同签订内容、签订流程等相关内容规范、合理。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采购活动按照政府采购相关限额标准采用合适采购方式；②合同内容全面，对实施期限、实施内容、双方职责等内容进行了明确规定；③合同签订过程中审批程序、签订形式规范，及时完成合同的签订，严格依据合同条例执行合同管理。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年扶贫通村通组道路配套桥涵建设项目政府采购均按照相关限额标准采用合适采购方式，得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权重分；②合同内容全面，对实施期限、实施内容、双方职责等方面进行了明确规定，得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权重分；③合同签订过程中审批程序、签订形式规范，及时完成合同的签订，严格依据合同条例执行合同管理，得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评价组织实施符合相关业务管理规定，用以反映和考核业务管理制度的有效执行情况。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遵守相关法律法规和相关管理规定；②项目调整及支出调整手续完备；③项目建设实施方案、项目合同书、施工日志、监理报告、验收报告、技术鉴定、报账材料、监督检查审计报告、台账等资料齐全并及时归档；④项目实施的人员条件、场地设备、信息支撑等落实到位。以上要素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根据淮滨县交通运输局提供资料，经评价组实地核查：①淮滨县交通运输局对项目管理遵守相关法律法规及管理规定，得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权重分；②项目调整及支出调整手续完备，得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权重分；③项目建设实施方案、项目合同书、监理报告、验收报告、报账材料、监督检查报告、扶贫资产台账、资产移交手续等资料齐全，得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权重分；④项目实施的人员条件、场地设备、信息支撑等落实到位。综上所述，该该项指标得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考察项目利益联结机制合理可行与执行效果，用以反映和考核利益联结机制的有效性。</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①项目实施方案中包含有利益联结机制相关内容；②项目利益联结机制包含利益联结主体、联结模式，描述清晰、完整、可行性较高。以上各要素各占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权重分，①若不符合，该项指标不得分，②中缺任一要素扣</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根据淮滨县交通运输局提供资料，经评价组实地核查：①项目实施方案中没有利益联结机制相关内容，故要素均不得分。综上所述，该指标得</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考察淮滨县扶贫资金信息公开和公告公示制度建设与执行情况。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①县级信息公开和公告公示制度建设和执行；其中出台了公告公示相关制度占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权重分，公告公示内容完整（</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央、省、市、县级财政专项扶贫资金分配结果、精准扶贫贷款安排使用情况、行业扶贫相关财政资金使用情况、脱贫攻坚规划、县级脱贫攻坚项目库、年度扶贫资金项目计划安排情况、年度扶贫资金项目计划完成情况、项目实施情况、受理方式和举报办理结果</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中需公告公示内容</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②乡村信息公开和公告公示制度建设规范：用固定公告公示专栏（公告公示牌）进行公告公示且无明显新粘贴且无法提供以前公告公示相关证明材料的占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公示公告内容完整占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权重分（要有县里扶贫资金项目公告公示制度（或实施细则）、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年扶贫资金项目安排计划、</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年扶贫资金项目计划完成情况、</w:t>
            </w:r>
            <w:r>
              <w:rPr>
                <w:rFonts w:hint="default" w:ascii="Times New Roman" w:hAnsi="Times New Roman" w:eastAsia="仿宋_GB2312" w:cs="Times New Roman"/>
                <w:i w:val="0"/>
                <w:iCs w:val="0"/>
                <w:color w:val="000000"/>
                <w:kern w:val="0"/>
                <w:sz w:val="22"/>
                <w:szCs w:val="22"/>
                <w:u w:val="none"/>
                <w:lang w:val="en-US" w:eastAsia="zh-CN" w:bidi="ar"/>
              </w:rPr>
              <w:t>2019-2020</w:t>
            </w:r>
            <w:r>
              <w:rPr>
                <w:rFonts w:hint="eastAsia" w:ascii="仿宋_GB2312" w:hAnsi="宋体" w:eastAsia="仿宋_GB2312" w:cs="仿宋_GB2312"/>
                <w:i w:val="0"/>
                <w:iCs w:val="0"/>
                <w:color w:val="000000"/>
                <w:kern w:val="0"/>
                <w:sz w:val="22"/>
                <w:szCs w:val="22"/>
                <w:u w:val="none"/>
                <w:lang w:val="en-US" w:eastAsia="zh-CN" w:bidi="ar"/>
              </w:rPr>
              <w:t>年脱贫攻坚项目库</w:t>
            </w:r>
            <w:r>
              <w:rPr>
                <w:rFonts w:hint="default" w:ascii="Times New Roman" w:hAnsi="Times New Roman" w:eastAsia="仿宋_GB2312" w:cs="Times New Roman"/>
                <w:i w:val="0"/>
                <w:iCs w:val="0"/>
                <w:color w:val="000000"/>
                <w:kern w:val="0"/>
                <w:sz w:val="22"/>
                <w:szCs w:val="22"/>
                <w:u w:val="none"/>
                <w:lang w:val="en-US" w:eastAsia="zh-CN" w:bidi="ar"/>
              </w:rPr>
              <w:t>4</w:t>
            </w:r>
            <w:r>
              <w:rPr>
                <w:rFonts w:hint="eastAsia" w:ascii="仿宋_GB2312" w:hAnsi="宋体" w:eastAsia="仿宋_GB2312" w:cs="仿宋_GB2312"/>
                <w:i w:val="0"/>
                <w:iCs w:val="0"/>
                <w:color w:val="000000"/>
                <w:kern w:val="0"/>
                <w:sz w:val="22"/>
                <w:szCs w:val="22"/>
                <w:u w:val="none"/>
                <w:lang w:val="en-US" w:eastAsia="zh-CN" w:bidi="ar"/>
              </w:rPr>
              <w:t>项）。以上各要素符合得分，不符合相应扣分。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根据淮滨县交通运输局提供资料，经评价组实地核查：①《关于完善扶贫资金项目公告公示制度的指导意见》的通知》对项目公告公示作了明确要求，得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权重分；项目公告公示均留有影像资料，公告公示内容完整，得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权重分；②乡村信息公开和公告公示制度建设规范：用固定公告公示专栏（公告公示牌）进行公告公示且无明显新粘贴且无法提供以前公告公示相关证明材料，该要素得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权重分；公示内容不够完整，该要素不得分。综上，本项指标得</w:t>
            </w:r>
            <w:r>
              <w:rPr>
                <w:rFonts w:hint="default" w:ascii="Times New Roman" w:hAnsi="Times New Roman" w:eastAsia="仿宋_GB2312" w:cs="Times New Roman"/>
                <w:i w:val="0"/>
                <w:iCs w:val="0"/>
                <w:color w:val="000000"/>
                <w:kern w:val="0"/>
                <w:sz w:val="22"/>
                <w:szCs w:val="22"/>
                <w:u w:val="none"/>
                <w:lang w:val="en-US" w:eastAsia="zh-CN" w:bidi="ar"/>
              </w:rPr>
              <w:t>75%</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shd w:val="clear" w:color="auto" w:fill="auto"/>
          <w:tblCellMar>
            <w:top w:w="0" w:type="dxa"/>
            <w:left w:w="108" w:type="dxa"/>
            <w:bottom w:w="0" w:type="dxa"/>
            <w:right w:w="108" w:type="dxa"/>
          </w:tblCellMar>
        </w:tblPrEx>
        <w:trPr>
          <w:trHeight w:val="23" w:hRule="atLeast"/>
        </w:trPr>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w:t>
            </w:r>
            <w:r>
              <w:rPr>
                <w:rFonts w:hint="eastAsia" w:ascii="仿宋_GB2312" w:hAnsi="Times New Roman" w:eastAsia="仿宋_GB2312" w:cs="仿宋_GB2312"/>
                <w:i w:val="0"/>
                <w:iCs w:val="0"/>
                <w:color w:val="000000"/>
                <w:kern w:val="0"/>
                <w:sz w:val="22"/>
                <w:szCs w:val="22"/>
                <w:u w:val="none"/>
                <w:lang w:val="en-US" w:eastAsia="zh-CN" w:bidi="ar"/>
              </w:rPr>
              <w:t>产出（</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w:t>
            </w:r>
            <w:r>
              <w:rPr>
                <w:rFonts w:hint="eastAsia" w:ascii="仿宋_GB2312" w:hAnsi="Times New Roman" w:eastAsia="仿宋_GB2312" w:cs="仿宋_GB2312"/>
                <w:i w:val="0"/>
                <w:iCs w:val="0"/>
                <w:color w:val="000000"/>
                <w:kern w:val="0"/>
                <w:sz w:val="22"/>
                <w:szCs w:val="22"/>
                <w:u w:val="none"/>
                <w:lang w:val="en-US" w:eastAsia="zh-CN" w:bidi="ar"/>
              </w:rPr>
              <w:t>产出数量（</w:t>
            </w:r>
            <w:r>
              <w:rPr>
                <w:rFonts w:hint="default" w:ascii="Times New Roman" w:hAnsi="Times New Roman" w:eastAsia="宋体" w:cs="Times New Roman"/>
                <w:i w:val="0"/>
                <w:iCs w:val="0"/>
                <w:color w:val="000000"/>
                <w:kern w:val="0"/>
                <w:sz w:val="22"/>
                <w:szCs w:val="22"/>
                <w:u w:val="none"/>
                <w:lang w:val="en-US" w:eastAsia="zh-CN" w:bidi="ar"/>
              </w:rPr>
              <w:t>16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贫困村公路危桥处置数量</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年扶贫通村通组道路配套桥涵建设项目贫困村公路危桥处置数量完成情况。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w:t>
            </w:r>
            <w:r>
              <w:rPr>
                <w:rFonts w:hint="eastAsia" w:ascii="仿宋_GB2312" w:hAnsi="Times New Roman" w:eastAsia="仿宋_GB2312" w:cs="仿宋_GB2312"/>
                <w:i w:val="0"/>
                <w:iCs w:val="0"/>
                <w:color w:val="000000"/>
                <w:kern w:val="0"/>
                <w:sz w:val="22"/>
                <w:szCs w:val="22"/>
                <w:u w:val="none"/>
                <w:lang w:val="en-US" w:eastAsia="zh-CN" w:bidi="ar"/>
              </w:rPr>
              <w:t>座</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贫困村公路危桥处置完成率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（实际贫困村公路危桥处置数量</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计划贫困村公路危桥处置数量）</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，通村通组道路配套桥涵建设项目完成率达到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年淮滨县贫困村公路危桥计划处置数量</w:t>
            </w:r>
            <w:r>
              <w:rPr>
                <w:rFonts w:hint="default" w:ascii="Times New Roman" w:hAnsi="Times New Roman" w:eastAsia="仿宋_GB2312" w:cs="Times New Roman"/>
                <w:i w:val="0"/>
                <w:iCs w:val="0"/>
                <w:color w:val="000000"/>
                <w:kern w:val="0"/>
                <w:sz w:val="22"/>
                <w:szCs w:val="22"/>
                <w:u w:val="none"/>
                <w:lang w:val="en-US" w:eastAsia="zh-CN" w:bidi="ar"/>
              </w:rPr>
              <w:t>99</w:t>
            </w:r>
            <w:r>
              <w:rPr>
                <w:rFonts w:hint="eastAsia" w:ascii="仿宋_GB2312" w:hAnsi="宋体" w:eastAsia="仿宋_GB2312" w:cs="仿宋_GB2312"/>
                <w:i w:val="0"/>
                <w:iCs w:val="0"/>
                <w:color w:val="000000"/>
                <w:kern w:val="0"/>
                <w:sz w:val="22"/>
                <w:szCs w:val="22"/>
                <w:u w:val="none"/>
                <w:lang w:val="en-US" w:eastAsia="zh-CN" w:bidi="ar"/>
              </w:rPr>
              <w:t>座，实际建设完成</w:t>
            </w:r>
            <w:r>
              <w:rPr>
                <w:rFonts w:hint="default" w:ascii="Times New Roman" w:hAnsi="Times New Roman" w:eastAsia="仿宋_GB2312" w:cs="Times New Roman"/>
                <w:i w:val="0"/>
                <w:iCs w:val="0"/>
                <w:color w:val="000000"/>
                <w:kern w:val="0"/>
                <w:sz w:val="22"/>
                <w:szCs w:val="22"/>
                <w:u w:val="none"/>
                <w:lang w:val="en-US" w:eastAsia="zh-CN" w:bidi="ar"/>
              </w:rPr>
              <w:t>99</w:t>
            </w:r>
            <w:r>
              <w:rPr>
                <w:rFonts w:hint="eastAsia" w:ascii="仿宋_GB2312" w:hAnsi="宋体" w:eastAsia="仿宋_GB2312" w:cs="仿宋_GB2312"/>
                <w:i w:val="0"/>
                <w:iCs w:val="0"/>
                <w:color w:val="000000"/>
                <w:kern w:val="0"/>
                <w:sz w:val="22"/>
                <w:szCs w:val="22"/>
                <w:u w:val="none"/>
                <w:lang w:val="en-US" w:eastAsia="zh-CN" w:bidi="ar"/>
              </w:rPr>
              <w:t>座，完成率为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完成配套桥梁建设长度</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年扶贫通村通组道路配套桥涵建设项目配套桥梁建设长度完成情况。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867</w:t>
            </w:r>
            <w:r>
              <w:rPr>
                <w:rFonts w:hint="eastAsia" w:ascii="仿宋_GB2312" w:hAnsi="Times New Roman" w:eastAsia="仿宋_GB2312" w:cs="仿宋_GB2312"/>
                <w:i w:val="0"/>
                <w:iCs w:val="0"/>
                <w:color w:val="000000"/>
                <w:kern w:val="0"/>
                <w:sz w:val="22"/>
                <w:szCs w:val="22"/>
                <w:u w:val="none"/>
                <w:lang w:val="en-US" w:eastAsia="zh-CN" w:bidi="ar"/>
              </w:rPr>
              <w:t>延米</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配套桥梁建设完成率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（实际配套桥梁建设长度</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计划配套桥梁建设长度）</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，通村通组道路配套桥涵建设项目完成率达到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年淮滨县配套桥梁计划建设长度</w:t>
            </w:r>
            <w:r>
              <w:rPr>
                <w:rFonts w:hint="default" w:ascii="Times New Roman" w:hAnsi="Times New Roman" w:eastAsia="仿宋_GB2312" w:cs="Times New Roman"/>
                <w:i w:val="0"/>
                <w:iCs w:val="0"/>
                <w:color w:val="000000"/>
                <w:kern w:val="0"/>
                <w:sz w:val="22"/>
                <w:szCs w:val="22"/>
                <w:u w:val="none"/>
                <w:lang w:val="en-US" w:eastAsia="zh-CN" w:bidi="ar"/>
              </w:rPr>
              <w:t>867</w:t>
            </w:r>
            <w:r>
              <w:rPr>
                <w:rFonts w:hint="eastAsia" w:ascii="仿宋_GB2312" w:hAnsi="宋体" w:eastAsia="仿宋_GB2312" w:cs="仿宋_GB2312"/>
                <w:i w:val="0"/>
                <w:iCs w:val="0"/>
                <w:color w:val="000000"/>
                <w:kern w:val="0"/>
                <w:sz w:val="22"/>
                <w:szCs w:val="22"/>
                <w:u w:val="none"/>
                <w:lang w:val="en-US" w:eastAsia="zh-CN" w:bidi="ar"/>
              </w:rPr>
              <w:t>延米，实际建设完成</w:t>
            </w:r>
            <w:r>
              <w:rPr>
                <w:rFonts w:hint="default" w:ascii="Times New Roman" w:hAnsi="Times New Roman" w:eastAsia="仿宋_GB2312" w:cs="Times New Roman"/>
                <w:i w:val="0"/>
                <w:iCs w:val="0"/>
                <w:color w:val="000000"/>
                <w:kern w:val="0"/>
                <w:sz w:val="22"/>
                <w:szCs w:val="22"/>
                <w:u w:val="none"/>
                <w:lang w:val="en-US" w:eastAsia="zh-CN" w:bidi="ar"/>
              </w:rPr>
              <w:t>867</w:t>
            </w:r>
            <w:r>
              <w:rPr>
                <w:rFonts w:hint="eastAsia" w:ascii="仿宋_GB2312" w:hAnsi="宋体" w:eastAsia="仿宋_GB2312" w:cs="仿宋_GB2312"/>
                <w:i w:val="0"/>
                <w:iCs w:val="0"/>
                <w:color w:val="000000"/>
                <w:kern w:val="0"/>
                <w:sz w:val="22"/>
                <w:szCs w:val="22"/>
                <w:u w:val="none"/>
                <w:lang w:val="en-US" w:eastAsia="zh-CN" w:bidi="ar"/>
              </w:rPr>
              <w:t>延米，完成率为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完成板涵建设数量</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年扶贫通村通组道路配套桥涵建设项目板涵建设数量完成情况。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w:t>
            </w:r>
            <w:r>
              <w:rPr>
                <w:rFonts w:hint="eastAsia" w:ascii="仿宋_GB2312" w:hAnsi="Times New Roman" w:eastAsia="仿宋_GB2312" w:cs="仿宋_GB2312"/>
                <w:i w:val="0"/>
                <w:iCs w:val="0"/>
                <w:color w:val="000000"/>
                <w:kern w:val="0"/>
                <w:sz w:val="22"/>
                <w:szCs w:val="22"/>
                <w:u w:val="none"/>
                <w:lang w:val="en-US" w:eastAsia="zh-CN" w:bidi="ar"/>
              </w:rPr>
              <w:t>座</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板涵建设完成率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（实际板涵建设数量</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计划板涵建设数量）</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，通村通组道路配套桥涵建设项目完成率达到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年淮滨县板涵建设数量为</w:t>
            </w:r>
            <w:r>
              <w:rPr>
                <w:rFonts w:hint="default" w:ascii="Times New Roman" w:hAnsi="Times New Roman" w:eastAsia="仿宋_GB2312" w:cs="Times New Roman"/>
                <w:i w:val="0"/>
                <w:iCs w:val="0"/>
                <w:color w:val="000000"/>
                <w:kern w:val="0"/>
                <w:sz w:val="22"/>
                <w:szCs w:val="22"/>
                <w:u w:val="none"/>
                <w:lang w:val="en-US" w:eastAsia="zh-CN" w:bidi="ar"/>
              </w:rPr>
              <w:t>43</w:t>
            </w:r>
            <w:r>
              <w:rPr>
                <w:rFonts w:hint="eastAsia" w:ascii="仿宋_GB2312" w:hAnsi="宋体" w:eastAsia="仿宋_GB2312" w:cs="仿宋_GB2312"/>
                <w:i w:val="0"/>
                <w:iCs w:val="0"/>
                <w:color w:val="000000"/>
                <w:kern w:val="0"/>
                <w:sz w:val="22"/>
                <w:szCs w:val="22"/>
                <w:u w:val="none"/>
                <w:lang w:val="en-US" w:eastAsia="zh-CN" w:bidi="ar"/>
              </w:rPr>
              <w:t>座，实际建设完成</w:t>
            </w:r>
            <w:r>
              <w:rPr>
                <w:rFonts w:hint="default" w:ascii="Times New Roman" w:hAnsi="Times New Roman" w:eastAsia="仿宋_GB2312" w:cs="Times New Roman"/>
                <w:i w:val="0"/>
                <w:iCs w:val="0"/>
                <w:color w:val="000000"/>
                <w:kern w:val="0"/>
                <w:sz w:val="22"/>
                <w:szCs w:val="22"/>
                <w:u w:val="none"/>
                <w:lang w:val="en-US" w:eastAsia="zh-CN" w:bidi="ar"/>
              </w:rPr>
              <w:t>43</w:t>
            </w:r>
            <w:r>
              <w:rPr>
                <w:rFonts w:hint="eastAsia" w:ascii="仿宋_GB2312" w:hAnsi="宋体" w:eastAsia="仿宋_GB2312" w:cs="仿宋_GB2312"/>
                <w:i w:val="0"/>
                <w:iCs w:val="0"/>
                <w:color w:val="000000"/>
                <w:kern w:val="0"/>
                <w:sz w:val="22"/>
                <w:szCs w:val="22"/>
                <w:u w:val="none"/>
                <w:lang w:val="en-US" w:eastAsia="zh-CN" w:bidi="ar"/>
              </w:rPr>
              <w:t>座，完成率为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C104</w:t>
            </w:r>
            <w:r>
              <w:rPr>
                <w:rFonts w:hint="eastAsia" w:ascii="仿宋_GB2312" w:hAnsi="Times New Roman" w:eastAsia="仿宋_GB2312" w:cs="仿宋_GB2312"/>
                <w:i w:val="0"/>
                <w:iCs w:val="0"/>
                <w:color w:val="000000"/>
                <w:kern w:val="0"/>
                <w:sz w:val="22"/>
                <w:szCs w:val="22"/>
                <w:u w:val="none"/>
                <w:lang w:val="en-US" w:eastAsia="zh-CN" w:bidi="ar"/>
              </w:rPr>
              <w:t>完成管涵建设长度</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年扶贫通村通组道路配套桥涵建设项目管涵建设长度完成情况。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w:t>
            </w:r>
            <w:r>
              <w:rPr>
                <w:rFonts w:hint="eastAsia" w:ascii="仿宋_GB2312" w:hAnsi="Times New Roman" w:eastAsia="仿宋_GB2312" w:cs="仿宋_GB2312"/>
                <w:i w:val="0"/>
                <w:iCs w:val="0"/>
                <w:color w:val="000000"/>
                <w:kern w:val="0"/>
                <w:sz w:val="22"/>
                <w:szCs w:val="22"/>
                <w:u w:val="none"/>
                <w:lang w:val="en-US" w:eastAsia="zh-CN" w:bidi="ar"/>
              </w:rPr>
              <w:t>延米</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管涵建设完成率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（实际管涵建设长度</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计划管涵建设长度）</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，通村通组道路配套桥涵建设项目完成率达到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年淮滨县管涵计划建设长度</w:t>
            </w:r>
            <w:r>
              <w:rPr>
                <w:rFonts w:hint="default" w:ascii="Times New Roman" w:hAnsi="Times New Roman" w:eastAsia="仿宋_GB2312" w:cs="Times New Roman"/>
                <w:i w:val="0"/>
                <w:iCs w:val="0"/>
                <w:color w:val="000000"/>
                <w:kern w:val="0"/>
                <w:sz w:val="22"/>
                <w:szCs w:val="22"/>
                <w:u w:val="none"/>
                <w:lang w:val="en-US" w:eastAsia="zh-CN" w:bidi="ar"/>
              </w:rPr>
              <w:t>136</w:t>
            </w:r>
            <w:r>
              <w:rPr>
                <w:rFonts w:hint="eastAsia" w:ascii="仿宋_GB2312" w:hAnsi="宋体" w:eastAsia="仿宋_GB2312" w:cs="仿宋_GB2312"/>
                <w:i w:val="0"/>
                <w:iCs w:val="0"/>
                <w:color w:val="000000"/>
                <w:kern w:val="0"/>
                <w:sz w:val="22"/>
                <w:szCs w:val="22"/>
                <w:u w:val="none"/>
                <w:lang w:val="en-US" w:eastAsia="zh-CN" w:bidi="ar"/>
              </w:rPr>
              <w:t>延米，实际建设完成</w:t>
            </w:r>
            <w:r>
              <w:rPr>
                <w:rFonts w:hint="default" w:ascii="Times New Roman" w:hAnsi="Times New Roman" w:eastAsia="仿宋_GB2312" w:cs="Times New Roman"/>
                <w:i w:val="0"/>
                <w:iCs w:val="0"/>
                <w:color w:val="000000"/>
                <w:kern w:val="0"/>
                <w:sz w:val="22"/>
                <w:szCs w:val="22"/>
                <w:u w:val="none"/>
                <w:lang w:val="en-US" w:eastAsia="zh-CN" w:bidi="ar"/>
              </w:rPr>
              <w:t>136</w:t>
            </w:r>
            <w:r>
              <w:rPr>
                <w:rFonts w:hint="eastAsia" w:ascii="仿宋_GB2312" w:hAnsi="宋体" w:eastAsia="仿宋_GB2312" w:cs="仿宋_GB2312"/>
                <w:i w:val="0"/>
                <w:iCs w:val="0"/>
                <w:color w:val="000000"/>
                <w:kern w:val="0"/>
                <w:sz w:val="22"/>
                <w:szCs w:val="22"/>
                <w:u w:val="none"/>
                <w:lang w:val="en-US" w:eastAsia="zh-CN" w:bidi="ar"/>
              </w:rPr>
              <w:t>延米，完成率为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w:t>
            </w:r>
            <w:r>
              <w:rPr>
                <w:rFonts w:hint="eastAsia" w:ascii="仿宋_GB2312" w:hAnsi="Times New Roman" w:eastAsia="仿宋_GB2312" w:cs="仿宋_GB2312"/>
                <w:i w:val="0"/>
                <w:iCs w:val="0"/>
                <w:color w:val="000000"/>
                <w:kern w:val="0"/>
                <w:sz w:val="22"/>
                <w:szCs w:val="22"/>
                <w:u w:val="none"/>
                <w:lang w:val="en-US" w:eastAsia="zh-CN" w:bidi="ar"/>
              </w:rPr>
              <w:t>产出质量（</w:t>
            </w:r>
            <w:r>
              <w:rPr>
                <w:rFonts w:hint="default" w:ascii="Times New Roman" w:hAnsi="Times New Roman" w:eastAsia="宋体" w:cs="Times New Roman"/>
                <w:i w:val="0"/>
                <w:iCs w:val="0"/>
                <w:color w:val="000000"/>
                <w:kern w:val="0"/>
                <w:sz w:val="22"/>
                <w:szCs w:val="22"/>
                <w:u w:val="none"/>
                <w:lang w:val="en-US" w:eastAsia="zh-CN" w:bidi="ar"/>
              </w:rPr>
              <w:t>4</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年扶贫通村通组道路配套桥涵建设项目验收合格情况。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w:t>
            </w:r>
            <w:r>
              <w:rPr>
                <w:rFonts w:hint="eastAsia" w:ascii="仿宋_GB2312" w:hAnsi="Times New Roman" w:eastAsia="仿宋_GB2312" w:cs="仿宋_GB2312"/>
                <w:i w:val="0"/>
                <w:iCs w:val="0"/>
                <w:color w:val="000000"/>
                <w:kern w:val="0"/>
                <w:sz w:val="22"/>
                <w:szCs w:val="22"/>
                <w:u w:val="none"/>
                <w:lang w:val="en-US" w:eastAsia="zh-CN" w:bidi="ar"/>
              </w:rPr>
              <w:t>产出时效（</w:t>
            </w:r>
            <w:r>
              <w:rPr>
                <w:rFonts w:hint="default" w:ascii="Times New Roman" w:hAnsi="Times New Roman" w:eastAsia="宋体" w:cs="Times New Roman"/>
                <w:i w:val="0"/>
                <w:iCs w:val="0"/>
                <w:color w:val="000000"/>
                <w:kern w:val="0"/>
                <w:sz w:val="22"/>
                <w:szCs w:val="22"/>
                <w:u w:val="none"/>
                <w:lang w:val="en-US" w:eastAsia="zh-CN" w:bidi="ar"/>
              </w:rPr>
              <w:t>4</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年扶贫通村通组道路配套桥涵建设项目完工时间与计划完工时间的比较，用以反映和考核项目完工及时程度。</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项目实际完工时间与计划完工时间对比，符合完工时间得满分，否则不得分。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根据项目单位提供的项目合同、工程复验表和基础数据表等相关材料；项目工期为</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-9</w:t>
            </w:r>
            <w:r>
              <w:rPr>
                <w:rFonts w:hint="eastAsia" w:ascii="仿宋_GB2312" w:hAnsi="宋体" w:eastAsia="仿宋_GB2312" w:cs="仿宋_GB2312"/>
                <w:i w:val="0"/>
                <w:iCs w:val="0"/>
                <w:color w:val="000000"/>
                <w:kern w:val="0"/>
                <w:sz w:val="22"/>
                <w:szCs w:val="22"/>
                <w:u w:val="none"/>
                <w:lang w:val="en-US" w:eastAsia="zh-CN" w:bidi="ar"/>
              </w:rPr>
              <w:t>月，项目已按计划进度完成施工任务，完工及时率</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。综上所述，该项指标得满分。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w:t>
            </w:r>
            <w:r>
              <w:rPr>
                <w:rFonts w:hint="eastAsia" w:ascii="仿宋_GB2312" w:hAnsi="Times New Roman" w:eastAsia="仿宋_GB2312" w:cs="仿宋_GB2312"/>
                <w:i w:val="0"/>
                <w:iCs w:val="0"/>
                <w:color w:val="000000"/>
                <w:kern w:val="0"/>
                <w:sz w:val="22"/>
                <w:szCs w:val="22"/>
                <w:u w:val="none"/>
                <w:lang w:val="en-US" w:eastAsia="zh-CN" w:bidi="ar"/>
              </w:rPr>
              <w:t>产出成本（</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桥梁建设成本</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（桥梁建设实际成本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桥梁建设计划成本）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桥梁建设计划成本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0.4</w:t>
            </w:r>
            <w:r>
              <w:rPr>
                <w:rFonts w:hint="default" w:ascii="Times New Roman" w:hAnsi="Times New Roman" w:eastAsia="仿宋_GB2312" w:cs="Times New Roman"/>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p>
        </w:tc>
        <w:tc>
          <w:tcPr>
            <w:tcW w:w="9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（实际桥梁建设成本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计划桥梁建设成本）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计划桥梁建设成本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实际桥梁建设成本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计划桥梁建设成本，得满分，否则每偏离预期桥梁建设成本标准</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根据项目单位提供的实施方案，工作总结和基础数据表等相关材料；预期桥梁建设成本标准为</w:t>
            </w:r>
            <w:r>
              <w:rPr>
                <w:rFonts w:hint="default" w:ascii="Times New Roman" w:hAnsi="Times New Roman" w:eastAsia="仿宋_GB2312" w:cs="Times New Roman"/>
                <w:i w:val="0"/>
                <w:iCs w:val="0"/>
                <w:color w:val="000000"/>
                <w:kern w:val="0"/>
                <w:sz w:val="22"/>
                <w:szCs w:val="22"/>
                <w:u w:val="none"/>
                <w:lang w:val="en-US" w:eastAsia="zh-CN" w:bidi="ar"/>
              </w:rPr>
              <w:t>0.4</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，实际桥梁建设成本为</w:t>
            </w:r>
            <w:r>
              <w:rPr>
                <w:rFonts w:hint="default" w:ascii="Times New Roman" w:hAnsi="Times New Roman" w:eastAsia="仿宋_GB2312" w:cs="Times New Roman"/>
                <w:i w:val="0"/>
                <w:iCs w:val="0"/>
                <w:color w:val="000000"/>
                <w:kern w:val="0"/>
                <w:sz w:val="22"/>
                <w:szCs w:val="22"/>
                <w:u w:val="none"/>
                <w:lang w:val="en-US" w:eastAsia="zh-CN" w:bidi="ar"/>
              </w:rPr>
              <w:t>0.4</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，实际桥梁建设成本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计划桥梁建设成本，成本节约情况较好，得满权重分。综上，该指标得满分。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C402</w:t>
            </w:r>
            <w:r>
              <w:rPr>
                <w:rFonts w:hint="eastAsia" w:ascii="仿宋_GB2312" w:hAnsi="Times New Roman" w:eastAsia="仿宋_GB2312" w:cs="仿宋_GB2312"/>
                <w:i w:val="0"/>
                <w:iCs w:val="0"/>
                <w:color w:val="000000"/>
                <w:kern w:val="0"/>
                <w:sz w:val="22"/>
                <w:szCs w:val="22"/>
                <w:u w:val="none"/>
                <w:lang w:val="en-US" w:eastAsia="zh-CN" w:bidi="ar"/>
              </w:rPr>
              <w:t>盖板涵建设成本</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（盖板涵实际成本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盖板涵计划成本）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盖板涵计划成本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0.65</w:t>
            </w:r>
            <w:r>
              <w:rPr>
                <w:rFonts w:hint="eastAsia" w:ascii="仿宋_GB2312" w:hAnsi="Times New Roman" w:eastAsia="仿宋_GB2312" w:cs="仿宋_GB2312"/>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w:t>
            </w:r>
          </w:p>
        </w:tc>
        <w:tc>
          <w:tcPr>
            <w:tcW w:w="9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（实际盖板涵建设成本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计划盖板涵建设成本）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计划盖板涵建设成本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实际盖板涵建设成本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计划盖板涵建设成本，得满分，否则每偏离预期盖板涵建设成本标准</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根据项目单位提供的实施方案，工作总结和基础数据表等相关材料；预期盖板涵建设成本标准为</w:t>
            </w:r>
            <w:r>
              <w:rPr>
                <w:rFonts w:hint="default" w:ascii="Times New Roman" w:hAnsi="Times New Roman" w:eastAsia="仿宋_GB2312" w:cs="Times New Roman"/>
                <w:i w:val="0"/>
                <w:iCs w:val="0"/>
                <w:color w:val="000000"/>
                <w:kern w:val="0"/>
                <w:sz w:val="22"/>
                <w:szCs w:val="22"/>
                <w:u w:val="none"/>
                <w:lang w:val="en-US" w:eastAsia="zh-CN" w:bidi="ar"/>
              </w:rPr>
              <w:t>0.65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，实际盖板涵建设成本为</w:t>
            </w:r>
            <w:r>
              <w:rPr>
                <w:rFonts w:hint="default" w:ascii="Times New Roman" w:hAnsi="Times New Roman" w:eastAsia="仿宋_GB2312" w:cs="Times New Roman"/>
                <w:i w:val="0"/>
                <w:iCs w:val="0"/>
                <w:color w:val="000000"/>
                <w:kern w:val="0"/>
                <w:sz w:val="22"/>
                <w:szCs w:val="22"/>
                <w:u w:val="none"/>
                <w:lang w:val="en-US" w:eastAsia="zh-CN" w:bidi="ar"/>
              </w:rPr>
              <w:t>0.65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，实际盖板涵建设成本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计划盖板涵建设成本，成本节约情况较好，得满权重分。综上，该指标得满分。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C403</w:t>
            </w:r>
            <w:r>
              <w:rPr>
                <w:rFonts w:hint="eastAsia" w:ascii="仿宋_GB2312" w:hAnsi="Times New Roman" w:eastAsia="仿宋_GB2312" w:cs="仿宋_GB2312"/>
                <w:i w:val="0"/>
                <w:iCs w:val="0"/>
                <w:color w:val="000000"/>
                <w:kern w:val="0"/>
                <w:sz w:val="22"/>
                <w:szCs w:val="22"/>
                <w:u w:val="none"/>
                <w:lang w:val="en-US" w:eastAsia="zh-CN" w:bidi="ar"/>
              </w:rPr>
              <w:t>圆管涵及路面修补建设成本</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（圆管涵及路面修补实际建设成本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圆管涵及路面修补计划建设成本）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圆管涵及路面修补计划建设成本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φ0.6m</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≤0.12万元/每延米、φ0.8m</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 0.15万元/每延米、φ 1m</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≤0.18万元元/每延米、路面修补</w:t>
            </w:r>
            <w:r>
              <w:rPr>
                <w:rFonts w:hint="eastAsia" w:ascii="Times New Roman" w:hAnsi="Times New Roman" w:eastAsia="仿宋_GB2312" w:cs="Times New Roman"/>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≤0.022 万元/㎡</w:t>
            </w:r>
          </w:p>
        </w:tc>
        <w:tc>
          <w:tcPr>
            <w:tcW w:w="9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（实际圆管涵及路面修补建设成本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计划圆管涵及路面修补建设成本）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计划圆管涵及路面修补建设成本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实际圆管涵及路面修补建设成本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计划圆管涵及路面修补建设成本，得满分，否则每偏离预期预期圆管涵及路面修补建设成本标准</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根据项目单位提供的实施方案，工作总结和基础数据表等相关材料；预期圆管涵及路面修补建设成本标准为</w:t>
            </w:r>
            <w:r>
              <w:rPr>
                <w:rFonts w:hint="default" w:ascii="Times New Roman" w:hAnsi="Times New Roman" w:eastAsia="仿宋_GB2312" w:cs="Times New Roman"/>
                <w:i w:val="0"/>
                <w:iCs w:val="0"/>
                <w:color w:val="000000"/>
                <w:kern w:val="0"/>
                <w:sz w:val="22"/>
                <w:szCs w:val="22"/>
                <w:u w:val="none"/>
                <w:lang w:val="en-US" w:eastAsia="zh-CN" w:bidi="ar"/>
              </w:rPr>
              <w:t>φ0.6m</w:t>
            </w:r>
            <w:r>
              <w:rPr>
                <w:rFonts w:hint="eastAsia" w:ascii="仿宋_GB2312" w:hAnsi="宋体" w:eastAsia="仿宋_GB2312" w:cs="仿宋_GB2312"/>
                <w:i w:val="0"/>
                <w:iCs w:val="0"/>
                <w:color w:val="000000"/>
                <w:kern w:val="0"/>
                <w:sz w:val="22"/>
                <w:szCs w:val="22"/>
                <w:u w:val="none"/>
                <w:lang w:val="en-US" w:eastAsia="zh-CN" w:bidi="ar"/>
              </w:rPr>
              <w:t>计划</w:t>
            </w:r>
            <w:r>
              <w:rPr>
                <w:rFonts w:hint="default" w:ascii="Times New Roman" w:hAnsi="Times New Roman" w:eastAsia="仿宋_GB2312" w:cs="Times New Roman"/>
                <w:i w:val="0"/>
                <w:iCs w:val="0"/>
                <w:color w:val="000000"/>
                <w:kern w:val="0"/>
                <w:sz w:val="22"/>
                <w:szCs w:val="22"/>
                <w:u w:val="none"/>
                <w:lang w:val="en-US" w:eastAsia="zh-CN" w:bidi="ar"/>
              </w:rPr>
              <w:t>0.12</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每延米、</w:t>
            </w:r>
            <w:r>
              <w:rPr>
                <w:rFonts w:hint="default" w:ascii="Times New Roman" w:hAnsi="Times New Roman" w:eastAsia="仿宋_GB2312" w:cs="Times New Roman"/>
                <w:i w:val="0"/>
                <w:iCs w:val="0"/>
                <w:color w:val="000000"/>
                <w:kern w:val="0"/>
                <w:sz w:val="22"/>
                <w:szCs w:val="22"/>
                <w:u w:val="none"/>
                <w:lang w:val="en-US" w:eastAsia="zh-CN" w:bidi="ar"/>
              </w:rPr>
              <w:t xml:space="preserve"> φ0.8m 0.15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每延米、</w:t>
            </w:r>
            <w:r>
              <w:rPr>
                <w:rFonts w:hint="default" w:ascii="Times New Roman" w:hAnsi="Times New Roman" w:eastAsia="仿宋_GB2312" w:cs="Times New Roman"/>
                <w:i w:val="0"/>
                <w:iCs w:val="0"/>
                <w:color w:val="000000"/>
                <w:kern w:val="0"/>
                <w:sz w:val="22"/>
                <w:szCs w:val="22"/>
                <w:u w:val="none"/>
                <w:lang w:val="en-US" w:eastAsia="zh-CN" w:bidi="ar"/>
              </w:rPr>
              <w:t>φ 1m0.18</w:t>
            </w:r>
            <w:r>
              <w:rPr>
                <w:rFonts w:hint="eastAsia" w:ascii="仿宋_GB2312" w:hAnsi="宋体" w:eastAsia="仿宋_GB2312" w:cs="仿宋_GB2312"/>
                <w:i w:val="0"/>
                <w:iCs w:val="0"/>
                <w:color w:val="000000"/>
                <w:kern w:val="0"/>
                <w:sz w:val="22"/>
                <w:szCs w:val="22"/>
                <w:u w:val="none"/>
                <w:lang w:val="en-US" w:eastAsia="zh-CN" w:bidi="ar"/>
              </w:rPr>
              <w:t>万元元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每延米、路面修补</w:t>
            </w:r>
            <w:r>
              <w:rPr>
                <w:rFonts w:hint="default" w:ascii="Times New Roman" w:hAnsi="Times New Roman" w:eastAsia="仿宋_GB2312" w:cs="Times New Roman"/>
                <w:i w:val="0"/>
                <w:iCs w:val="0"/>
                <w:color w:val="000000"/>
                <w:kern w:val="0"/>
                <w:sz w:val="22"/>
                <w:szCs w:val="22"/>
                <w:u w:val="none"/>
                <w:lang w:val="en-US" w:eastAsia="zh-CN" w:bidi="ar"/>
              </w:rPr>
              <w:t xml:space="preserve">0.022 </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，实际圆板涵建设成本为</w:t>
            </w:r>
            <w:r>
              <w:rPr>
                <w:rFonts w:hint="default" w:ascii="Times New Roman" w:hAnsi="Times New Roman" w:eastAsia="仿宋_GB2312" w:cs="Times New Roman"/>
                <w:i w:val="0"/>
                <w:iCs w:val="0"/>
                <w:color w:val="000000"/>
                <w:kern w:val="0"/>
                <w:sz w:val="22"/>
                <w:szCs w:val="22"/>
                <w:u w:val="none"/>
                <w:lang w:val="en-US" w:eastAsia="zh-CN" w:bidi="ar"/>
              </w:rPr>
              <w:t>φ0.6m</w:t>
            </w:r>
            <w:r>
              <w:rPr>
                <w:rFonts w:hint="eastAsia" w:ascii="仿宋_GB2312" w:hAnsi="宋体" w:eastAsia="仿宋_GB2312" w:cs="仿宋_GB2312"/>
                <w:i w:val="0"/>
                <w:iCs w:val="0"/>
                <w:color w:val="000000"/>
                <w:kern w:val="0"/>
                <w:sz w:val="22"/>
                <w:szCs w:val="22"/>
                <w:u w:val="none"/>
                <w:lang w:val="en-US" w:eastAsia="zh-CN" w:bidi="ar"/>
              </w:rPr>
              <w:t>计划</w:t>
            </w:r>
            <w:r>
              <w:rPr>
                <w:rFonts w:hint="default" w:ascii="Times New Roman" w:hAnsi="Times New Roman" w:eastAsia="仿宋_GB2312" w:cs="Times New Roman"/>
                <w:i w:val="0"/>
                <w:iCs w:val="0"/>
                <w:color w:val="000000"/>
                <w:kern w:val="0"/>
                <w:sz w:val="22"/>
                <w:szCs w:val="22"/>
                <w:u w:val="none"/>
                <w:lang w:val="en-US" w:eastAsia="zh-CN" w:bidi="ar"/>
              </w:rPr>
              <w:t>0.12</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每延米、</w:t>
            </w:r>
            <w:r>
              <w:rPr>
                <w:rFonts w:hint="default" w:ascii="Times New Roman" w:hAnsi="Times New Roman" w:eastAsia="仿宋_GB2312" w:cs="Times New Roman"/>
                <w:i w:val="0"/>
                <w:iCs w:val="0"/>
                <w:color w:val="000000"/>
                <w:kern w:val="0"/>
                <w:sz w:val="22"/>
                <w:szCs w:val="22"/>
                <w:u w:val="none"/>
                <w:lang w:val="en-US" w:eastAsia="zh-CN" w:bidi="ar"/>
              </w:rPr>
              <w:t>φ0.8m 0.15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每延米、</w:t>
            </w:r>
            <w:r>
              <w:rPr>
                <w:rFonts w:hint="default" w:ascii="Times New Roman" w:hAnsi="Times New Roman" w:eastAsia="仿宋_GB2312" w:cs="Times New Roman"/>
                <w:i w:val="0"/>
                <w:iCs w:val="0"/>
                <w:color w:val="000000"/>
                <w:kern w:val="0"/>
                <w:sz w:val="22"/>
                <w:szCs w:val="22"/>
                <w:u w:val="none"/>
                <w:lang w:val="en-US" w:eastAsia="zh-CN" w:bidi="ar"/>
              </w:rPr>
              <w:t>φ 1m0.18</w:t>
            </w:r>
            <w:r>
              <w:rPr>
                <w:rFonts w:hint="eastAsia" w:ascii="仿宋_GB2312" w:hAnsi="宋体" w:eastAsia="仿宋_GB2312" w:cs="仿宋_GB2312"/>
                <w:i w:val="0"/>
                <w:iCs w:val="0"/>
                <w:color w:val="000000"/>
                <w:kern w:val="0"/>
                <w:sz w:val="22"/>
                <w:szCs w:val="22"/>
                <w:u w:val="none"/>
                <w:lang w:val="en-US" w:eastAsia="zh-CN" w:bidi="ar"/>
              </w:rPr>
              <w:t>万元元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每延米、路面修补</w:t>
            </w:r>
            <w:r>
              <w:rPr>
                <w:rFonts w:hint="default" w:ascii="Times New Roman" w:hAnsi="Times New Roman" w:eastAsia="仿宋_GB2312" w:cs="Times New Roman"/>
                <w:i w:val="0"/>
                <w:iCs w:val="0"/>
                <w:color w:val="000000"/>
                <w:kern w:val="0"/>
                <w:sz w:val="22"/>
                <w:szCs w:val="22"/>
                <w:u w:val="none"/>
                <w:lang w:val="en-US" w:eastAsia="zh-CN" w:bidi="ar"/>
              </w:rPr>
              <w:t xml:space="preserve">0.022 </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，实际圆管涵及路面修补建设成本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计划圆管涵及路面修补建设成本，成本节约情况较好，得满权重分。综上，该指标得满分。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w:t>
            </w:r>
            <w:r>
              <w:rPr>
                <w:rFonts w:hint="eastAsia" w:ascii="仿宋_GB2312" w:hAnsi="Times New Roman" w:eastAsia="仿宋_GB2312" w:cs="仿宋_GB2312"/>
                <w:i w:val="0"/>
                <w:iCs w:val="0"/>
                <w:color w:val="000000"/>
                <w:kern w:val="0"/>
                <w:sz w:val="22"/>
                <w:szCs w:val="22"/>
                <w:u w:val="none"/>
                <w:lang w:val="en-US" w:eastAsia="zh-CN" w:bidi="ar"/>
              </w:rPr>
              <w:t>项目效果（</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w:t>
            </w:r>
            <w:r>
              <w:rPr>
                <w:rFonts w:hint="eastAsia" w:ascii="仿宋_GB2312" w:hAnsi="Times New Roman" w:eastAsia="仿宋_GB2312" w:cs="仿宋_GB2312"/>
                <w:i w:val="0"/>
                <w:iCs w:val="0"/>
                <w:color w:val="000000"/>
                <w:kern w:val="0"/>
                <w:sz w:val="22"/>
                <w:szCs w:val="22"/>
                <w:u w:val="none"/>
                <w:lang w:val="en-US" w:eastAsia="zh-CN" w:bidi="ar"/>
              </w:rPr>
              <w:t>社会效益（</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贫困地区建制村通客车率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考察项目实施后，贫困地区建制村客车通车情况。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项目实施后，贫困地区建制村通客车率达到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，得满分权重分；否则不得分。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根据项目单位提供的实施方案，工作总结和基础数据表等相关材料；项目实施后，贫困地区建制村通客车率达到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，得满分。综上所述，该项指标得满分权重分。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具备条件的建档立卡贫困村通硬化路率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考察项目实施后，具备条件的建档立卡贫困村通硬化路情况。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项目实施后，具备条件的建档立卡贫困村通硬化路率达到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，得满分，否则不得分。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根据项目单位提供的实施方案，工作总结和基础数据表等相关材料；项目实施后，具备条件的建档立卡贫困村通硬化路率达到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，得满分。综上所述，该项指标得满分权重分。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D103</w:t>
            </w:r>
            <w:r>
              <w:rPr>
                <w:rFonts w:hint="eastAsia" w:ascii="仿宋_GB2312" w:hAnsi="Times New Roman" w:eastAsia="仿宋_GB2312" w:cs="仿宋_GB2312"/>
                <w:i w:val="0"/>
                <w:iCs w:val="0"/>
                <w:color w:val="000000"/>
                <w:kern w:val="0"/>
                <w:sz w:val="22"/>
                <w:szCs w:val="22"/>
                <w:u w:val="none"/>
                <w:lang w:val="en-US" w:eastAsia="zh-CN" w:bidi="ar"/>
              </w:rPr>
              <w:t>贫困地区居民出行平均缩短时间</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考察项目实施后，贫困地区居民平均出行时间缩短情况。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小时</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项目实施后，贫困地区居民出行平均缩短时间</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小时，得满分权重分。每低于目标值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根据项目单位提供的实施方案，工作总结和基础数据表等相关材料；项目实施后，贫困地区居民出行平均缩短时间为</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小时，达到目标值。综上所述，依据评分标准，该项指标得满分权重分。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D104</w:t>
            </w:r>
            <w:r>
              <w:rPr>
                <w:rFonts w:hint="eastAsia" w:ascii="仿宋_GB2312" w:hAnsi="Times New Roman" w:eastAsia="仿宋_GB2312" w:cs="仿宋_GB2312"/>
                <w:i w:val="0"/>
                <w:iCs w:val="0"/>
                <w:color w:val="000000"/>
                <w:kern w:val="0"/>
                <w:sz w:val="22"/>
                <w:szCs w:val="22"/>
                <w:u w:val="none"/>
                <w:lang w:val="en-US" w:eastAsia="zh-CN" w:bidi="ar"/>
              </w:rPr>
              <w:t>扶贫项目带贫减贫机制有效性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考察通过</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年扶贫项目实施，受扶持贫困村村集体经济年收入增加情况。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有效改善①全县交通出行条件②带动产业发展③农民增收致富④提高农产品流通条件⑤提升农产品等领域综合效益。以上要素各占</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权重分，符合得该项权重分。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根据项目单位提供的实施方案，工作总结和基础数据表等相关材料；①项目改善全县交通出行条件，得</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权重分；②项目带动产业发展，得</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权重分；③项目带动农民增收致富情况未获取到相关数据，得</w:t>
            </w:r>
            <w:r>
              <w:rPr>
                <w:rFonts w:hint="default" w:ascii="Times New Roman" w:hAnsi="Times New Roman" w:eastAsia="宋体" w:cs="Times New Roman"/>
                <w:i w:val="0"/>
                <w:iCs w:val="0"/>
                <w:color w:val="000000"/>
                <w:kern w:val="0"/>
                <w:sz w:val="22"/>
                <w:szCs w:val="22"/>
                <w:u w:val="none"/>
                <w:lang w:val="en-US" w:eastAsia="zh-CN" w:bidi="ar"/>
              </w:rPr>
              <w:t>0%</w:t>
            </w:r>
            <w:r>
              <w:rPr>
                <w:rFonts w:hint="eastAsia" w:ascii="仿宋_GB2312" w:hAnsi="Times New Roman" w:eastAsia="仿宋_GB2312" w:cs="仿宋_GB2312"/>
                <w:i w:val="0"/>
                <w:iCs w:val="0"/>
                <w:color w:val="000000"/>
                <w:kern w:val="0"/>
                <w:sz w:val="22"/>
                <w:szCs w:val="22"/>
                <w:u w:val="none"/>
                <w:lang w:val="en-US" w:eastAsia="zh-CN" w:bidi="ar"/>
              </w:rPr>
              <w:t>权重分；④项目提高农产品流通条件，得</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权重分；⑤项目提升农产品等领域综合效益，得</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权重分。综上所述，该项指标得</w:t>
            </w:r>
            <w:r>
              <w:rPr>
                <w:rFonts w:hint="default" w:ascii="Times New Roman" w:hAnsi="Times New Roman" w:eastAsia="宋体" w:cs="Times New Roman"/>
                <w:i w:val="0"/>
                <w:iCs w:val="0"/>
                <w:color w:val="000000"/>
                <w:kern w:val="0"/>
                <w:sz w:val="22"/>
                <w:szCs w:val="22"/>
                <w:u w:val="none"/>
                <w:lang w:val="en-US" w:eastAsia="zh-CN" w:bidi="ar"/>
              </w:rPr>
              <w:t>80%</w:t>
            </w:r>
            <w:r>
              <w:rPr>
                <w:rFonts w:hint="eastAsia" w:ascii="仿宋_GB2312" w:hAnsi="Times New Roman" w:eastAsia="仿宋_GB2312" w:cs="仿宋_GB2312"/>
                <w:i w:val="0"/>
                <w:iCs w:val="0"/>
                <w:color w:val="000000"/>
                <w:kern w:val="0"/>
                <w:sz w:val="22"/>
                <w:szCs w:val="22"/>
                <w:u w:val="none"/>
                <w:lang w:val="en-US" w:eastAsia="zh-CN" w:bidi="ar"/>
              </w:rPr>
              <w:t>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D105</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考察项目实施后，受益建档立卡贫困人口数。</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24623</w:t>
            </w:r>
            <w:r>
              <w:rPr>
                <w:rFonts w:hint="eastAsia" w:ascii="仿宋_GB2312" w:hAnsi="Times New Roman" w:eastAsia="仿宋_GB2312" w:cs="仿宋_GB2312"/>
                <w:i w:val="0"/>
                <w:iCs w:val="0"/>
                <w:color w:val="000000"/>
                <w:kern w:val="0"/>
                <w:sz w:val="22"/>
                <w:szCs w:val="22"/>
                <w:u w:val="none"/>
                <w:lang w:val="en-US" w:eastAsia="zh-CN" w:bidi="ar"/>
              </w:rPr>
              <w:t>人</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项目实施后，受益建档立卡贫困人口数达到目标值</w:t>
            </w:r>
            <w:r>
              <w:rPr>
                <w:rFonts w:hint="default" w:ascii="Times New Roman" w:hAnsi="Times New Roman" w:eastAsia="仿宋_GB2312" w:cs="Times New Roman"/>
                <w:i w:val="0"/>
                <w:iCs w:val="0"/>
                <w:color w:val="000000"/>
                <w:kern w:val="0"/>
                <w:sz w:val="22"/>
                <w:szCs w:val="22"/>
                <w:u w:val="none"/>
                <w:lang w:val="en-US" w:eastAsia="zh-CN" w:bidi="ar"/>
              </w:rPr>
              <w:t>24623</w:t>
            </w:r>
            <w:r>
              <w:rPr>
                <w:rFonts w:hint="eastAsia" w:ascii="仿宋_GB2312" w:hAnsi="宋体" w:eastAsia="仿宋_GB2312" w:cs="仿宋_GB2312"/>
                <w:i w:val="0"/>
                <w:iCs w:val="0"/>
                <w:color w:val="000000"/>
                <w:kern w:val="0"/>
                <w:sz w:val="22"/>
                <w:szCs w:val="22"/>
                <w:u w:val="none"/>
                <w:lang w:val="en-US" w:eastAsia="zh-CN" w:bidi="ar"/>
              </w:rPr>
              <w:t>人，得满分；否则每低于目标值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根据项目单位提供的实施方案，工作总结和基础数据表等相关材料；项目实施后，受益建档立卡贫困人口数达到目标值</w:t>
            </w:r>
            <w:r>
              <w:rPr>
                <w:rFonts w:hint="default" w:ascii="Times New Roman" w:hAnsi="Times New Roman" w:eastAsia="仿宋_GB2312" w:cs="Times New Roman"/>
                <w:i w:val="0"/>
                <w:iCs w:val="0"/>
                <w:color w:val="000000"/>
                <w:kern w:val="0"/>
                <w:sz w:val="22"/>
                <w:szCs w:val="22"/>
                <w:u w:val="none"/>
                <w:lang w:val="en-US" w:eastAsia="zh-CN" w:bidi="ar"/>
              </w:rPr>
              <w:t>24623</w:t>
            </w:r>
            <w:r>
              <w:rPr>
                <w:rFonts w:hint="eastAsia" w:ascii="仿宋_GB2312" w:hAnsi="宋体" w:eastAsia="仿宋_GB2312" w:cs="仿宋_GB2312"/>
                <w:i w:val="0"/>
                <w:iCs w:val="0"/>
                <w:color w:val="000000"/>
                <w:kern w:val="0"/>
                <w:sz w:val="22"/>
                <w:szCs w:val="22"/>
                <w:u w:val="none"/>
                <w:lang w:val="en-US" w:eastAsia="zh-CN" w:bidi="ar"/>
              </w:rPr>
              <w:t>人，得满分。综上所述，依据评分标准，该项指标得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r>
              <w:rPr>
                <w:rFonts w:hint="eastAsia" w:ascii="仿宋_GB2312" w:hAnsi="Times New Roman" w:eastAsia="仿宋_GB2312" w:cs="仿宋_GB2312"/>
                <w:i w:val="0"/>
                <w:iCs w:val="0"/>
                <w:color w:val="000000"/>
                <w:kern w:val="0"/>
                <w:sz w:val="22"/>
                <w:szCs w:val="22"/>
                <w:u w:val="none"/>
                <w:lang w:val="en-US" w:eastAsia="zh-CN" w:bidi="ar"/>
              </w:rPr>
              <w:t>可持续影响（</w:t>
            </w:r>
            <w:r>
              <w:rPr>
                <w:rFonts w:hint="default" w:ascii="Times New Roman" w:hAnsi="Times New Roman" w:eastAsia="宋体" w:cs="Times New Roman"/>
                <w:i w:val="0"/>
                <w:iCs w:val="0"/>
                <w:color w:val="000000"/>
                <w:kern w:val="0"/>
                <w:sz w:val="22"/>
                <w:szCs w:val="22"/>
                <w:u w:val="none"/>
                <w:lang w:val="en-US" w:eastAsia="zh-CN" w:bidi="ar"/>
              </w:rPr>
              <w:t>8</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考察该项目实施预计持续发挥作用。</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r>
              <w:rPr>
                <w:rFonts w:hint="eastAsia" w:ascii="仿宋_GB2312" w:hAnsi="Times New Roman" w:eastAsia="仿宋_GB2312" w:cs="仿宋_GB2312"/>
                <w:i w:val="0"/>
                <w:iCs w:val="0"/>
                <w:color w:val="000000"/>
                <w:kern w:val="0"/>
                <w:sz w:val="22"/>
                <w:szCs w:val="22"/>
                <w:u w:val="none"/>
                <w:lang w:val="en-US" w:eastAsia="zh-CN" w:bidi="ar"/>
              </w:rPr>
              <w:t>年</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该项目持续发挥作用年限达到目标值得满分权重分，否则不得分。</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年该项目实施预计持续发挥作用为</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年，该项目持续发挥作用年限达到目标值。综上所述，依据评分标准，该项指标得满分权重分。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D202</w:t>
            </w:r>
            <w:r>
              <w:rPr>
                <w:rFonts w:hint="eastAsia" w:ascii="仿宋_GB2312" w:hAnsi="Times New Roman" w:eastAsia="仿宋_GB2312" w:cs="仿宋_GB2312"/>
                <w:i w:val="0"/>
                <w:iCs w:val="0"/>
                <w:color w:val="000000"/>
                <w:kern w:val="0"/>
                <w:sz w:val="22"/>
                <w:szCs w:val="22"/>
                <w:u w:val="none"/>
                <w:lang w:val="en-US" w:eastAsia="zh-CN" w:bidi="ar"/>
              </w:rPr>
              <w:t>新建公路列养率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年扶贫项目新建公路列养情况。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项目实施后，新建公路列养率达到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，得满分；否则每低于目标值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根据项目单位提供的实施方案，工作总结和基础数据表等相关材料；项目实施后，新建公路列养率达到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，养护制度健全。综上所述，依据评分标准，该项指标得满分权重分。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w:t>
            </w:r>
            <w:r>
              <w:rPr>
                <w:rFonts w:hint="eastAsia" w:ascii="仿宋_GB2312" w:hAnsi="Times New Roman" w:eastAsia="仿宋_GB2312" w:cs="仿宋_GB2312"/>
                <w:i w:val="0"/>
                <w:iCs w:val="0"/>
                <w:color w:val="000000"/>
                <w:kern w:val="0"/>
                <w:sz w:val="22"/>
                <w:szCs w:val="22"/>
                <w:u w:val="none"/>
                <w:lang w:val="en-US" w:eastAsia="zh-CN" w:bidi="ar"/>
              </w:rPr>
              <w:t>服务对象满意度（</w:t>
            </w: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考察项目区受益贫困人口对淮滨县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年扶贫通村通组道路配套桥涵建设项目的满意度。</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对项目区受益贫困人口进行问卷调查，满意度达到目标值得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年对项目区受益贫困人口群众进行问卷调查，满意度达到</w:t>
            </w:r>
            <w:r>
              <w:rPr>
                <w:rFonts w:hint="default" w:ascii="Times New Roman" w:hAnsi="Times New Roman" w:eastAsia="仿宋_GB2312" w:cs="Times New Roman"/>
                <w:i w:val="0"/>
                <w:iCs w:val="0"/>
                <w:color w:val="000000"/>
                <w:kern w:val="0"/>
                <w:sz w:val="22"/>
                <w:szCs w:val="22"/>
                <w:u w:val="none"/>
                <w:lang w:val="en-US" w:eastAsia="zh-CN" w:bidi="ar"/>
              </w:rPr>
              <w:t>92%</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w:t>
            </w:r>
            <w:r>
              <w:rPr>
                <w:rFonts w:hint="default" w:ascii="Times New Roman" w:hAnsi="Times New Roman" w:eastAsia="仿宋_GB2312" w:cs="Times New Roman"/>
                <w:i w:val="0"/>
                <w:iCs w:val="0"/>
                <w:color w:val="000000"/>
                <w:kern w:val="0"/>
                <w:sz w:val="22"/>
                <w:szCs w:val="22"/>
                <w:u w:val="none"/>
                <w:lang w:val="en-US" w:eastAsia="zh-CN" w:bidi="ar"/>
              </w:rPr>
              <w:t>80%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80.00%</w:t>
            </w:r>
          </w:p>
        </w:tc>
      </w:tr>
      <w:tr>
        <w:tblPrEx>
          <w:tblCellMar>
            <w:top w:w="0" w:type="dxa"/>
            <w:left w:w="108" w:type="dxa"/>
            <w:bottom w:w="0" w:type="dxa"/>
            <w:right w:w="108" w:type="dxa"/>
          </w:tblCellMar>
        </w:tblPrEx>
        <w:trPr>
          <w:trHeight w:val="23" w:hRule="atLeast"/>
        </w:trPr>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1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93.90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b/>
                <w:bCs/>
                <w:i w:val="0"/>
                <w:iCs w:val="0"/>
                <w:color w:val="000000"/>
                <w:sz w:val="22"/>
                <w:szCs w:val="22"/>
                <w:u w:val="none"/>
              </w:rPr>
            </w:pPr>
          </w:p>
        </w:tc>
      </w:tr>
    </w:tbl>
    <w:p>
      <w:pPr>
        <w:pStyle w:val="6"/>
        <w:tabs>
          <w:tab w:val="left" w:pos="6948"/>
        </w:tabs>
        <w:spacing w:before="120" w:after="60"/>
        <w:outlineLvl w:val="0"/>
        <w:rPr>
          <w:rFonts w:hint="default" w:eastAsia="黑体" w:cs="Times New Roman"/>
          <w:b/>
          <w:bCs/>
          <w:kern w:val="44"/>
          <w:sz w:val="32"/>
          <w:szCs w:val="44"/>
          <w:lang w:val="en-US" w:eastAsia="zh-CN" w:bidi="ar-SA"/>
        </w:rPr>
      </w:pPr>
    </w:p>
    <w:sectPr>
      <w:pgSz w:w="16838" w:h="11906" w:orient="landscape"/>
      <w:pgMar w:top="1797" w:right="1440" w:bottom="1797" w:left="1440"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6"/>
                      <w:rPr>
                        <w:rFonts w:hint="eastAsia" w:eastAsia="宋体"/>
                        <w:lang w:eastAsia="zh-CN"/>
                      </w:rPr>
                    </w:pPr>
                  </w:p>
                </w:txbxContent>
              </v:textbox>
            </v:shape>
          </w:pict>
        </mc:Fallback>
      </mc:AlternateContent>
    </w: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6"/>
                      <w:rPr>
                        <w:rFonts w:hint="eastAsia" w:eastAsia="宋体"/>
                        <w:lang w:eastAsia="zh-CN"/>
                      </w:rPr>
                    </w:pPr>
                  </w:p>
                </w:txbxContent>
              </v:textbox>
            </v:shape>
          </w:pict>
        </mc:Fallback>
      </mc:AlternateContent>
    </w:r>
  </w:p>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5"/>
      </w:pPr>
      <w:r>
        <w:rPr>
          <w:rStyle w:val="25"/>
        </w:rPr>
        <w:footnoteRef/>
      </w:r>
      <w:r>
        <w:t xml:space="preserve"> </w:t>
      </w:r>
      <w:r>
        <w:rPr>
          <w:rFonts w:hint="default" w:ascii="Times New Roman" w:hAnsi="Times New Roman" w:eastAsia="仿宋_GB2312" w:cs="Times New Roman"/>
        </w:rPr>
        <w:t>根据《河南省财政扶贫资金绩效评价管理办法》（</w:t>
      </w:r>
      <w:r>
        <w:rPr>
          <w:rFonts w:hint="default" w:ascii="Times New Roman" w:hAnsi="Times New Roman" w:eastAsia="仿宋_GB2312" w:cs="Times New Roman"/>
          <w:lang w:val="en-US" w:eastAsia="zh-CN"/>
        </w:rPr>
        <w:t>豫财农</w:t>
      </w: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17</w:t>
      </w:r>
      <w:r>
        <w:rPr>
          <w:rFonts w:hint="default" w:ascii="Times New Roman" w:hAnsi="Times New Roman" w:eastAsia="仿宋_GB2312" w:cs="Times New Roman"/>
        </w:rPr>
        <w:t>〕1</w:t>
      </w:r>
      <w:r>
        <w:rPr>
          <w:rFonts w:hint="default" w:ascii="Times New Roman" w:hAnsi="Times New Roman" w:eastAsia="仿宋_GB2312" w:cs="Times New Roman"/>
          <w:lang w:val="en-US" w:eastAsia="zh-CN"/>
        </w:rPr>
        <w:t>82</w:t>
      </w:r>
      <w:r>
        <w:rPr>
          <w:rFonts w:hint="default" w:ascii="Times New Roman" w:hAnsi="Times New Roman" w:eastAsia="仿宋_GB2312" w:cs="Times New Roman"/>
        </w:rPr>
        <w:t>号）规定，等级一般划分为四档：90（含）-100分为优、80（含）-90分为良、60（含）-80分为中、60分以下为差。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10"/>
      <w:lvlText w:val="第%1章　"/>
      <w:lvlJc w:val="left"/>
      <w:pPr>
        <w:tabs>
          <w:tab w:val="left" w:pos="1440"/>
        </w:tabs>
        <w:ind w:left="720" w:hanging="720"/>
      </w:pPr>
      <w:rPr>
        <w:rFonts w:hint="eastAsia" w:cs="Times New Roman"/>
        <w:sz w:val="32"/>
      </w:rPr>
    </w:lvl>
    <w:lvl w:ilvl="1" w:tentative="0">
      <w:start w:val="1"/>
      <w:numFmt w:val="lowerRoman"/>
      <w:lvlText w:val="(%2)"/>
      <w:lvlJc w:val="left"/>
      <w:pPr>
        <w:tabs>
          <w:tab w:val="left" w:pos="861"/>
        </w:tabs>
        <w:ind w:left="861" w:hanging="720"/>
      </w:pPr>
      <w:rPr>
        <w:rFonts w:hint="eastAsia" w:cs="Times New Roman"/>
      </w:rPr>
    </w:lvl>
    <w:lvl w:ilvl="2" w:tentative="0">
      <w:start w:val="1"/>
      <w:numFmt w:val="lowerLetter"/>
      <w:lvlText w:val="(%3)"/>
      <w:lvlJc w:val="left"/>
      <w:pPr>
        <w:tabs>
          <w:tab w:val="left" w:pos="1335"/>
        </w:tabs>
        <w:ind w:left="1335" w:hanging="495"/>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1551"/>
    <w:rsid w:val="00210FB3"/>
    <w:rsid w:val="003E3919"/>
    <w:rsid w:val="00434E1C"/>
    <w:rsid w:val="008F44A9"/>
    <w:rsid w:val="00A453C5"/>
    <w:rsid w:val="00AA18B2"/>
    <w:rsid w:val="00DA6A5C"/>
    <w:rsid w:val="00F146C7"/>
    <w:rsid w:val="013A08C9"/>
    <w:rsid w:val="01462233"/>
    <w:rsid w:val="01504A4B"/>
    <w:rsid w:val="01540E44"/>
    <w:rsid w:val="016E521A"/>
    <w:rsid w:val="017D00AA"/>
    <w:rsid w:val="01A2681A"/>
    <w:rsid w:val="01A7329D"/>
    <w:rsid w:val="01B05D9E"/>
    <w:rsid w:val="01EC0546"/>
    <w:rsid w:val="01F73F4C"/>
    <w:rsid w:val="01FE7CEE"/>
    <w:rsid w:val="02000C9C"/>
    <w:rsid w:val="02112D77"/>
    <w:rsid w:val="02190EF1"/>
    <w:rsid w:val="023B4130"/>
    <w:rsid w:val="028E7503"/>
    <w:rsid w:val="02AD0C4A"/>
    <w:rsid w:val="02CF0B01"/>
    <w:rsid w:val="02D20C87"/>
    <w:rsid w:val="02D80697"/>
    <w:rsid w:val="02E06D0E"/>
    <w:rsid w:val="031D15D6"/>
    <w:rsid w:val="03233C2E"/>
    <w:rsid w:val="03461137"/>
    <w:rsid w:val="038035C9"/>
    <w:rsid w:val="039921B1"/>
    <w:rsid w:val="03B3628E"/>
    <w:rsid w:val="03EA1C88"/>
    <w:rsid w:val="03EB02A6"/>
    <w:rsid w:val="041B106D"/>
    <w:rsid w:val="04930E94"/>
    <w:rsid w:val="049F4E80"/>
    <w:rsid w:val="04B96045"/>
    <w:rsid w:val="05150363"/>
    <w:rsid w:val="057D06C3"/>
    <w:rsid w:val="05890ACA"/>
    <w:rsid w:val="05B90650"/>
    <w:rsid w:val="05BB426A"/>
    <w:rsid w:val="05DF0A92"/>
    <w:rsid w:val="05EF4864"/>
    <w:rsid w:val="06252CAC"/>
    <w:rsid w:val="064F06A8"/>
    <w:rsid w:val="066124C9"/>
    <w:rsid w:val="066D7CF2"/>
    <w:rsid w:val="06AD2C63"/>
    <w:rsid w:val="06B17729"/>
    <w:rsid w:val="06CA1331"/>
    <w:rsid w:val="06DF16C4"/>
    <w:rsid w:val="06F32850"/>
    <w:rsid w:val="07515B1D"/>
    <w:rsid w:val="075D1CE7"/>
    <w:rsid w:val="076C4E72"/>
    <w:rsid w:val="077F24C4"/>
    <w:rsid w:val="077F5FE8"/>
    <w:rsid w:val="07B57631"/>
    <w:rsid w:val="07C319BE"/>
    <w:rsid w:val="07C324F8"/>
    <w:rsid w:val="08452F8D"/>
    <w:rsid w:val="08593EB5"/>
    <w:rsid w:val="086075CB"/>
    <w:rsid w:val="08DF44D4"/>
    <w:rsid w:val="0923713D"/>
    <w:rsid w:val="09290B67"/>
    <w:rsid w:val="092C2127"/>
    <w:rsid w:val="09411707"/>
    <w:rsid w:val="09530DF8"/>
    <w:rsid w:val="09C91F8F"/>
    <w:rsid w:val="09DD79F6"/>
    <w:rsid w:val="09E158C2"/>
    <w:rsid w:val="0A183E10"/>
    <w:rsid w:val="0A4E3E4A"/>
    <w:rsid w:val="0A5159B9"/>
    <w:rsid w:val="0AA72593"/>
    <w:rsid w:val="0AB43ABB"/>
    <w:rsid w:val="0AEE0C76"/>
    <w:rsid w:val="0AF22747"/>
    <w:rsid w:val="0AF91E56"/>
    <w:rsid w:val="0B42572F"/>
    <w:rsid w:val="0B5C6311"/>
    <w:rsid w:val="0B6F3488"/>
    <w:rsid w:val="0B72488C"/>
    <w:rsid w:val="0B897192"/>
    <w:rsid w:val="0BA02B02"/>
    <w:rsid w:val="0C290F30"/>
    <w:rsid w:val="0C312B32"/>
    <w:rsid w:val="0C370339"/>
    <w:rsid w:val="0C6C3757"/>
    <w:rsid w:val="0C79111B"/>
    <w:rsid w:val="0C9738CA"/>
    <w:rsid w:val="0CA850E3"/>
    <w:rsid w:val="0CD55C05"/>
    <w:rsid w:val="0CFC477B"/>
    <w:rsid w:val="0D1726F2"/>
    <w:rsid w:val="0D3D683E"/>
    <w:rsid w:val="0D421B39"/>
    <w:rsid w:val="0D4D34A6"/>
    <w:rsid w:val="0D560CA3"/>
    <w:rsid w:val="0D5D1BFA"/>
    <w:rsid w:val="0DFF1430"/>
    <w:rsid w:val="0E3379FF"/>
    <w:rsid w:val="0E400298"/>
    <w:rsid w:val="0E513220"/>
    <w:rsid w:val="0E5E4E7E"/>
    <w:rsid w:val="0E782678"/>
    <w:rsid w:val="0EA63B8B"/>
    <w:rsid w:val="0ECD1BE0"/>
    <w:rsid w:val="0EFA4608"/>
    <w:rsid w:val="0F1F1717"/>
    <w:rsid w:val="0F41383F"/>
    <w:rsid w:val="0F5A1F41"/>
    <w:rsid w:val="0F5D69F1"/>
    <w:rsid w:val="0F9200C5"/>
    <w:rsid w:val="0F9E69B2"/>
    <w:rsid w:val="0FA0012A"/>
    <w:rsid w:val="100A4A15"/>
    <w:rsid w:val="107A0A24"/>
    <w:rsid w:val="10884726"/>
    <w:rsid w:val="11071E58"/>
    <w:rsid w:val="112F5369"/>
    <w:rsid w:val="1155423D"/>
    <w:rsid w:val="118976FA"/>
    <w:rsid w:val="11C02C09"/>
    <w:rsid w:val="11C83770"/>
    <w:rsid w:val="121118EE"/>
    <w:rsid w:val="121A2823"/>
    <w:rsid w:val="126478CA"/>
    <w:rsid w:val="1273044A"/>
    <w:rsid w:val="1294192D"/>
    <w:rsid w:val="12B845FC"/>
    <w:rsid w:val="13264FC5"/>
    <w:rsid w:val="135529E1"/>
    <w:rsid w:val="13AF6B86"/>
    <w:rsid w:val="13C27948"/>
    <w:rsid w:val="13CB4C94"/>
    <w:rsid w:val="13DE3A2D"/>
    <w:rsid w:val="14203A15"/>
    <w:rsid w:val="143802CD"/>
    <w:rsid w:val="145F1410"/>
    <w:rsid w:val="14764DCF"/>
    <w:rsid w:val="14860599"/>
    <w:rsid w:val="14D00FE8"/>
    <w:rsid w:val="14D5288B"/>
    <w:rsid w:val="14E80E55"/>
    <w:rsid w:val="14F2638B"/>
    <w:rsid w:val="15315400"/>
    <w:rsid w:val="159964C7"/>
    <w:rsid w:val="15B93746"/>
    <w:rsid w:val="15CA7249"/>
    <w:rsid w:val="15EF34AD"/>
    <w:rsid w:val="16362164"/>
    <w:rsid w:val="16400307"/>
    <w:rsid w:val="1664071E"/>
    <w:rsid w:val="168F4D6D"/>
    <w:rsid w:val="16C30F65"/>
    <w:rsid w:val="16CB4B00"/>
    <w:rsid w:val="16FF498A"/>
    <w:rsid w:val="173F683A"/>
    <w:rsid w:val="1756460D"/>
    <w:rsid w:val="17646A38"/>
    <w:rsid w:val="177410E6"/>
    <w:rsid w:val="177A1353"/>
    <w:rsid w:val="179C2E1D"/>
    <w:rsid w:val="17AD431B"/>
    <w:rsid w:val="180313CC"/>
    <w:rsid w:val="18082C70"/>
    <w:rsid w:val="1809110D"/>
    <w:rsid w:val="1829167C"/>
    <w:rsid w:val="18570C8C"/>
    <w:rsid w:val="188F1CEE"/>
    <w:rsid w:val="18BA03B4"/>
    <w:rsid w:val="18D26A72"/>
    <w:rsid w:val="190E35A4"/>
    <w:rsid w:val="19530257"/>
    <w:rsid w:val="19597892"/>
    <w:rsid w:val="19A462C3"/>
    <w:rsid w:val="19B3534D"/>
    <w:rsid w:val="19C11D24"/>
    <w:rsid w:val="19EB3D51"/>
    <w:rsid w:val="1A0C537F"/>
    <w:rsid w:val="1A594F75"/>
    <w:rsid w:val="1A6166F1"/>
    <w:rsid w:val="1A626526"/>
    <w:rsid w:val="1A6F0BA6"/>
    <w:rsid w:val="1A7019F1"/>
    <w:rsid w:val="1A9642BB"/>
    <w:rsid w:val="1A9E4CD5"/>
    <w:rsid w:val="1AC36090"/>
    <w:rsid w:val="1AD32313"/>
    <w:rsid w:val="1B330A41"/>
    <w:rsid w:val="1B3D543B"/>
    <w:rsid w:val="1B807A9A"/>
    <w:rsid w:val="1BEE3298"/>
    <w:rsid w:val="1BF6082D"/>
    <w:rsid w:val="1C4C1ECF"/>
    <w:rsid w:val="1C630CB7"/>
    <w:rsid w:val="1C814CC9"/>
    <w:rsid w:val="1C9B3A61"/>
    <w:rsid w:val="1CFF3888"/>
    <w:rsid w:val="1D240F0B"/>
    <w:rsid w:val="1D2C6C08"/>
    <w:rsid w:val="1D305371"/>
    <w:rsid w:val="1D3A5B3A"/>
    <w:rsid w:val="1D6133BB"/>
    <w:rsid w:val="1DD71D58"/>
    <w:rsid w:val="1DEC4FBC"/>
    <w:rsid w:val="1DF6248A"/>
    <w:rsid w:val="1E1932F9"/>
    <w:rsid w:val="1E1E5E00"/>
    <w:rsid w:val="1E295449"/>
    <w:rsid w:val="1E3145B2"/>
    <w:rsid w:val="1E81194C"/>
    <w:rsid w:val="1E972809"/>
    <w:rsid w:val="1EB86320"/>
    <w:rsid w:val="1EC17CEA"/>
    <w:rsid w:val="1F631E41"/>
    <w:rsid w:val="1F6E0ABF"/>
    <w:rsid w:val="1FCC114A"/>
    <w:rsid w:val="1FDB52AC"/>
    <w:rsid w:val="1FFB5A71"/>
    <w:rsid w:val="200052BB"/>
    <w:rsid w:val="2046617D"/>
    <w:rsid w:val="204E10FB"/>
    <w:rsid w:val="20514F91"/>
    <w:rsid w:val="205D0FA8"/>
    <w:rsid w:val="208B4F9A"/>
    <w:rsid w:val="209478E6"/>
    <w:rsid w:val="209F237B"/>
    <w:rsid w:val="20C71671"/>
    <w:rsid w:val="2155010C"/>
    <w:rsid w:val="215A2C99"/>
    <w:rsid w:val="216C4870"/>
    <w:rsid w:val="217966FF"/>
    <w:rsid w:val="21916F3F"/>
    <w:rsid w:val="21940779"/>
    <w:rsid w:val="21B83ECB"/>
    <w:rsid w:val="21C860B8"/>
    <w:rsid w:val="21D33C42"/>
    <w:rsid w:val="21E30563"/>
    <w:rsid w:val="220B31B6"/>
    <w:rsid w:val="22452F96"/>
    <w:rsid w:val="228F2EED"/>
    <w:rsid w:val="22DC2FE7"/>
    <w:rsid w:val="22F23B35"/>
    <w:rsid w:val="230B2830"/>
    <w:rsid w:val="23487F53"/>
    <w:rsid w:val="234E7A8D"/>
    <w:rsid w:val="23B50AAA"/>
    <w:rsid w:val="23B6589D"/>
    <w:rsid w:val="23D43785"/>
    <w:rsid w:val="23E022BE"/>
    <w:rsid w:val="23F12340"/>
    <w:rsid w:val="24184423"/>
    <w:rsid w:val="2465770B"/>
    <w:rsid w:val="24792A56"/>
    <w:rsid w:val="248E3961"/>
    <w:rsid w:val="250F5717"/>
    <w:rsid w:val="251A6824"/>
    <w:rsid w:val="25447CD0"/>
    <w:rsid w:val="257A1D8B"/>
    <w:rsid w:val="25A43D0E"/>
    <w:rsid w:val="26060DF8"/>
    <w:rsid w:val="26116812"/>
    <w:rsid w:val="261D53FE"/>
    <w:rsid w:val="2653673E"/>
    <w:rsid w:val="26B45E70"/>
    <w:rsid w:val="26CA5C43"/>
    <w:rsid w:val="26CD142C"/>
    <w:rsid w:val="26D86833"/>
    <w:rsid w:val="26E408C3"/>
    <w:rsid w:val="26F93054"/>
    <w:rsid w:val="271C1125"/>
    <w:rsid w:val="27895AD5"/>
    <w:rsid w:val="278F776E"/>
    <w:rsid w:val="27937E64"/>
    <w:rsid w:val="2794600C"/>
    <w:rsid w:val="27BF0B4A"/>
    <w:rsid w:val="27C727DC"/>
    <w:rsid w:val="27ED6E5D"/>
    <w:rsid w:val="281254A1"/>
    <w:rsid w:val="2843047B"/>
    <w:rsid w:val="28BB3A41"/>
    <w:rsid w:val="28DE4C35"/>
    <w:rsid w:val="29482F2F"/>
    <w:rsid w:val="2961652B"/>
    <w:rsid w:val="296D6374"/>
    <w:rsid w:val="29A40B4A"/>
    <w:rsid w:val="29B23C13"/>
    <w:rsid w:val="29BD3841"/>
    <w:rsid w:val="29C62FCD"/>
    <w:rsid w:val="2A1820B8"/>
    <w:rsid w:val="2A195104"/>
    <w:rsid w:val="2A48775D"/>
    <w:rsid w:val="2A494938"/>
    <w:rsid w:val="2A5A4C30"/>
    <w:rsid w:val="2A5A73F8"/>
    <w:rsid w:val="2A83614F"/>
    <w:rsid w:val="2A98584E"/>
    <w:rsid w:val="2ABB2C0F"/>
    <w:rsid w:val="2AF575E3"/>
    <w:rsid w:val="2B852BED"/>
    <w:rsid w:val="2BAE2296"/>
    <w:rsid w:val="2BD26FB1"/>
    <w:rsid w:val="2BDF289C"/>
    <w:rsid w:val="2C1F79CB"/>
    <w:rsid w:val="2C3916CB"/>
    <w:rsid w:val="2C971183"/>
    <w:rsid w:val="2CBB1383"/>
    <w:rsid w:val="2CCE1D4C"/>
    <w:rsid w:val="2CCF7AD0"/>
    <w:rsid w:val="2CF24E53"/>
    <w:rsid w:val="2CFD4057"/>
    <w:rsid w:val="2D0624F0"/>
    <w:rsid w:val="2D0E5564"/>
    <w:rsid w:val="2D1174F7"/>
    <w:rsid w:val="2D277212"/>
    <w:rsid w:val="2D690620"/>
    <w:rsid w:val="2D7331C8"/>
    <w:rsid w:val="2D752F3E"/>
    <w:rsid w:val="2D882FC4"/>
    <w:rsid w:val="2DBF76A5"/>
    <w:rsid w:val="2DC07666"/>
    <w:rsid w:val="2DC2528C"/>
    <w:rsid w:val="2DC25790"/>
    <w:rsid w:val="2DC773DC"/>
    <w:rsid w:val="2DCE1AC5"/>
    <w:rsid w:val="2DD623C0"/>
    <w:rsid w:val="2DE65A42"/>
    <w:rsid w:val="2E134F41"/>
    <w:rsid w:val="2E2254A4"/>
    <w:rsid w:val="2E262BA4"/>
    <w:rsid w:val="2E330E23"/>
    <w:rsid w:val="2E545779"/>
    <w:rsid w:val="2EA87F95"/>
    <w:rsid w:val="2EBB0ABD"/>
    <w:rsid w:val="2ECB2A9D"/>
    <w:rsid w:val="2EDF2B1A"/>
    <w:rsid w:val="2F136715"/>
    <w:rsid w:val="2F2400EF"/>
    <w:rsid w:val="2F4F00D5"/>
    <w:rsid w:val="2F667BCF"/>
    <w:rsid w:val="2FAB04F1"/>
    <w:rsid w:val="2FD8091C"/>
    <w:rsid w:val="2FE415DA"/>
    <w:rsid w:val="2FFA7BA9"/>
    <w:rsid w:val="305741CD"/>
    <w:rsid w:val="30782F9F"/>
    <w:rsid w:val="309A31E0"/>
    <w:rsid w:val="30A249A9"/>
    <w:rsid w:val="30AC6F78"/>
    <w:rsid w:val="30C53ABC"/>
    <w:rsid w:val="30CC6B28"/>
    <w:rsid w:val="310F7756"/>
    <w:rsid w:val="314F2451"/>
    <w:rsid w:val="315F65DB"/>
    <w:rsid w:val="3163035A"/>
    <w:rsid w:val="31656C0C"/>
    <w:rsid w:val="317A4981"/>
    <w:rsid w:val="317D7FB6"/>
    <w:rsid w:val="318B4055"/>
    <w:rsid w:val="31A65A9C"/>
    <w:rsid w:val="31A841AC"/>
    <w:rsid w:val="31EF59F9"/>
    <w:rsid w:val="32220514"/>
    <w:rsid w:val="327B6E7E"/>
    <w:rsid w:val="329F6C08"/>
    <w:rsid w:val="32C865F1"/>
    <w:rsid w:val="32D616F0"/>
    <w:rsid w:val="336B6E9F"/>
    <w:rsid w:val="338646AC"/>
    <w:rsid w:val="338E5D63"/>
    <w:rsid w:val="33A23852"/>
    <w:rsid w:val="33D5153E"/>
    <w:rsid w:val="33E3499D"/>
    <w:rsid w:val="33FD7B40"/>
    <w:rsid w:val="34076729"/>
    <w:rsid w:val="34161745"/>
    <w:rsid w:val="345524D3"/>
    <w:rsid w:val="34564581"/>
    <w:rsid w:val="346B0233"/>
    <w:rsid w:val="349659AE"/>
    <w:rsid w:val="34B2163B"/>
    <w:rsid w:val="34D96097"/>
    <w:rsid w:val="34E56AAB"/>
    <w:rsid w:val="34EC3934"/>
    <w:rsid w:val="34EF1CD7"/>
    <w:rsid w:val="35036044"/>
    <w:rsid w:val="351A6043"/>
    <w:rsid w:val="35387BD1"/>
    <w:rsid w:val="354633AA"/>
    <w:rsid w:val="35820315"/>
    <w:rsid w:val="35867252"/>
    <w:rsid w:val="35A101E5"/>
    <w:rsid w:val="35C74256"/>
    <w:rsid w:val="35E274F1"/>
    <w:rsid w:val="35FB10CA"/>
    <w:rsid w:val="36150EBA"/>
    <w:rsid w:val="36176D3C"/>
    <w:rsid w:val="362751F4"/>
    <w:rsid w:val="364423D2"/>
    <w:rsid w:val="364B38D1"/>
    <w:rsid w:val="36671657"/>
    <w:rsid w:val="36671C56"/>
    <w:rsid w:val="3698135C"/>
    <w:rsid w:val="36A32606"/>
    <w:rsid w:val="36AF60D5"/>
    <w:rsid w:val="36C26DFD"/>
    <w:rsid w:val="36D743BF"/>
    <w:rsid w:val="36EA4470"/>
    <w:rsid w:val="36F51385"/>
    <w:rsid w:val="370362EE"/>
    <w:rsid w:val="371A5D7B"/>
    <w:rsid w:val="37216C4A"/>
    <w:rsid w:val="374A0FE4"/>
    <w:rsid w:val="37512229"/>
    <w:rsid w:val="375B2CA4"/>
    <w:rsid w:val="3763045A"/>
    <w:rsid w:val="37642FA4"/>
    <w:rsid w:val="37655492"/>
    <w:rsid w:val="37736F7A"/>
    <w:rsid w:val="37A83FBD"/>
    <w:rsid w:val="37BB3FCF"/>
    <w:rsid w:val="37BD5026"/>
    <w:rsid w:val="37C23280"/>
    <w:rsid w:val="37C64774"/>
    <w:rsid w:val="37E82D9E"/>
    <w:rsid w:val="386A4562"/>
    <w:rsid w:val="38733B79"/>
    <w:rsid w:val="38941622"/>
    <w:rsid w:val="38BD1092"/>
    <w:rsid w:val="38BF3650"/>
    <w:rsid w:val="38C63F2C"/>
    <w:rsid w:val="38C92652"/>
    <w:rsid w:val="38E16B3A"/>
    <w:rsid w:val="391238C4"/>
    <w:rsid w:val="39192799"/>
    <w:rsid w:val="39261FF9"/>
    <w:rsid w:val="393E710C"/>
    <w:rsid w:val="39BB48D5"/>
    <w:rsid w:val="39D10AE3"/>
    <w:rsid w:val="39F76AD7"/>
    <w:rsid w:val="39F97E21"/>
    <w:rsid w:val="3A1623DE"/>
    <w:rsid w:val="3A2D219C"/>
    <w:rsid w:val="3AD231F5"/>
    <w:rsid w:val="3AD619E6"/>
    <w:rsid w:val="3AD61C7C"/>
    <w:rsid w:val="3AD71D1F"/>
    <w:rsid w:val="3B3636BF"/>
    <w:rsid w:val="3B3831A3"/>
    <w:rsid w:val="3B41084E"/>
    <w:rsid w:val="3B596EC8"/>
    <w:rsid w:val="3B775C50"/>
    <w:rsid w:val="3B994F7E"/>
    <w:rsid w:val="3BB32566"/>
    <w:rsid w:val="3BC37FA1"/>
    <w:rsid w:val="3BD668C0"/>
    <w:rsid w:val="3C075CFD"/>
    <w:rsid w:val="3C887131"/>
    <w:rsid w:val="3C9B2186"/>
    <w:rsid w:val="3CB25B38"/>
    <w:rsid w:val="3CC4277C"/>
    <w:rsid w:val="3CC459C0"/>
    <w:rsid w:val="3D16290A"/>
    <w:rsid w:val="3D4226BA"/>
    <w:rsid w:val="3D5B7D17"/>
    <w:rsid w:val="3D7D4A1E"/>
    <w:rsid w:val="3D9A61AA"/>
    <w:rsid w:val="3DBA2669"/>
    <w:rsid w:val="3DCC109A"/>
    <w:rsid w:val="3DF42F70"/>
    <w:rsid w:val="3E051C81"/>
    <w:rsid w:val="3E4337F7"/>
    <w:rsid w:val="3E5E43B3"/>
    <w:rsid w:val="3E812725"/>
    <w:rsid w:val="3EE3428C"/>
    <w:rsid w:val="3F013529"/>
    <w:rsid w:val="3F243D7D"/>
    <w:rsid w:val="3F3F4600"/>
    <w:rsid w:val="3F7D385B"/>
    <w:rsid w:val="3FFB2354"/>
    <w:rsid w:val="40111645"/>
    <w:rsid w:val="4028733D"/>
    <w:rsid w:val="40371169"/>
    <w:rsid w:val="40476962"/>
    <w:rsid w:val="408D4195"/>
    <w:rsid w:val="40921178"/>
    <w:rsid w:val="409709C7"/>
    <w:rsid w:val="40A73B9C"/>
    <w:rsid w:val="40B87496"/>
    <w:rsid w:val="41011811"/>
    <w:rsid w:val="412039C4"/>
    <w:rsid w:val="41444BF0"/>
    <w:rsid w:val="414A7CB0"/>
    <w:rsid w:val="4166050E"/>
    <w:rsid w:val="41816021"/>
    <w:rsid w:val="41EF2888"/>
    <w:rsid w:val="420F1792"/>
    <w:rsid w:val="42835BD3"/>
    <w:rsid w:val="42AF57D0"/>
    <w:rsid w:val="42B36353"/>
    <w:rsid w:val="43072352"/>
    <w:rsid w:val="431804B3"/>
    <w:rsid w:val="43354680"/>
    <w:rsid w:val="433806C6"/>
    <w:rsid w:val="4364072D"/>
    <w:rsid w:val="439E6D19"/>
    <w:rsid w:val="43AE5C97"/>
    <w:rsid w:val="43D23C1A"/>
    <w:rsid w:val="43D67898"/>
    <w:rsid w:val="43D9557A"/>
    <w:rsid w:val="43DF5EE6"/>
    <w:rsid w:val="44A11576"/>
    <w:rsid w:val="44E47BED"/>
    <w:rsid w:val="44EE0712"/>
    <w:rsid w:val="45482F3B"/>
    <w:rsid w:val="45507683"/>
    <w:rsid w:val="455634BD"/>
    <w:rsid w:val="45741138"/>
    <w:rsid w:val="45AD1ED7"/>
    <w:rsid w:val="45E53152"/>
    <w:rsid w:val="45F9325E"/>
    <w:rsid w:val="45FC6198"/>
    <w:rsid w:val="460D7EAC"/>
    <w:rsid w:val="461314CF"/>
    <w:rsid w:val="461D51B4"/>
    <w:rsid w:val="46312B66"/>
    <w:rsid w:val="46661400"/>
    <w:rsid w:val="469E720B"/>
    <w:rsid w:val="46BD311B"/>
    <w:rsid w:val="46CF26B3"/>
    <w:rsid w:val="4702385C"/>
    <w:rsid w:val="474D75BC"/>
    <w:rsid w:val="476A0952"/>
    <w:rsid w:val="478D4576"/>
    <w:rsid w:val="47BD4B84"/>
    <w:rsid w:val="47C62F5F"/>
    <w:rsid w:val="47DB03C1"/>
    <w:rsid w:val="47E0602B"/>
    <w:rsid w:val="47F45F98"/>
    <w:rsid w:val="48202184"/>
    <w:rsid w:val="48751B5C"/>
    <w:rsid w:val="48CF3929"/>
    <w:rsid w:val="48EE245D"/>
    <w:rsid w:val="490165F6"/>
    <w:rsid w:val="49073753"/>
    <w:rsid w:val="491660AD"/>
    <w:rsid w:val="491D4063"/>
    <w:rsid w:val="49276EF3"/>
    <w:rsid w:val="49336474"/>
    <w:rsid w:val="497D6EED"/>
    <w:rsid w:val="49990AAC"/>
    <w:rsid w:val="499A17A2"/>
    <w:rsid w:val="49BB5973"/>
    <w:rsid w:val="49BB6432"/>
    <w:rsid w:val="49BF1270"/>
    <w:rsid w:val="4A0F2B99"/>
    <w:rsid w:val="4A5A354D"/>
    <w:rsid w:val="4A7F0A88"/>
    <w:rsid w:val="4A8F414A"/>
    <w:rsid w:val="4AC52BCD"/>
    <w:rsid w:val="4ADA2EEC"/>
    <w:rsid w:val="4AE604C5"/>
    <w:rsid w:val="4B3D48BC"/>
    <w:rsid w:val="4B664A4D"/>
    <w:rsid w:val="4B700099"/>
    <w:rsid w:val="4B8260C4"/>
    <w:rsid w:val="4BD347BC"/>
    <w:rsid w:val="4BE13106"/>
    <w:rsid w:val="4BE40B2D"/>
    <w:rsid w:val="4BF11029"/>
    <w:rsid w:val="4C391CD8"/>
    <w:rsid w:val="4C7B77A2"/>
    <w:rsid w:val="4C8A0332"/>
    <w:rsid w:val="4CAD3CF8"/>
    <w:rsid w:val="4CC70B54"/>
    <w:rsid w:val="4D1A1A0E"/>
    <w:rsid w:val="4D232041"/>
    <w:rsid w:val="4D370C0C"/>
    <w:rsid w:val="4D690FEF"/>
    <w:rsid w:val="4DA6680E"/>
    <w:rsid w:val="4DF03E0D"/>
    <w:rsid w:val="4E0A50B3"/>
    <w:rsid w:val="4E18350E"/>
    <w:rsid w:val="4E382194"/>
    <w:rsid w:val="4E3D4F02"/>
    <w:rsid w:val="4E6515FF"/>
    <w:rsid w:val="4E911E43"/>
    <w:rsid w:val="4E941A7B"/>
    <w:rsid w:val="4E977AE8"/>
    <w:rsid w:val="4EAB0AB3"/>
    <w:rsid w:val="4EDF3C5E"/>
    <w:rsid w:val="4EE00FE2"/>
    <w:rsid w:val="4F1807A8"/>
    <w:rsid w:val="4F3073BD"/>
    <w:rsid w:val="4F30780A"/>
    <w:rsid w:val="4F34274B"/>
    <w:rsid w:val="4F3A1389"/>
    <w:rsid w:val="4F4965B9"/>
    <w:rsid w:val="4F541A7F"/>
    <w:rsid w:val="4F8905D1"/>
    <w:rsid w:val="4F8E615A"/>
    <w:rsid w:val="4FAF1D1C"/>
    <w:rsid w:val="4FD17EEE"/>
    <w:rsid w:val="50022732"/>
    <w:rsid w:val="500F7E96"/>
    <w:rsid w:val="5021177D"/>
    <w:rsid w:val="505311D0"/>
    <w:rsid w:val="50C56DF8"/>
    <w:rsid w:val="510F4335"/>
    <w:rsid w:val="512F3A77"/>
    <w:rsid w:val="51473768"/>
    <w:rsid w:val="51521011"/>
    <w:rsid w:val="515A127F"/>
    <w:rsid w:val="51AD67FC"/>
    <w:rsid w:val="51D9059C"/>
    <w:rsid w:val="51FF6A04"/>
    <w:rsid w:val="520B4AC4"/>
    <w:rsid w:val="521725C1"/>
    <w:rsid w:val="521D1287"/>
    <w:rsid w:val="522A3C4E"/>
    <w:rsid w:val="523A1823"/>
    <w:rsid w:val="52450E83"/>
    <w:rsid w:val="52535831"/>
    <w:rsid w:val="52877EAA"/>
    <w:rsid w:val="52957B18"/>
    <w:rsid w:val="529E2318"/>
    <w:rsid w:val="52A55A18"/>
    <w:rsid w:val="52FB5CD2"/>
    <w:rsid w:val="532204BC"/>
    <w:rsid w:val="5332243D"/>
    <w:rsid w:val="534D2147"/>
    <w:rsid w:val="536C68B0"/>
    <w:rsid w:val="53D405E4"/>
    <w:rsid w:val="53ED1974"/>
    <w:rsid w:val="5443080D"/>
    <w:rsid w:val="544D0F18"/>
    <w:rsid w:val="546E02C5"/>
    <w:rsid w:val="546E66DD"/>
    <w:rsid w:val="5498564D"/>
    <w:rsid w:val="54E335D0"/>
    <w:rsid w:val="552914ED"/>
    <w:rsid w:val="552E1DE8"/>
    <w:rsid w:val="553416A2"/>
    <w:rsid w:val="555B08F3"/>
    <w:rsid w:val="55735B2B"/>
    <w:rsid w:val="55767B93"/>
    <w:rsid w:val="55A80594"/>
    <w:rsid w:val="55B1438B"/>
    <w:rsid w:val="55E550AA"/>
    <w:rsid w:val="55EB54D0"/>
    <w:rsid w:val="55F3456B"/>
    <w:rsid w:val="55F677C6"/>
    <w:rsid w:val="560441A7"/>
    <w:rsid w:val="561923A4"/>
    <w:rsid w:val="561F0D4F"/>
    <w:rsid w:val="56224A7B"/>
    <w:rsid w:val="562328D4"/>
    <w:rsid w:val="562948F0"/>
    <w:rsid w:val="562E27DB"/>
    <w:rsid w:val="564C14FB"/>
    <w:rsid w:val="565B0954"/>
    <w:rsid w:val="565D50B2"/>
    <w:rsid w:val="56735F5D"/>
    <w:rsid w:val="567569D4"/>
    <w:rsid w:val="568C442D"/>
    <w:rsid w:val="57192C1A"/>
    <w:rsid w:val="573B48A6"/>
    <w:rsid w:val="57553103"/>
    <w:rsid w:val="57681D8B"/>
    <w:rsid w:val="57701F60"/>
    <w:rsid w:val="5772209A"/>
    <w:rsid w:val="57770770"/>
    <w:rsid w:val="57A5067B"/>
    <w:rsid w:val="57CD07B0"/>
    <w:rsid w:val="57EF7DCD"/>
    <w:rsid w:val="58402E7F"/>
    <w:rsid w:val="58525432"/>
    <w:rsid w:val="58BA52B4"/>
    <w:rsid w:val="58E23B9C"/>
    <w:rsid w:val="58E635F0"/>
    <w:rsid w:val="58E66330"/>
    <w:rsid w:val="59274646"/>
    <w:rsid w:val="59664C46"/>
    <w:rsid w:val="597A11C9"/>
    <w:rsid w:val="59C672CD"/>
    <w:rsid w:val="59DF79E5"/>
    <w:rsid w:val="59F15F94"/>
    <w:rsid w:val="5A19036C"/>
    <w:rsid w:val="5A33241A"/>
    <w:rsid w:val="5A435C2F"/>
    <w:rsid w:val="5A6E7FB4"/>
    <w:rsid w:val="5A7960F4"/>
    <w:rsid w:val="5A9F1880"/>
    <w:rsid w:val="5AB3402A"/>
    <w:rsid w:val="5AC4757E"/>
    <w:rsid w:val="5AF12626"/>
    <w:rsid w:val="5B00614E"/>
    <w:rsid w:val="5B157626"/>
    <w:rsid w:val="5B161CF5"/>
    <w:rsid w:val="5B1C44A5"/>
    <w:rsid w:val="5BB84A69"/>
    <w:rsid w:val="5BD1633B"/>
    <w:rsid w:val="5C215BAF"/>
    <w:rsid w:val="5C3D507C"/>
    <w:rsid w:val="5C984DB6"/>
    <w:rsid w:val="5CB632A7"/>
    <w:rsid w:val="5CB876BF"/>
    <w:rsid w:val="5CC2775C"/>
    <w:rsid w:val="5CD1358A"/>
    <w:rsid w:val="5D332433"/>
    <w:rsid w:val="5D3834DB"/>
    <w:rsid w:val="5D6310C5"/>
    <w:rsid w:val="5D6B05F6"/>
    <w:rsid w:val="5D6C1457"/>
    <w:rsid w:val="5D796CCA"/>
    <w:rsid w:val="5DEA36CE"/>
    <w:rsid w:val="5E2D56E2"/>
    <w:rsid w:val="5E56213C"/>
    <w:rsid w:val="5E762147"/>
    <w:rsid w:val="5E7734DC"/>
    <w:rsid w:val="5E7D1DC4"/>
    <w:rsid w:val="5ED60F44"/>
    <w:rsid w:val="5EDF1C51"/>
    <w:rsid w:val="5EE7554D"/>
    <w:rsid w:val="5EEF4112"/>
    <w:rsid w:val="5F1452EB"/>
    <w:rsid w:val="5F2024BC"/>
    <w:rsid w:val="5F34068E"/>
    <w:rsid w:val="5FA11098"/>
    <w:rsid w:val="5FAD3283"/>
    <w:rsid w:val="5FC022C8"/>
    <w:rsid w:val="5FD05598"/>
    <w:rsid w:val="600C5E87"/>
    <w:rsid w:val="600C6F69"/>
    <w:rsid w:val="601363B7"/>
    <w:rsid w:val="601B0049"/>
    <w:rsid w:val="601D7464"/>
    <w:rsid w:val="6027169C"/>
    <w:rsid w:val="603F7723"/>
    <w:rsid w:val="60607F2B"/>
    <w:rsid w:val="609A1EB5"/>
    <w:rsid w:val="609A615F"/>
    <w:rsid w:val="60B0327F"/>
    <w:rsid w:val="60ED5906"/>
    <w:rsid w:val="60FC3003"/>
    <w:rsid w:val="612111B1"/>
    <w:rsid w:val="61373002"/>
    <w:rsid w:val="613C238E"/>
    <w:rsid w:val="613E7627"/>
    <w:rsid w:val="61655B3C"/>
    <w:rsid w:val="61674430"/>
    <w:rsid w:val="61794A7E"/>
    <w:rsid w:val="618D4835"/>
    <w:rsid w:val="61AF5DA9"/>
    <w:rsid w:val="61B40D69"/>
    <w:rsid w:val="61E3003C"/>
    <w:rsid w:val="61F908AA"/>
    <w:rsid w:val="621D60B5"/>
    <w:rsid w:val="62463EAF"/>
    <w:rsid w:val="62563CF6"/>
    <w:rsid w:val="626E360C"/>
    <w:rsid w:val="62864DD1"/>
    <w:rsid w:val="62BF13C0"/>
    <w:rsid w:val="62C64CE3"/>
    <w:rsid w:val="62D17E32"/>
    <w:rsid w:val="63087DED"/>
    <w:rsid w:val="6311541F"/>
    <w:rsid w:val="63125BA6"/>
    <w:rsid w:val="631877CD"/>
    <w:rsid w:val="634D5949"/>
    <w:rsid w:val="63733BAC"/>
    <w:rsid w:val="637F3610"/>
    <w:rsid w:val="638674BB"/>
    <w:rsid w:val="639D7490"/>
    <w:rsid w:val="63AC2B84"/>
    <w:rsid w:val="63C04DBB"/>
    <w:rsid w:val="64195B09"/>
    <w:rsid w:val="64266B7F"/>
    <w:rsid w:val="642E37DE"/>
    <w:rsid w:val="643F7CC1"/>
    <w:rsid w:val="644571B0"/>
    <w:rsid w:val="64491311"/>
    <w:rsid w:val="64536AE8"/>
    <w:rsid w:val="645C2587"/>
    <w:rsid w:val="64851FD7"/>
    <w:rsid w:val="649D3394"/>
    <w:rsid w:val="6527773F"/>
    <w:rsid w:val="6532656E"/>
    <w:rsid w:val="653F29E0"/>
    <w:rsid w:val="655B4EE3"/>
    <w:rsid w:val="6589334C"/>
    <w:rsid w:val="659B2AF8"/>
    <w:rsid w:val="65AF48D6"/>
    <w:rsid w:val="65B1678B"/>
    <w:rsid w:val="65C321A3"/>
    <w:rsid w:val="661F7E3D"/>
    <w:rsid w:val="6625263F"/>
    <w:rsid w:val="66373CEB"/>
    <w:rsid w:val="66413E29"/>
    <w:rsid w:val="664A7A69"/>
    <w:rsid w:val="664C7AD0"/>
    <w:rsid w:val="665C16B4"/>
    <w:rsid w:val="66643EEF"/>
    <w:rsid w:val="66880D2D"/>
    <w:rsid w:val="66A65459"/>
    <w:rsid w:val="66A86405"/>
    <w:rsid w:val="66BC24BC"/>
    <w:rsid w:val="66C46EA8"/>
    <w:rsid w:val="66D107C6"/>
    <w:rsid w:val="66F87369"/>
    <w:rsid w:val="672B2AF4"/>
    <w:rsid w:val="675A5933"/>
    <w:rsid w:val="67931A11"/>
    <w:rsid w:val="679E2209"/>
    <w:rsid w:val="67F6200D"/>
    <w:rsid w:val="685A1834"/>
    <w:rsid w:val="686909FE"/>
    <w:rsid w:val="686D24B7"/>
    <w:rsid w:val="686E28A5"/>
    <w:rsid w:val="68BE109E"/>
    <w:rsid w:val="68D365BE"/>
    <w:rsid w:val="68ED56F9"/>
    <w:rsid w:val="695F17F4"/>
    <w:rsid w:val="6978619E"/>
    <w:rsid w:val="69956533"/>
    <w:rsid w:val="69B7686A"/>
    <w:rsid w:val="69CE65D5"/>
    <w:rsid w:val="69DC04BA"/>
    <w:rsid w:val="69F1797B"/>
    <w:rsid w:val="69F73693"/>
    <w:rsid w:val="69FA2C05"/>
    <w:rsid w:val="6A0C2905"/>
    <w:rsid w:val="6A28620A"/>
    <w:rsid w:val="6A4A1A4B"/>
    <w:rsid w:val="6A680CB4"/>
    <w:rsid w:val="6A895852"/>
    <w:rsid w:val="6A9366A6"/>
    <w:rsid w:val="6AC11411"/>
    <w:rsid w:val="6AF82514"/>
    <w:rsid w:val="6B0D4D34"/>
    <w:rsid w:val="6B652A79"/>
    <w:rsid w:val="6B835F23"/>
    <w:rsid w:val="6BCB11D0"/>
    <w:rsid w:val="6BF80282"/>
    <w:rsid w:val="6BF90550"/>
    <w:rsid w:val="6C074421"/>
    <w:rsid w:val="6C2C105C"/>
    <w:rsid w:val="6C314414"/>
    <w:rsid w:val="6C447C0E"/>
    <w:rsid w:val="6C50431D"/>
    <w:rsid w:val="6C671836"/>
    <w:rsid w:val="6C793AD4"/>
    <w:rsid w:val="6C7F64CB"/>
    <w:rsid w:val="6C8D5649"/>
    <w:rsid w:val="6C99531B"/>
    <w:rsid w:val="6CB70771"/>
    <w:rsid w:val="6CC00B39"/>
    <w:rsid w:val="6CCF09C1"/>
    <w:rsid w:val="6CD25D40"/>
    <w:rsid w:val="6CF125AB"/>
    <w:rsid w:val="6D043232"/>
    <w:rsid w:val="6D3C5A82"/>
    <w:rsid w:val="6D4F58D2"/>
    <w:rsid w:val="6D675B5E"/>
    <w:rsid w:val="6D7B2342"/>
    <w:rsid w:val="6D9B49E3"/>
    <w:rsid w:val="6DA8526C"/>
    <w:rsid w:val="6DB70237"/>
    <w:rsid w:val="6DF22FA7"/>
    <w:rsid w:val="6DF878D2"/>
    <w:rsid w:val="6E1626B6"/>
    <w:rsid w:val="6E6E727E"/>
    <w:rsid w:val="6E817DA2"/>
    <w:rsid w:val="6E851C97"/>
    <w:rsid w:val="6E872CFF"/>
    <w:rsid w:val="6EB942BD"/>
    <w:rsid w:val="6EDD43E3"/>
    <w:rsid w:val="6F2F71CB"/>
    <w:rsid w:val="6F527881"/>
    <w:rsid w:val="6F73043B"/>
    <w:rsid w:val="6F7F678B"/>
    <w:rsid w:val="6F806A78"/>
    <w:rsid w:val="6FD13FFF"/>
    <w:rsid w:val="6FEF04EA"/>
    <w:rsid w:val="700258CB"/>
    <w:rsid w:val="70193087"/>
    <w:rsid w:val="70451230"/>
    <w:rsid w:val="705364B2"/>
    <w:rsid w:val="705C1C45"/>
    <w:rsid w:val="7063559F"/>
    <w:rsid w:val="70B07941"/>
    <w:rsid w:val="70E46CF0"/>
    <w:rsid w:val="70F46F5F"/>
    <w:rsid w:val="70F74859"/>
    <w:rsid w:val="713835D6"/>
    <w:rsid w:val="71764733"/>
    <w:rsid w:val="719738E4"/>
    <w:rsid w:val="719D57D2"/>
    <w:rsid w:val="71AB04ED"/>
    <w:rsid w:val="71B1181A"/>
    <w:rsid w:val="71C3307F"/>
    <w:rsid w:val="71EA0F13"/>
    <w:rsid w:val="71F34A63"/>
    <w:rsid w:val="71FF4214"/>
    <w:rsid w:val="72050F65"/>
    <w:rsid w:val="72140FD6"/>
    <w:rsid w:val="72360B5C"/>
    <w:rsid w:val="724B73AE"/>
    <w:rsid w:val="72595636"/>
    <w:rsid w:val="72636ACB"/>
    <w:rsid w:val="72687616"/>
    <w:rsid w:val="72E20AD3"/>
    <w:rsid w:val="72FC7004"/>
    <w:rsid w:val="72FD07A2"/>
    <w:rsid w:val="72FD17EB"/>
    <w:rsid w:val="730658A1"/>
    <w:rsid w:val="73216974"/>
    <w:rsid w:val="732461C7"/>
    <w:rsid w:val="73474398"/>
    <w:rsid w:val="7355062B"/>
    <w:rsid w:val="738E5067"/>
    <w:rsid w:val="73976F6E"/>
    <w:rsid w:val="73AD45CA"/>
    <w:rsid w:val="73CC64F4"/>
    <w:rsid w:val="73DA7046"/>
    <w:rsid w:val="73DC5438"/>
    <w:rsid w:val="73FC7F4B"/>
    <w:rsid w:val="740356EE"/>
    <w:rsid w:val="740D5D98"/>
    <w:rsid w:val="7426104D"/>
    <w:rsid w:val="7429723E"/>
    <w:rsid w:val="74812D72"/>
    <w:rsid w:val="748F68F2"/>
    <w:rsid w:val="74B13C76"/>
    <w:rsid w:val="74C04E15"/>
    <w:rsid w:val="74EB71A2"/>
    <w:rsid w:val="753D0601"/>
    <w:rsid w:val="754D24F7"/>
    <w:rsid w:val="75A736B7"/>
    <w:rsid w:val="75D105E5"/>
    <w:rsid w:val="75D733B1"/>
    <w:rsid w:val="75F67229"/>
    <w:rsid w:val="75FD3D03"/>
    <w:rsid w:val="75FE2FE4"/>
    <w:rsid w:val="761E1692"/>
    <w:rsid w:val="765451DF"/>
    <w:rsid w:val="768C0C69"/>
    <w:rsid w:val="76951892"/>
    <w:rsid w:val="76E8457D"/>
    <w:rsid w:val="76F16798"/>
    <w:rsid w:val="76F211D6"/>
    <w:rsid w:val="76F45002"/>
    <w:rsid w:val="7716563E"/>
    <w:rsid w:val="771B3E92"/>
    <w:rsid w:val="77257F51"/>
    <w:rsid w:val="77865ABE"/>
    <w:rsid w:val="779301D4"/>
    <w:rsid w:val="7793201A"/>
    <w:rsid w:val="77FA6D4C"/>
    <w:rsid w:val="7803662B"/>
    <w:rsid w:val="781D30D1"/>
    <w:rsid w:val="78287917"/>
    <w:rsid w:val="783A16F2"/>
    <w:rsid w:val="78493ADE"/>
    <w:rsid w:val="78516DAC"/>
    <w:rsid w:val="78587AA0"/>
    <w:rsid w:val="78AA00E8"/>
    <w:rsid w:val="78C61C68"/>
    <w:rsid w:val="78E94B01"/>
    <w:rsid w:val="78F06843"/>
    <w:rsid w:val="792D7B2F"/>
    <w:rsid w:val="794D320F"/>
    <w:rsid w:val="79761E77"/>
    <w:rsid w:val="79AC331B"/>
    <w:rsid w:val="79B84414"/>
    <w:rsid w:val="79BE64B8"/>
    <w:rsid w:val="79DB7C29"/>
    <w:rsid w:val="79EC4872"/>
    <w:rsid w:val="7A22359A"/>
    <w:rsid w:val="7A4B2973"/>
    <w:rsid w:val="7A6325BC"/>
    <w:rsid w:val="7A8A7190"/>
    <w:rsid w:val="7AB57A6E"/>
    <w:rsid w:val="7AC11632"/>
    <w:rsid w:val="7AE0143D"/>
    <w:rsid w:val="7AEB368F"/>
    <w:rsid w:val="7B1D233E"/>
    <w:rsid w:val="7B427EE6"/>
    <w:rsid w:val="7B53208F"/>
    <w:rsid w:val="7B867E41"/>
    <w:rsid w:val="7B905839"/>
    <w:rsid w:val="7BB35E76"/>
    <w:rsid w:val="7BCE1A96"/>
    <w:rsid w:val="7BD33E23"/>
    <w:rsid w:val="7BD719D9"/>
    <w:rsid w:val="7BDC72C6"/>
    <w:rsid w:val="7BE357FE"/>
    <w:rsid w:val="7BF4151D"/>
    <w:rsid w:val="7BFB4DCC"/>
    <w:rsid w:val="7C180276"/>
    <w:rsid w:val="7C1D25DF"/>
    <w:rsid w:val="7C6A07CA"/>
    <w:rsid w:val="7C743F4E"/>
    <w:rsid w:val="7C79557C"/>
    <w:rsid w:val="7C8204E9"/>
    <w:rsid w:val="7CAE2911"/>
    <w:rsid w:val="7CC44AEA"/>
    <w:rsid w:val="7CD7627E"/>
    <w:rsid w:val="7CE811FB"/>
    <w:rsid w:val="7D142A3E"/>
    <w:rsid w:val="7D341FBD"/>
    <w:rsid w:val="7D6307A9"/>
    <w:rsid w:val="7D6A54B5"/>
    <w:rsid w:val="7D8F0ED7"/>
    <w:rsid w:val="7DFD5140"/>
    <w:rsid w:val="7E295DAB"/>
    <w:rsid w:val="7E4C6BD7"/>
    <w:rsid w:val="7E4F4D3E"/>
    <w:rsid w:val="7E825360"/>
    <w:rsid w:val="7E832322"/>
    <w:rsid w:val="7E8964FB"/>
    <w:rsid w:val="7E8E5A6F"/>
    <w:rsid w:val="7E9D4FE2"/>
    <w:rsid w:val="7EDC2EBA"/>
    <w:rsid w:val="7F023B57"/>
    <w:rsid w:val="7F6418B1"/>
    <w:rsid w:val="7FBD2408"/>
    <w:rsid w:val="7FE24376"/>
    <w:rsid w:val="7FE31753"/>
    <w:rsid w:val="7FF65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
    <w:pPr>
      <w:keepNext/>
      <w:keepLines/>
      <w:spacing w:line="560" w:lineRule="exact"/>
      <w:ind w:firstLine="200" w:firstLineChars="200"/>
      <w:jc w:val="left"/>
      <w:outlineLvl w:val="0"/>
    </w:pPr>
    <w:rPr>
      <w:rFonts w:eastAsia="黑体"/>
      <w:b/>
      <w:bCs/>
      <w:kern w:val="44"/>
      <w:sz w:val="32"/>
      <w:szCs w:val="44"/>
    </w:rPr>
  </w:style>
  <w:style w:type="paragraph" w:styleId="5">
    <w:name w:val="heading 2"/>
    <w:basedOn w:val="6"/>
    <w:next w:val="1"/>
    <w:unhideWhenUsed/>
    <w:qFormat/>
    <w:uiPriority w:val="9"/>
    <w:pPr>
      <w:keepNext/>
      <w:keepLines/>
      <w:spacing w:line="560" w:lineRule="exact"/>
      <w:ind w:firstLine="880" w:firstLineChars="200"/>
      <w:outlineLvl w:val="1"/>
    </w:pPr>
    <w:rPr>
      <w:rFonts w:ascii="Times New Roman" w:hAnsi="Times New Roman" w:eastAsia="楷体" w:cstheme="majorBidi"/>
      <w:b/>
      <w:bCs/>
    </w:rPr>
  </w:style>
  <w:style w:type="paragraph" w:styleId="7">
    <w:name w:val="heading 3"/>
    <w:basedOn w:val="1"/>
    <w:next w:val="1"/>
    <w:unhideWhenUsed/>
    <w:qFormat/>
    <w:uiPriority w:val="0"/>
    <w:pPr>
      <w:keepNext/>
      <w:keepLines/>
      <w:spacing w:beforeLines="0" w:beforeAutospacing="0" w:afterLines="0" w:afterAutospacing="0" w:line="560" w:lineRule="exact"/>
      <w:ind w:firstLine="880" w:firstLineChars="200"/>
      <w:outlineLvl w:val="2"/>
    </w:pPr>
    <w:rPr>
      <w:rFonts w:ascii="Times New Roman" w:hAnsi="Times New Roman" w:eastAsia="仿宋"/>
      <w:b/>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3">
    <w:name w:val="Subtitle"/>
    <w:basedOn w:val="1"/>
    <w:next w:val="1"/>
    <w:qFormat/>
    <w:uiPriority w:val="0"/>
    <w:pPr>
      <w:widowControl/>
      <w:wordWrap w:val="0"/>
      <w:spacing w:after="60"/>
      <w:jc w:val="center"/>
    </w:pPr>
    <w:rPr>
      <w:sz w:val="24"/>
    </w:rPr>
  </w:style>
  <w:style w:type="paragraph" w:customStyle="1" w:styleId="6">
    <w:name w:val="闻政正文"/>
    <w:basedOn w:val="1"/>
    <w:link w:val="28"/>
    <w:qFormat/>
    <w:uiPriority w:val="0"/>
    <w:pPr>
      <w:spacing w:line="560" w:lineRule="exact"/>
      <w:ind w:firstLine="560" w:firstLineChars="200"/>
    </w:pPr>
    <w:rPr>
      <w:rFonts w:ascii="Times New Roman" w:hAnsi="Times New Roman" w:eastAsia="仿宋" w:cstheme="minorBidi"/>
      <w:sz w:val="32"/>
      <w:szCs w:val="32"/>
    </w:rPr>
  </w:style>
  <w:style w:type="paragraph" w:styleId="8">
    <w:name w:val="annotation text"/>
    <w:basedOn w:val="1"/>
    <w:qFormat/>
    <w:uiPriority w:val="0"/>
    <w:pPr>
      <w:jc w:val="left"/>
    </w:pPr>
  </w:style>
  <w:style w:type="paragraph" w:styleId="9">
    <w:name w:val="Body Text"/>
    <w:basedOn w:val="1"/>
    <w:next w:val="10"/>
    <w:unhideWhenUsed/>
    <w:qFormat/>
    <w:uiPriority w:val="99"/>
    <w:pPr>
      <w:spacing w:after="120"/>
    </w:pPr>
  </w:style>
  <w:style w:type="paragraph" w:styleId="10">
    <w:name w:val="Body Text 2"/>
    <w:basedOn w:val="1"/>
    <w:next w:val="9"/>
    <w:unhideWhenUsed/>
    <w:qFormat/>
    <w:uiPriority w:val="99"/>
    <w:pPr>
      <w:widowControl/>
      <w:numPr>
        <w:ilvl w:val="0"/>
        <w:numId w:val="1"/>
      </w:numPr>
      <w:spacing w:before="156" w:beforeLines="50" w:line="336" w:lineRule="auto"/>
      <w:ind w:left="0" w:firstLine="0"/>
    </w:pPr>
    <w:rPr>
      <w:rFonts w:ascii="Times New Roman" w:hAnsi="Times New Roman" w:eastAsia="黑体"/>
      <w:szCs w:val="20"/>
    </w:rPr>
  </w:style>
  <w:style w:type="paragraph" w:styleId="11">
    <w:name w:val="Body Text Indent"/>
    <w:basedOn w:val="1"/>
    <w:unhideWhenUsed/>
    <w:qFormat/>
    <w:uiPriority w:val="99"/>
    <w:pPr>
      <w:spacing w:line="560" w:lineRule="exact"/>
      <w:ind w:firstLine="567"/>
    </w:pPr>
    <w:rPr>
      <w:rFonts w:cs="Times New Roman"/>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spacing w:line="500" w:lineRule="exact"/>
    </w:pPr>
    <w:rPr>
      <w:rFonts w:ascii="Times New Roman" w:hAnsi="Times New Roman" w:eastAsia="仿宋_GB2312"/>
      <w:b/>
      <w:sz w:val="28"/>
      <w:szCs w:val="28"/>
    </w:rPr>
  </w:style>
  <w:style w:type="paragraph" w:styleId="15">
    <w:name w:val="footnote text"/>
    <w:basedOn w:val="1"/>
    <w:semiHidden/>
    <w:unhideWhenUsed/>
    <w:qFormat/>
    <w:uiPriority w:val="99"/>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Body Text First Indent"/>
    <w:basedOn w:val="9"/>
    <w:next w:val="18"/>
    <w:unhideWhenUsed/>
    <w:qFormat/>
    <w:uiPriority w:val="99"/>
    <w:pPr>
      <w:ind w:firstLine="976" w:firstLineChars="200"/>
    </w:pPr>
  </w:style>
  <w:style w:type="paragraph" w:styleId="18">
    <w:name w:val="Body Text First Indent 2"/>
    <w:basedOn w:val="11"/>
    <w:unhideWhenUsed/>
    <w:qFormat/>
    <w:uiPriority w:val="99"/>
    <w:pPr>
      <w:spacing w:after="120" w:line="360" w:lineRule="auto"/>
      <w:ind w:left="420" w:leftChars="200" w:firstLine="420"/>
    </w:pPr>
    <w:rPr>
      <w:szCs w:val="22"/>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0"/>
    <w:rPr>
      <w:b/>
    </w:rPr>
  </w:style>
  <w:style w:type="character" w:styleId="23">
    <w:name w:val="Emphasis"/>
    <w:basedOn w:val="21"/>
    <w:qFormat/>
    <w:uiPriority w:val="20"/>
    <w:rPr>
      <w:i/>
      <w:iCs/>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footnote reference"/>
    <w:basedOn w:val="21"/>
    <w:semiHidden/>
    <w:unhideWhenUsed/>
    <w:qFormat/>
    <w:uiPriority w:val="99"/>
    <w:rPr>
      <w:vertAlign w:val="superscript"/>
    </w:rPr>
  </w:style>
  <w:style w:type="paragraph" w:customStyle="1" w:styleId="26">
    <w:name w:val="正文文本 21"/>
    <w:qFormat/>
    <w:uiPriority w:val="0"/>
    <w:pPr>
      <w:widowControl w:val="0"/>
      <w:spacing w:line="480" w:lineRule="auto"/>
      <w:jc w:val="both"/>
    </w:pPr>
    <w:rPr>
      <w:rFonts w:ascii="Calibri" w:hAnsi="Calibri" w:eastAsia="宋体" w:cs="Times New Roman"/>
      <w:kern w:val="2"/>
      <w:sz w:val="21"/>
      <w:szCs w:val="24"/>
      <w:lang w:val="en-US" w:eastAsia="zh-CN" w:bidi="ar-SA"/>
    </w:rPr>
  </w:style>
  <w:style w:type="table" w:customStyle="1" w:styleId="27">
    <w:name w:val="wz表内容1"/>
    <w:basedOn w:val="19"/>
    <w:qFormat/>
    <w:uiPriority w:val="99"/>
    <w:pPr>
      <w:spacing w:line="300" w:lineRule="exact"/>
      <w:jc w:val="center"/>
    </w:pPr>
    <w:rPr>
      <w:rFonts w:ascii="Times New Roman" w:hAnsi="Times New Roman" w:eastAsia="仿宋_GB231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customStyle="1" w:styleId="28">
    <w:name w:val="闻政正文 Char"/>
    <w:link w:val="6"/>
    <w:qFormat/>
    <w:uiPriority w:val="0"/>
    <w:rPr>
      <w:rFonts w:ascii="Times New Roman" w:hAnsi="Times New Roman" w:eastAsia="仿宋" w:cstheme="minorBidi"/>
      <w:sz w:val="32"/>
      <w:szCs w:val="32"/>
    </w:rPr>
  </w:style>
  <w:style w:type="paragraph" w:customStyle="1" w:styleId="29">
    <w:name w:val="闻政标题4"/>
    <w:basedOn w:val="5"/>
    <w:qFormat/>
    <w:uiPriority w:val="0"/>
    <w:pPr>
      <w:spacing w:before="120" w:after="60" w:line="500" w:lineRule="exact"/>
      <w:ind w:firstLine="200" w:firstLineChars="200"/>
      <w:jc w:val="left"/>
    </w:pPr>
    <w:rPr>
      <w:rFonts w:ascii="Times New Roman" w:hAnsi="Times New Roman" w:eastAsia="仿宋_GB2312" w:cs="Times New Roman"/>
      <w:kern w:val="0"/>
      <w:sz w:val="28"/>
    </w:rPr>
  </w:style>
  <w:style w:type="paragraph" w:customStyle="1" w:styleId="30">
    <w:name w:val="闻政标题5"/>
    <w:basedOn w:val="1"/>
    <w:qFormat/>
    <w:uiPriority w:val="0"/>
    <w:pPr>
      <w:spacing w:before="120" w:after="60" w:line="500" w:lineRule="exact"/>
      <w:ind w:firstLine="200" w:firstLineChars="200"/>
    </w:pPr>
    <w:rPr>
      <w:rFonts w:ascii="Times New Roman" w:hAnsi="Times New Roman" w:eastAsia="仿宋_GB2312"/>
      <w:b/>
      <w:kern w:val="0"/>
      <w:sz w:val="28"/>
      <w:szCs w:val="28"/>
    </w:rPr>
  </w:style>
  <w:style w:type="paragraph" w:customStyle="1" w:styleId="31">
    <w:name w:val="闻政表"/>
    <w:basedOn w:val="1"/>
    <w:qFormat/>
    <w:uiPriority w:val="0"/>
    <w:pPr>
      <w:spacing w:before="60" w:after="60"/>
      <w:jc w:val="center"/>
    </w:pPr>
    <w:rPr>
      <w:rFonts w:ascii="Times New Roman" w:hAnsi="Times New Roman" w:eastAsia="仿宋_GB2312"/>
      <w:b/>
      <w:kern w:val="0"/>
      <w:sz w:val="24"/>
      <w:szCs w:val="28"/>
      <w:lang w:val="zh-CN"/>
    </w:rPr>
  </w:style>
  <w:style w:type="character" w:customStyle="1" w:styleId="32">
    <w:name w:val="font141"/>
    <w:basedOn w:val="21"/>
    <w:qFormat/>
    <w:uiPriority w:val="0"/>
    <w:rPr>
      <w:rFonts w:hint="eastAsia" w:ascii="仿宋_GB2312" w:eastAsia="仿宋_GB2312" w:cs="仿宋_GB2312"/>
      <w:color w:val="000000"/>
      <w:sz w:val="20"/>
      <w:szCs w:val="20"/>
      <w:u w:val="none"/>
    </w:rPr>
  </w:style>
  <w:style w:type="character" w:customStyle="1" w:styleId="33">
    <w:name w:val="font101"/>
    <w:basedOn w:val="21"/>
    <w:qFormat/>
    <w:uiPriority w:val="0"/>
    <w:rPr>
      <w:rFonts w:hint="eastAsia" w:ascii="仿宋_GB2312" w:eastAsia="仿宋_GB2312" w:cs="仿宋_GB2312"/>
      <w:color w:val="000000"/>
      <w:sz w:val="22"/>
      <w:szCs w:val="22"/>
      <w:u w:val="none"/>
    </w:rPr>
  </w:style>
  <w:style w:type="character" w:customStyle="1" w:styleId="34">
    <w:name w:val="font131"/>
    <w:basedOn w:val="21"/>
    <w:qFormat/>
    <w:uiPriority w:val="0"/>
    <w:rPr>
      <w:rFonts w:hint="eastAsia" w:ascii="仿宋_GB2312" w:eastAsia="仿宋_GB2312" w:cs="仿宋_GB2312"/>
      <w:color w:val="000000"/>
      <w:sz w:val="20"/>
      <w:szCs w:val="20"/>
      <w:u w:val="none"/>
    </w:rPr>
  </w:style>
  <w:style w:type="character" w:customStyle="1" w:styleId="35">
    <w:name w:val="font41"/>
    <w:basedOn w:val="21"/>
    <w:qFormat/>
    <w:uiPriority w:val="0"/>
    <w:rPr>
      <w:rFonts w:hint="default" w:ascii="Times New Roman" w:hAnsi="Times New Roman" w:cs="Times New Roman"/>
      <w:color w:val="000000"/>
      <w:sz w:val="20"/>
      <w:szCs w:val="20"/>
      <w:u w:val="none"/>
    </w:rPr>
  </w:style>
  <w:style w:type="character" w:customStyle="1" w:styleId="36">
    <w:name w:val="font112"/>
    <w:basedOn w:val="21"/>
    <w:qFormat/>
    <w:uiPriority w:val="0"/>
    <w:rPr>
      <w:rFonts w:hint="eastAsia" w:ascii="仿宋_GB2312" w:eastAsia="仿宋_GB2312" w:cs="仿宋_GB2312"/>
      <w:color w:val="000000"/>
      <w:sz w:val="22"/>
      <w:szCs w:val="22"/>
      <w:u w:val="none"/>
    </w:rPr>
  </w:style>
  <w:style w:type="character" w:customStyle="1" w:styleId="37">
    <w:name w:val="font31"/>
    <w:basedOn w:val="21"/>
    <w:qFormat/>
    <w:uiPriority w:val="0"/>
    <w:rPr>
      <w:rFonts w:hint="default" w:ascii="Times New Roman" w:hAnsi="Times New Roman" w:cs="Times New Roman"/>
      <w:color w:val="000000"/>
      <w:sz w:val="20"/>
      <w:szCs w:val="20"/>
      <w:u w:val="none"/>
    </w:rPr>
  </w:style>
  <w:style w:type="character" w:customStyle="1" w:styleId="38">
    <w:name w:val="font11"/>
    <w:basedOn w:val="21"/>
    <w:qFormat/>
    <w:uiPriority w:val="0"/>
    <w:rPr>
      <w:rFonts w:hint="default" w:ascii="Times New Roman" w:hAnsi="Times New Roman" w:cs="Times New Roman"/>
      <w:color w:val="000000"/>
      <w:sz w:val="22"/>
      <w:szCs w:val="22"/>
      <w:u w:val="none"/>
    </w:rPr>
  </w:style>
  <w:style w:type="character" w:customStyle="1" w:styleId="39">
    <w:name w:val="font51"/>
    <w:basedOn w:val="21"/>
    <w:qFormat/>
    <w:uiPriority w:val="0"/>
    <w:rPr>
      <w:rFonts w:hint="eastAsia" w:ascii="仿宋_GB2312" w:eastAsia="仿宋_GB2312" w:cs="仿宋_GB2312"/>
      <w:color w:val="000000"/>
      <w:sz w:val="22"/>
      <w:szCs w:val="22"/>
      <w:u w:val="none"/>
    </w:rPr>
  </w:style>
  <w:style w:type="character" w:customStyle="1" w:styleId="40">
    <w:name w:val="font61"/>
    <w:basedOn w:val="21"/>
    <w:qFormat/>
    <w:uiPriority w:val="0"/>
    <w:rPr>
      <w:rFonts w:hint="eastAsia" w:ascii="仿宋_GB2312" w:eastAsia="仿宋_GB2312" w:cs="仿宋_GB2312"/>
      <w:color w:val="000000"/>
      <w:sz w:val="22"/>
      <w:szCs w:val="22"/>
      <w:u w:val="none"/>
    </w:rPr>
  </w:style>
  <w:style w:type="character" w:customStyle="1" w:styleId="41">
    <w:name w:val="font01"/>
    <w:basedOn w:val="21"/>
    <w:qFormat/>
    <w:uiPriority w:val="0"/>
    <w:rPr>
      <w:rFonts w:hint="default" w:ascii="Times New Roman" w:hAnsi="Times New Roman" w:cs="Times New Roman"/>
      <w:color w:val="000000"/>
      <w:sz w:val="22"/>
      <w:szCs w:val="22"/>
      <w:u w:val="none"/>
    </w:rPr>
  </w:style>
  <w:style w:type="character" w:customStyle="1" w:styleId="42">
    <w:name w:val="font81"/>
    <w:basedOn w:val="21"/>
    <w:qFormat/>
    <w:uiPriority w:val="0"/>
    <w:rPr>
      <w:rFonts w:hint="eastAsia" w:ascii="仿宋_GB2312" w:eastAsia="仿宋_GB2312" w:cs="仿宋_GB2312"/>
      <w:color w:val="000000"/>
      <w:sz w:val="22"/>
      <w:szCs w:val="22"/>
      <w:u w:val="none"/>
    </w:rPr>
  </w:style>
  <w:style w:type="character" w:customStyle="1" w:styleId="43">
    <w:name w:val="font121"/>
    <w:basedOn w:val="21"/>
    <w:qFormat/>
    <w:uiPriority w:val="0"/>
    <w:rPr>
      <w:rFonts w:hint="default" w:ascii="Times New Roman" w:hAnsi="Times New Roman" w:cs="Times New Roman"/>
      <w:color w:val="000000"/>
      <w:sz w:val="22"/>
      <w:szCs w:val="22"/>
      <w:u w:val="none"/>
    </w:rPr>
  </w:style>
  <w:style w:type="character" w:customStyle="1" w:styleId="44">
    <w:name w:val="font71"/>
    <w:basedOn w:val="21"/>
    <w:qFormat/>
    <w:uiPriority w:val="0"/>
    <w:rPr>
      <w:rFonts w:hint="eastAsia" w:ascii="仿宋_GB2312" w:eastAsia="仿宋_GB2312" w:cs="仿宋_GB2312"/>
      <w:color w:val="000000"/>
      <w:sz w:val="22"/>
      <w:szCs w:val="22"/>
      <w:u w:val="none"/>
    </w:rPr>
  </w:style>
  <w:style w:type="character" w:customStyle="1" w:styleId="45">
    <w:name w:val="font91"/>
    <w:basedOn w:val="21"/>
    <w:qFormat/>
    <w:uiPriority w:val="0"/>
    <w:rPr>
      <w:rFonts w:hint="default" w:ascii="Times New Roman" w:hAnsi="Times New Roman" w:cs="Times New Roman"/>
      <w:color w:val="000000"/>
      <w:sz w:val="22"/>
      <w:szCs w:val="22"/>
      <w:u w:val="none"/>
    </w:rPr>
  </w:style>
  <w:style w:type="character" w:customStyle="1" w:styleId="46">
    <w:name w:val="font21"/>
    <w:basedOn w:val="21"/>
    <w:qFormat/>
    <w:uiPriority w:val="0"/>
    <w:rPr>
      <w:rFonts w:hint="eastAsia" w:ascii="仿宋_GB2312" w:eastAsia="仿宋_GB2312" w:cs="仿宋_GB2312"/>
      <w:b/>
      <w:color w:val="000000"/>
      <w:sz w:val="22"/>
      <w:szCs w:val="22"/>
      <w:u w:val="none"/>
    </w:rPr>
  </w:style>
  <w:style w:type="paragraph" w:customStyle="1" w:styleId="47">
    <w:name w:val="表格小字体"/>
    <w:basedOn w:val="6"/>
    <w:qFormat/>
    <w:uiPriority w:val="0"/>
    <w:pPr>
      <w:widowControl/>
      <w:spacing w:line="240" w:lineRule="auto"/>
      <w:ind w:firstLine="0" w:firstLineChars="0"/>
      <w:jc w:val="center"/>
      <w:textAlignment w:val="center"/>
    </w:pPr>
    <w:rPr>
      <w:rFonts w:hint="eastAsia" w:ascii="Times New Roman" w:hAnsi="Times New Roman" w:eastAsia="仿宋_GB2312" w:cs="Times New Roman"/>
      <w:bCs/>
      <w:color w:val="000000"/>
      <w:sz w:val="22"/>
      <w:u w:val="none"/>
      <w:lang w:bidi="ar"/>
    </w:rPr>
  </w:style>
  <w:style w:type="character" w:customStyle="1" w:styleId="48">
    <w:name w:val="font111"/>
    <w:basedOn w:val="21"/>
    <w:qFormat/>
    <w:uiPriority w:val="0"/>
    <w:rPr>
      <w:rFonts w:hint="eastAsia" w:ascii="仿宋_GB2312" w:eastAsia="仿宋_GB2312" w:cs="仿宋_GB2312"/>
      <w:color w:val="000000"/>
      <w:sz w:val="24"/>
      <w:szCs w:val="24"/>
      <w:u w:val="none"/>
    </w:rPr>
  </w:style>
  <w:style w:type="character" w:customStyle="1" w:styleId="49">
    <w:name w:val="font122"/>
    <w:basedOn w:val="21"/>
    <w:qFormat/>
    <w:uiPriority w:val="0"/>
    <w:rPr>
      <w:rFonts w:hint="eastAsia" w:ascii="仿宋_GB2312" w:eastAsia="仿宋_GB2312" w:cs="仿宋_GB2312"/>
      <w:color w:val="000000"/>
      <w:sz w:val="22"/>
      <w:szCs w:val="22"/>
      <w:u w:val="none"/>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安策正文"/>
    <w:basedOn w:val="1"/>
    <w:link w:val="53"/>
    <w:qFormat/>
    <w:uiPriority w:val="0"/>
    <w:pPr>
      <w:spacing w:line="560" w:lineRule="exact"/>
      <w:ind w:firstLine="640" w:firstLineChars="200"/>
    </w:pPr>
    <w:rPr>
      <w:rFonts w:ascii="Times New Roman" w:hAnsi="Times New Roman" w:eastAsia="仿宋"/>
      <w:sz w:val="32"/>
      <w:szCs w:val="32"/>
    </w:rPr>
  </w:style>
  <w:style w:type="character" w:customStyle="1" w:styleId="53">
    <w:name w:val="安策正文 Char"/>
    <w:link w:val="52"/>
    <w:qFormat/>
    <w:uiPriority w:val="0"/>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2020-10-30T02:56:00Z</dcterms:created>
  <dc:creator>Administrator</dc:creator>
  <cp:lastModifiedBy>李闪闪</cp:lastModifiedBy>
  <dcterms:modified xsi:type="dcterms:W3CDTF">2022-02-25T03:28:52Z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DDAC5FC24DE5431E9D5DC5CE93775BD7</vt:lpwstr>
  </property>
</Properties>
</file>