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pStyle w:val="2"/>
        <w:rPr>
          <w:rFonts w:hint="default" w:ascii="Times New Roman" w:hAnsi="Times New Roman" w:eastAsia="等线" w:cs="Times New Roman"/>
          <w:b/>
          <w:bCs/>
          <w:sz w:val="44"/>
          <w:szCs w:val="44"/>
        </w:rPr>
      </w:pPr>
    </w:p>
    <w:p>
      <w:pPr>
        <w:pStyle w:val="3"/>
        <w:rPr>
          <w:rFonts w:hint="default" w:ascii="Times New Roman" w:hAnsi="Times New Roman" w:eastAsia="方正小标宋简体" w:cs="Times New Roman"/>
          <w:sz w:val="44"/>
          <w:szCs w:val="44"/>
        </w:rPr>
      </w:pPr>
    </w:p>
    <w:p>
      <w:pPr>
        <w:widowControl/>
        <w:spacing w:before="120" w:after="120" w:line="500" w:lineRule="exact"/>
        <w:jc w:val="center"/>
        <w:rPr>
          <w:rFonts w:hint="default" w:ascii="Times New Roman" w:hAnsi="Times New Roman" w:eastAsia="方正小标宋简体" w:cs="Times New Roman"/>
          <w:b w:val="0"/>
          <w:kern w:val="0"/>
          <w:sz w:val="44"/>
          <w:szCs w:val="44"/>
          <w:lang w:bidi="en-US"/>
        </w:rPr>
      </w:pPr>
      <w:r>
        <w:rPr>
          <w:rFonts w:hint="eastAsia" w:ascii="Times New Roman" w:hAnsi="Times New Roman" w:eastAsia="方正小标宋简体" w:cs="Times New Roman"/>
          <w:b w:val="0"/>
          <w:bCs w:val="0"/>
          <w:sz w:val="44"/>
          <w:szCs w:val="44"/>
          <w:lang w:val="en-US" w:eastAsia="zh-CN"/>
        </w:rPr>
        <w:t>2020年马集镇刘大园村食用菌产业深加工项目</w:t>
      </w:r>
      <w:r>
        <w:rPr>
          <w:rFonts w:hint="default" w:ascii="Times New Roman" w:hAnsi="Times New Roman" w:eastAsia="方正小标宋简体" w:cs="Times New Roman"/>
          <w:b w:val="0"/>
          <w:bCs w:val="0"/>
          <w:sz w:val="44"/>
          <w:szCs w:val="44"/>
          <w:lang w:val="en-US" w:eastAsia="zh-CN"/>
        </w:rPr>
        <w:t>绩效评价报告</w:t>
      </w: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lang w:val="zh-CN" w:eastAsia="zh-CN" w:bidi="ar-SA"/>
        </w:rPr>
        <w:t>项目名称</w:t>
      </w:r>
      <w:r>
        <w:rPr>
          <w:rFonts w:hint="default" w:ascii="Times New Roman" w:hAnsi="Times New Roman" w:eastAsia="黑体" w:cs="Times New Roman"/>
          <w:color w:val="auto"/>
          <w:kern w:val="0"/>
          <w:sz w:val="28"/>
          <w:szCs w:val="28"/>
          <w:highlight w:val="none"/>
          <w:lang w:val="zh-CN" w:eastAsia="zh-CN" w:bidi="ar-SA"/>
        </w:rPr>
        <w:t>：</w:t>
      </w:r>
      <w:r>
        <w:rPr>
          <w:rFonts w:hint="default" w:ascii="Times New Roman" w:hAnsi="Times New Roman" w:eastAsia="黑体" w:cs="Times New Roman"/>
          <w:color w:val="auto"/>
          <w:kern w:val="0"/>
          <w:sz w:val="28"/>
          <w:szCs w:val="28"/>
          <w:highlight w:val="none"/>
          <w:lang w:val="en-US" w:eastAsia="zh-CN" w:bidi="ar-SA"/>
        </w:rPr>
        <w:t>2020年马集镇刘大园村食用菌产业</w:t>
      </w:r>
    </w:p>
    <w:p>
      <w:pPr>
        <w:widowControl w:val="0"/>
        <w:spacing w:before="120"/>
        <w:ind w:firstLine="2800" w:firstLineChars="10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深加工项目</w:t>
      </w:r>
    </w:p>
    <w:p>
      <w:pPr>
        <w:widowControl w:val="0"/>
        <w:spacing w:before="12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 xml:space="preserve">          主管部门：</w:t>
      </w:r>
      <w:r>
        <w:rPr>
          <w:rFonts w:hint="eastAsia" w:ascii="Times New Roman" w:hAnsi="Times New Roman" w:eastAsia="黑体" w:cs="Times New Roman"/>
          <w:color w:val="auto"/>
          <w:kern w:val="0"/>
          <w:sz w:val="28"/>
          <w:szCs w:val="28"/>
          <w:highlight w:val="none"/>
          <w:lang w:val="en-US" w:eastAsia="zh-CN" w:bidi="ar-SA"/>
        </w:rPr>
        <w:t>淮滨县农业农村局</w:t>
      </w: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zh-CN" w:eastAsia="zh-CN" w:bidi="ar-SA"/>
        </w:rPr>
        <w:t>委托部门：</w:t>
      </w:r>
      <w:r>
        <w:rPr>
          <w:rFonts w:hint="eastAsia" w:ascii="Times New Roman" w:hAnsi="Times New Roman" w:eastAsia="黑体" w:cs="Times New Roman"/>
          <w:color w:val="auto"/>
          <w:kern w:val="0"/>
          <w:sz w:val="28"/>
          <w:szCs w:val="28"/>
          <w:highlight w:val="none"/>
          <w:lang w:val="en-US" w:eastAsia="zh-CN" w:bidi="ar-SA"/>
        </w:rPr>
        <w:t>淮滨县</w:t>
      </w:r>
      <w:r>
        <w:rPr>
          <w:rFonts w:hint="default" w:ascii="Times New Roman" w:hAnsi="Times New Roman" w:eastAsia="黑体" w:cs="Times New Roman"/>
          <w:color w:val="auto"/>
          <w:kern w:val="0"/>
          <w:sz w:val="28"/>
          <w:szCs w:val="28"/>
          <w:highlight w:val="none"/>
          <w:lang w:val="en-US" w:eastAsia="zh-CN" w:bidi="ar-SA"/>
        </w:rPr>
        <w:t>财政局</w:t>
      </w:r>
    </w:p>
    <w:p>
      <w:pPr>
        <w:widowControl w:val="0"/>
        <w:spacing w:before="120"/>
        <w:ind w:firstLine="1400" w:firstLineChars="500"/>
        <w:jc w:val="left"/>
        <w:rPr>
          <w:rFonts w:hint="default" w:ascii="Times New Roman" w:hAnsi="Times New Roman" w:eastAsia="黑体" w:cs="Times New Roman"/>
          <w:color w:val="auto"/>
          <w:kern w:val="0"/>
          <w:sz w:val="28"/>
          <w:szCs w:val="28"/>
          <w:lang w:val="en-US" w:eastAsia="zh-CN" w:bidi="ar-SA"/>
        </w:rPr>
      </w:pPr>
      <w:r>
        <w:rPr>
          <w:rFonts w:hint="default" w:ascii="Times New Roman" w:hAnsi="Times New Roman" w:eastAsia="黑体" w:cs="Times New Roman"/>
          <w:color w:val="auto"/>
          <w:kern w:val="0"/>
          <w:sz w:val="28"/>
          <w:szCs w:val="28"/>
          <w:highlight w:val="none"/>
          <w:lang w:val="zh-CN" w:eastAsia="zh-CN" w:bidi="ar-SA"/>
        </w:rPr>
        <w:t>评价机构：</w:t>
      </w:r>
      <w:r>
        <w:rPr>
          <w:rFonts w:hint="default" w:ascii="Times New Roman" w:hAnsi="Times New Roman" w:eastAsia="黑体" w:cs="Times New Roman"/>
          <w:color w:val="auto"/>
          <w:kern w:val="0"/>
          <w:sz w:val="28"/>
          <w:szCs w:val="28"/>
          <w:highlight w:val="none"/>
          <w:lang w:val="en-US" w:eastAsia="zh-CN" w:bidi="ar-SA"/>
        </w:rPr>
        <w:t>河南安策绩效信</w:t>
      </w:r>
      <w:r>
        <w:rPr>
          <w:rFonts w:hint="default" w:ascii="Times New Roman" w:hAnsi="Times New Roman" w:eastAsia="黑体" w:cs="Times New Roman"/>
          <w:color w:val="auto"/>
          <w:kern w:val="0"/>
          <w:sz w:val="28"/>
          <w:szCs w:val="28"/>
          <w:lang w:val="en-US" w:eastAsia="zh-CN" w:bidi="ar-SA"/>
        </w:rPr>
        <w:t>息科技有限公司</w:t>
      </w:r>
    </w:p>
    <w:p>
      <w:pPr>
        <w:jc w:val="center"/>
        <w:rPr>
          <w:rFonts w:hint="default" w:ascii="Times New Roman" w:hAnsi="Times New Roman" w:eastAsia="宋体" w:cs="Times New Roman"/>
          <w:color w:val="auto"/>
          <w:kern w:val="0"/>
          <w:sz w:val="32"/>
          <w:szCs w:val="32"/>
          <w:lang w:val="en-US" w:eastAsia="zh-CN" w:bidi="ar-SA"/>
        </w:rPr>
      </w:pPr>
    </w:p>
    <w:p>
      <w:pPr>
        <w:widowControl w:val="0"/>
        <w:spacing w:before="120"/>
        <w:ind w:left="0" w:leftChars="0"/>
        <w:jc w:val="center"/>
        <w:rPr>
          <w:rFonts w:hint="default" w:ascii="Times New Roman" w:hAnsi="Times New Roman" w:eastAsia="黑体" w:cs="Times New Roman"/>
          <w:b/>
          <w:color w:val="auto"/>
          <w:kern w:val="0"/>
          <w:sz w:val="28"/>
          <w:szCs w:val="28"/>
          <w:highlight w:val="none"/>
          <w:lang w:val="zh-CN" w:eastAsia="zh-CN" w:bidi="ar-SA"/>
        </w:rPr>
      </w:pPr>
      <w:r>
        <w:rPr>
          <w:rFonts w:hint="default" w:ascii="Times New Roman" w:hAnsi="Times New Roman" w:eastAsia="黑体" w:cs="Times New Roman"/>
          <w:b/>
          <w:color w:val="auto"/>
          <w:kern w:val="0"/>
          <w:sz w:val="32"/>
          <w:szCs w:val="32"/>
          <w:highlight w:val="none"/>
          <w:lang w:val="en-US" w:eastAsia="zh-CN" w:bidi="ar-SA"/>
        </w:rPr>
        <w:t>202</w:t>
      </w:r>
      <w:r>
        <w:rPr>
          <w:rFonts w:hint="eastAsia" w:ascii="Times New Roman" w:hAnsi="Times New Roman" w:eastAsia="黑体" w:cs="Times New Roman"/>
          <w:b/>
          <w:color w:val="auto"/>
          <w:kern w:val="0"/>
          <w:sz w:val="32"/>
          <w:szCs w:val="32"/>
          <w:highlight w:val="none"/>
          <w:lang w:val="en-US" w:eastAsia="zh-CN" w:bidi="ar-SA"/>
        </w:rPr>
        <w:t>1</w:t>
      </w:r>
      <w:r>
        <w:rPr>
          <w:rFonts w:hint="default" w:ascii="Times New Roman" w:hAnsi="Times New Roman" w:eastAsia="黑体" w:cs="Times New Roman"/>
          <w:b/>
          <w:color w:val="auto"/>
          <w:kern w:val="0"/>
          <w:sz w:val="32"/>
          <w:szCs w:val="32"/>
          <w:highlight w:val="none"/>
          <w:lang w:val="zh-CN" w:eastAsia="zh-CN" w:bidi="ar-SA"/>
        </w:rPr>
        <w:t>年</w:t>
      </w:r>
      <w:r>
        <w:rPr>
          <w:rFonts w:hint="eastAsia" w:ascii="Times New Roman" w:hAnsi="Times New Roman" w:eastAsia="黑体" w:cs="Times New Roman"/>
          <w:b/>
          <w:color w:val="auto"/>
          <w:kern w:val="0"/>
          <w:sz w:val="32"/>
          <w:szCs w:val="32"/>
          <w:highlight w:val="none"/>
          <w:lang w:val="en-US" w:eastAsia="zh-CN" w:bidi="ar-SA"/>
        </w:rPr>
        <w:t>12</w:t>
      </w:r>
      <w:r>
        <w:rPr>
          <w:rFonts w:hint="default" w:ascii="Times New Roman" w:hAnsi="Times New Roman" w:eastAsia="黑体" w:cs="Times New Roman"/>
          <w:b/>
          <w:color w:val="auto"/>
          <w:kern w:val="0"/>
          <w:sz w:val="32"/>
          <w:szCs w:val="32"/>
          <w:highlight w:val="none"/>
          <w:lang w:val="zh-CN" w:eastAsia="zh-CN" w:bidi="ar-SA"/>
        </w:rPr>
        <w:t>月</w:t>
      </w: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2"/>
          <w:lang w:val="en-US" w:eastAsia="zh-CN" w:bidi="ar-SA"/>
        </w:rPr>
        <w:sectPr>
          <w:headerReference r:id="rId4" w:type="default"/>
          <w:footnotePr>
            <w:numFmt w:val="decimal"/>
            <w:numRestart w:val="eachPage"/>
          </w:footnotePr>
          <w:pgSz w:w="11906" w:h="16838"/>
          <w:pgMar w:top="1440" w:right="1797" w:bottom="1440" w:left="1797" w:header="851" w:footer="992" w:gutter="0"/>
          <w:cols w:space="425" w:num="1"/>
          <w:docGrid w:linePitch="312" w:charSpace="0"/>
        </w:sectPr>
      </w:pPr>
    </w:p>
    <w:sdt>
      <w:sdtPr>
        <w:rPr>
          <w:rFonts w:hint="eastAsia" w:ascii="黑体" w:hAnsi="黑体" w:eastAsia="黑体" w:cs="黑体"/>
          <w:color w:val="000000" w:themeColor="text1"/>
          <w:kern w:val="2"/>
          <w:sz w:val="32"/>
          <w:szCs w:val="32"/>
          <w:lang w:val="en-US" w:eastAsia="zh-CN" w:bidi="ar-SA"/>
          <w14:textFill>
            <w14:solidFill>
              <w14:schemeClr w14:val="tx1"/>
            </w14:solidFill>
          </w14:textFill>
        </w:rPr>
        <w:id w:val="147467125"/>
        <w15:color w:val="DBDBDB"/>
        <w:docPartObj>
          <w:docPartGallery w:val="Table of Contents"/>
          <w:docPartUnique/>
        </w:docPartObj>
      </w:sdtPr>
      <w:sdtEndPr>
        <w:rPr>
          <w:rFonts w:hint="eastAsia" w:ascii="黑体" w:hAnsi="黑体" w:eastAsia="黑体" w:cs="黑体"/>
          <w:b/>
          <w:color w:val="FF0000"/>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000000" w:themeColor="text1"/>
              <w:sz w:val="32"/>
              <w:szCs w:val="32"/>
              <w14:textFill>
                <w14:solidFill>
                  <w14:schemeClr w14:val="tx1"/>
                </w14:solidFill>
              </w14:textFill>
            </w:rPr>
          </w:pPr>
          <w:bookmarkStart w:id="0" w:name="_Toc30026"/>
          <w:bookmarkStart w:id="1" w:name="_Toc28631"/>
          <w:r>
            <w:rPr>
              <w:rFonts w:hint="eastAsia" w:ascii="黑体" w:hAnsi="黑体" w:eastAsia="黑体" w:cs="黑体"/>
              <w:color w:val="000000" w:themeColor="text1"/>
              <w:sz w:val="32"/>
              <w:szCs w:val="32"/>
              <w14:textFill>
                <w14:solidFill>
                  <w14:schemeClr w14:val="tx1"/>
                </w14:solidFill>
              </w14:textFill>
            </w:rPr>
            <w:t>目</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录</w:t>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TOC \o "1-2" \h \u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_Toc24537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kern w:val="0"/>
              <w:sz w:val="32"/>
              <w:szCs w:val="32"/>
              <w:lang w:bidi="en-US"/>
            </w:rPr>
            <w:t>摘  要</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_Toc24537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I</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_Toc23253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一、项目基本情况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_Toc23253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_Toc32009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（一）项目概况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_Toc32009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_Toc20642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highlight w:val="none"/>
            </w:rPr>
            <w:t>（二）项目绩效目标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_Toc20642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_Toc3113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rPr>
            <w:t>二、绩效评价开展情况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_Toc3113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_Toc18383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（一）绩效评价目的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_Toc18383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_Toc22179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（二）绩效评价原则与方法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_Toc22179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_Toc32640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（三）绩效评价工作过程</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_Toc32640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_Toc29896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三、综合评价过程及指标分析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_Toc29896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_Toc13702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（一）总体评价结论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_Toc13702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_Toc251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_Toc251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_Toc26426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highlight w:val="none"/>
            </w:rPr>
            <w:t>四、项目主要成绩和经验做法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_Toc26426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13</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_Toc17813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（一）制定帮扶计划，推动扶贫工作有序开展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_Toc17813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13</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_Toc30322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（二）建立扶贫资金投入机制，带动受扶持贫困村村集体经济年收入</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_Toc30322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_Toc17026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（三）强化管理，完善事前事中事后监管</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_Toc17026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_Toc15118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五、存在的主要问题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_Toc15118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_Toc4387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（一）项目绩效目标管理不足，预算与绩效管理一体化意识薄弱</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_Toc4387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_Toc3558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（二）利益链接机制不够健全，无法发挥指导作用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_Toc3558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_Toc8198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（三）乡（镇）、村级公告公示落实不够规范，永久性公示牌设置缺失</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_Toc8198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有关建议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_Toc19808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七、绩效评价结果应用建议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_Toc19808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_Toc18989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八、其他需要说明的问题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_Toc18989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4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_Toc24187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附件一 综合评分表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_Toc24187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19</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keepNext w:val="0"/>
            <w:keepLines w:val="0"/>
            <w:pageBreakBefore w:val="0"/>
            <w:widowControl w:val="0"/>
            <w:kinsoku/>
            <w:wordWrap/>
            <w:overflowPunct/>
            <w:topLinePunct w:val="0"/>
            <w:autoSpaceDE/>
            <w:autoSpaceDN/>
            <w:bidi w:val="0"/>
            <w:adjustRightInd/>
            <w:snapToGrid/>
            <w:spacing w:line="440" w:lineRule="exact"/>
            <w:textAlignment w:val="auto"/>
          </w:pPr>
          <w:r>
            <w:rPr>
              <w:rFonts w:hint="default" w:ascii="Times New Roman" w:hAnsi="Times New Roman" w:eastAsia="仿宋" w:cs="Times New Roman"/>
              <w:sz w:val="32"/>
              <w:szCs w:val="32"/>
            </w:rPr>
            <w:fldChar w:fldCharType="end"/>
          </w:r>
        </w:p>
      </w:sdtContent>
    </w:sdt>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sectPr>
          <w:footerReference r:id="rId5"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bookmarkStart w:id="2" w:name="_Toc24537"/>
    </w:p>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pPr>
      <w:r>
        <w:rPr>
          <w:rFonts w:hint="default" w:ascii="Times New Roman" w:hAnsi="Times New Roman" w:cs="Times New Roman"/>
          <w:color w:val="000000" w:themeColor="text1"/>
          <w:kern w:val="0"/>
          <w:lang w:bidi="en-US"/>
          <w14:textFill>
            <w14:solidFill>
              <w14:schemeClr w14:val="tx1"/>
            </w14:solidFill>
          </w14:textFill>
        </w:rPr>
        <w:t>摘  要</w:t>
      </w:r>
      <w:bookmarkEnd w:id="0"/>
      <w:bookmarkEnd w:id="1"/>
      <w:bookmarkEnd w:id="2"/>
    </w:p>
    <w:p>
      <w:pPr>
        <w:pStyle w:val="6"/>
        <w:widowControl w:val="0"/>
        <w:bidi w:val="0"/>
        <w:jc w:val="both"/>
        <w:rPr>
          <w:rFonts w:hint="default" w:ascii="Times New Roman" w:hAnsi="Times New Roman" w:cs="Times New Roman"/>
          <w:kern w:val="2"/>
          <w:lang w:val="en-US" w:eastAsia="zh-CN" w:bidi="ar-SA"/>
        </w:rPr>
      </w:pPr>
      <w:r>
        <w:rPr>
          <w:rFonts w:hint="default" w:ascii="Times New Roman" w:hAnsi="Times New Roman" w:eastAsia="仿宋" w:cs="Times New Roman"/>
          <w:kern w:val="2"/>
          <w:sz w:val="32"/>
          <w:szCs w:val="32"/>
          <w:lang w:val="en-US" w:eastAsia="zh-CN" w:bidi="ar-SA"/>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kern w:val="2"/>
          <w:sz w:val="32"/>
          <w:szCs w:val="32"/>
          <w:lang w:val="en-US" w:eastAsia="zh-CN" w:bidi="ar-SA"/>
        </w:rPr>
        <w:t>淮滨</w:t>
      </w:r>
      <w:r>
        <w:rPr>
          <w:rFonts w:hint="default" w:ascii="Times New Roman" w:hAnsi="Times New Roman" w:cs="Times New Roman"/>
          <w:kern w:val="2"/>
          <w:sz w:val="32"/>
          <w:szCs w:val="32"/>
          <w:lang w:val="en-US" w:eastAsia="zh-CN" w:bidi="ar-SA"/>
        </w:rPr>
        <w:t>县</w:t>
      </w:r>
      <w:r>
        <w:rPr>
          <w:rFonts w:hint="default" w:ascii="Times New Roman" w:hAnsi="Times New Roman" w:eastAsia="仿宋" w:cs="Times New Roman"/>
          <w:kern w:val="2"/>
          <w:sz w:val="32"/>
          <w:szCs w:val="32"/>
          <w:lang w:val="en-US" w:eastAsia="zh-CN" w:bidi="ar-SA"/>
        </w:rPr>
        <w:t>财政局委托开展</w:t>
      </w:r>
      <w:r>
        <w:rPr>
          <w:rFonts w:hint="eastAsia" w:cs="Times New Roman"/>
          <w:kern w:val="2"/>
          <w:sz w:val="32"/>
          <w:szCs w:val="32"/>
          <w:lang w:val="en-US" w:eastAsia="zh-CN" w:bidi="ar-SA"/>
        </w:rPr>
        <w:t>淮滨</w:t>
      </w:r>
      <w:r>
        <w:rPr>
          <w:rFonts w:hint="default" w:ascii="Times New Roman" w:hAnsi="Times New Roman" w:eastAsia="仿宋" w:cs="Times New Roman"/>
          <w:kern w:val="2"/>
          <w:sz w:val="32"/>
          <w:szCs w:val="32"/>
          <w:lang w:val="en-US" w:eastAsia="zh-CN" w:bidi="ar-SA"/>
        </w:rPr>
        <w:t>县</w:t>
      </w:r>
      <w:r>
        <w:rPr>
          <w:rFonts w:hint="eastAsia" w:cs="Times New Roman"/>
          <w:kern w:val="2"/>
          <w:sz w:val="32"/>
          <w:szCs w:val="32"/>
          <w:lang w:val="en-US" w:eastAsia="zh-CN" w:bidi="ar-SA"/>
        </w:rPr>
        <w:t>2020年马集镇刘大园村食用菌产业深加工项目</w:t>
      </w:r>
      <w:r>
        <w:rPr>
          <w:rFonts w:hint="default" w:ascii="Times New Roman" w:hAnsi="Times New Roman" w:eastAsia="仿宋" w:cs="Times New Roman"/>
          <w:kern w:val="2"/>
          <w:sz w:val="32"/>
          <w:szCs w:val="32"/>
          <w:lang w:val="en-US" w:eastAsia="zh-CN" w:bidi="ar-SA"/>
        </w:rPr>
        <w:t>绩效评价工作。评价组通过资料搜集、数据采集等环节，于202</w:t>
      </w:r>
      <w:r>
        <w:rPr>
          <w:rFonts w:hint="eastAsia" w:ascii="Times New Roman" w:hAnsi="Times New Roman"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cs="Times New Roman"/>
          <w:kern w:val="2"/>
          <w:sz w:val="32"/>
          <w:szCs w:val="32"/>
          <w:lang w:val="en-US" w:eastAsia="zh-CN" w:bidi="ar-SA"/>
        </w:rPr>
        <w:t>12</w:t>
      </w:r>
      <w:r>
        <w:rPr>
          <w:rFonts w:hint="default" w:ascii="Times New Roman" w:hAnsi="Times New Roman" w:eastAsia="仿宋" w:cs="Times New Roman"/>
          <w:kern w:val="2"/>
          <w:sz w:val="32"/>
          <w:szCs w:val="32"/>
          <w:lang w:val="en-US" w:eastAsia="zh-CN" w:bidi="ar-SA"/>
        </w:rPr>
        <w:t>月完成绩效评价报告。现将主要内容报告如下：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bookmarkStart w:id="3" w:name="_Toc15141"/>
      <w:bookmarkStart w:id="4" w:name="_Toc21315"/>
      <w:r>
        <w:rPr>
          <w:rFonts w:hint="default" w:ascii="Times New Roman" w:hAnsi="Times New Roman" w:eastAsia="楷体" w:cs="Times New Roman"/>
          <w:b/>
          <w:bCs/>
          <w:sz w:val="32"/>
          <w:szCs w:val="32"/>
          <w:lang w:val="en-US" w:eastAsia="zh-CN"/>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5" w:name="_Toc8373"/>
      <w:bookmarkStart w:id="6" w:name="_Toc21969"/>
      <w:r>
        <w:rPr>
          <w:rFonts w:hint="default" w:ascii="Times New Roman" w:hAnsi="Times New Roman" w:eastAsia="仿宋" w:cs="Times New Roman"/>
          <w:b/>
          <w:bCs/>
          <w:sz w:val="32"/>
          <w:szCs w:val="32"/>
          <w:lang w:val="en-US" w:eastAsia="zh-CN"/>
        </w:rPr>
        <w:t>1.项目内容及实施情况</w:t>
      </w:r>
      <w:bookmarkEnd w:id="5"/>
      <w:bookmarkEnd w:id="6"/>
    </w:p>
    <w:p>
      <w:pPr>
        <w:pStyle w:val="6"/>
        <w:bidi w:val="0"/>
        <w:rPr>
          <w:rFonts w:hint="default" w:cs="Times New Roman"/>
          <w:lang w:val="en-US" w:eastAsia="zh-CN"/>
        </w:rPr>
      </w:pPr>
      <w:r>
        <w:rPr>
          <w:rFonts w:hint="eastAsia" w:cs="Times New Roman"/>
          <w:lang w:eastAsia="zh-CN"/>
        </w:rPr>
        <w:t>准滨县2020年马集镇刘大园村食用菌产业深加工项目在县委、县政府的大力支持</w:t>
      </w:r>
      <w:r>
        <w:rPr>
          <w:rFonts w:hint="eastAsia" w:cs="Times New Roman"/>
          <w:lang w:val="en-US" w:eastAsia="zh-CN"/>
        </w:rPr>
        <w:t>和</w:t>
      </w:r>
      <w:r>
        <w:rPr>
          <w:rFonts w:hint="eastAsia" w:cs="Times New Roman"/>
          <w:lang w:eastAsia="zh-CN"/>
        </w:rPr>
        <w:t>对特色种植、特色养殖等产业</w:t>
      </w:r>
      <w:r>
        <w:rPr>
          <w:rFonts w:hint="eastAsia" w:cs="Times New Roman"/>
          <w:lang w:val="en-US" w:eastAsia="zh-CN"/>
        </w:rPr>
        <w:t>的</w:t>
      </w:r>
      <w:r>
        <w:rPr>
          <w:rFonts w:hint="eastAsia" w:cs="Times New Roman"/>
          <w:lang w:eastAsia="zh-CN"/>
        </w:rPr>
        <w:t>扶持</w:t>
      </w:r>
      <w:r>
        <w:rPr>
          <w:rFonts w:hint="eastAsia" w:cs="Times New Roman"/>
          <w:lang w:val="en-US" w:eastAsia="zh-CN"/>
        </w:rPr>
        <w:t>下</w:t>
      </w:r>
      <w:r>
        <w:rPr>
          <w:rFonts w:hint="eastAsia" w:cs="Times New Roman"/>
          <w:lang w:eastAsia="zh-CN"/>
        </w:rPr>
        <w:t>，培育优势产业、优化农业产业结构，取得良好的经济效益和社会效益，进一步提高</w:t>
      </w:r>
      <w:r>
        <w:rPr>
          <w:rFonts w:hint="eastAsia" w:cs="Times New Roman"/>
          <w:lang w:val="en-US" w:eastAsia="zh-CN"/>
        </w:rPr>
        <w:t>了</w:t>
      </w:r>
      <w:r>
        <w:rPr>
          <w:rFonts w:hint="eastAsia" w:cs="Times New Roman"/>
          <w:lang w:eastAsia="zh-CN"/>
        </w:rPr>
        <w:t>产业整体水平。</w:t>
      </w:r>
      <w:r>
        <w:rPr>
          <w:rFonts w:hint="eastAsia" w:cs="Times New Roman"/>
          <w:lang w:val="en-US" w:eastAsia="zh-CN"/>
        </w:rPr>
        <w:t>项目</w:t>
      </w:r>
      <w:r>
        <w:rPr>
          <w:rFonts w:hint="eastAsia" w:cs="Times New Roman"/>
          <w:lang w:eastAsia="zh-CN"/>
        </w:rPr>
        <w:t>紧扣产业政策，立足资源条件，发展具有区域优势的特色种植、  特色养殖等产业，抓好企业（新型农业经营主体）基地等环节建设，推动</w:t>
      </w:r>
      <w:r>
        <w:rPr>
          <w:rFonts w:hint="eastAsia" w:cs="Times New Roman"/>
          <w:lang w:val="en-US" w:eastAsia="zh-CN"/>
        </w:rPr>
        <w:t>淮滨</w:t>
      </w:r>
      <w:r>
        <w:rPr>
          <w:rFonts w:hint="eastAsia" w:cs="Times New Roman"/>
          <w:lang w:eastAsia="zh-CN"/>
        </w:rPr>
        <w:t>县产业扶贫发展步伐。</w:t>
      </w:r>
    </w:p>
    <w:p>
      <w:pPr>
        <w:pStyle w:val="6"/>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10</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2020年</w:t>
      </w:r>
      <w:r>
        <w:rPr>
          <w:rFonts w:hint="eastAsia" w:cs="Times New Roman"/>
          <w:color w:val="000000" w:themeColor="text1"/>
          <w:sz w:val="32"/>
          <w:szCs w:val="32"/>
          <w:highlight w:val="none"/>
          <w:lang w:val="en-US" w:eastAsia="zh-CN"/>
          <w14:textFill>
            <w14:solidFill>
              <w14:schemeClr w14:val="tx1"/>
            </w14:solidFill>
          </w14:textFill>
        </w:rPr>
        <w:t>12</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w:t>
      </w:r>
      <w:r>
        <w:rPr>
          <w:rFonts w:hint="eastAsia"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完成新建双孢菇深加工车间2个，研发中心1个，项目建设面积6152㎡，生产设备配备标准达到4条/套，项目验收合格、完成及时，村集体经济年收入预计达到122.2万元，带动贫困人口年收入预计达到60万元，受益建档立卡贫困人口数达到50人，受扶持贫困村村民满意度为90%</w:t>
      </w:r>
      <w:r>
        <w:rPr>
          <w:rFonts w:hint="default" w:ascii="Times New Roman" w:hAnsi="Times New Roman" w:eastAsia="仿宋" w:cs="Times New Roman"/>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7" w:name="_Toc24541"/>
      <w:bookmarkStart w:id="8" w:name="_Toc23974"/>
      <w:r>
        <w:rPr>
          <w:rFonts w:hint="default" w:ascii="Times New Roman" w:hAnsi="Times New Roman" w:eastAsia="仿宋" w:cs="Times New Roman"/>
          <w:b/>
          <w:bCs/>
          <w:sz w:val="32"/>
          <w:szCs w:val="32"/>
          <w:lang w:val="en-US" w:eastAsia="zh-CN"/>
        </w:rPr>
        <w:t>2.项目资金安排及使用情况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kern w:val="2"/>
          <w:sz w:val="32"/>
          <w:szCs w:val="32"/>
          <w:lang w:val="en-US" w:eastAsia="zh-CN" w:bidi="ar-SA"/>
        </w:rPr>
        <w:t>淮滨县2020年马集镇刘大园村食用菌产业深加工项目预算安排资金1522.35万元。其中，实际到位资金1517.72万元，资金到位率为99.70%。截至评价期结束，淮滨县2020年马集镇刘大园村食用菌产业深加工项目合计已拨付1517.72万元，资金拨付率为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bookmarkStart w:id="9" w:name="_Toc3164"/>
      <w:bookmarkStart w:id="10" w:name="_Toc4495"/>
      <w:r>
        <w:rPr>
          <w:rFonts w:hint="eastAsia" w:ascii="楷体" w:hAnsi="楷体" w:eastAsia="楷体" w:cs="楷体"/>
          <w:b/>
          <w:bCs/>
          <w:color w:val="000000" w:themeColor="text1"/>
          <w:sz w:val="32"/>
          <w:szCs w:val="32"/>
          <w:lang w:val="en-US" w:eastAsia="zh-CN"/>
          <w14:textFill>
            <w14:solidFill>
              <w14:schemeClr w14:val="tx1"/>
            </w14:solidFill>
          </w14:textFill>
        </w:rPr>
        <w:t>（二）总体评价结论</w:t>
      </w:r>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评价组通过梳理项目资料、基础数据，通过访谈和满意度问卷调研，依据设定的指标体系和评分标准，从项目决策、过程、产出、效益等方面对项目资金进行了全面客观评价，最终得分为93.79</w:t>
      </w:r>
      <w:r>
        <w:rPr>
          <w:rFonts w:hint="default" w:ascii="Times New Roman" w:hAnsi="Times New Roman" w:eastAsia="仿宋" w:cs="Times New Roman"/>
          <w:sz w:val="32"/>
          <w:szCs w:val="32"/>
        </w:rPr>
        <w:t>分</w:t>
      </w:r>
      <w:r>
        <w:rPr>
          <w:rFonts w:hint="default" w:ascii="Times New Roman" w:hAnsi="Times New Roman" w:eastAsia="仿宋" w:cs="Times New Roman"/>
          <w:sz w:val="32"/>
          <w:szCs w:val="32"/>
          <w:lang w:val="en-US" w:eastAsia="zh-CN"/>
        </w:rPr>
        <w:t>，总体评价等级为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优</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w:t>
      </w:r>
    </w:p>
    <w:p>
      <w:pPr>
        <w:pStyle w:val="6"/>
        <w:jc w:val="both"/>
        <w:rPr>
          <w:rFonts w:hint="default" w:ascii="Times New Roman" w:hAnsi="Times New Roman" w:cs="Times New Roman"/>
          <w:b w:val="0"/>
          <w:bCs w:val="0"/>
          <w:lang w:val="en-US" w:eastAsia="zh-CN"/>
        </w:rPr>
      </w:pPr>
      <w:bookmarkStart w:id="11" w:name="_Toc27962"/>
      <w:bookmarkStart w:id="12" w:name="_Toc3206"/>
      <w:bookmarkStart w:id="13" w:name="_Toc2845"/>
      <w:bookmarkStart w:id="14" w:name="_Toc26536"/>
      <w:bookmarkStart w:id="15" w:name="_Toc23242"/>
      <w:r>
        <w:rPr>
          <w:rFonts w:hint="default" w:ascii="Times New Roman" w:hAnsi="Times New Roman" w:cs="Times New Roman"/>
          <w:b/>
          <w:bCs/>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2020年马集镇刘大园村食用菌产业深加工项目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w:t>
      </w:r>
      <w:r>
        <w:rPr>
          <w:rFonts w:hint="eastAsia" w:cs="Times New Roman"/>
          <w:lang w:val="en-US" w:eastAsia="zh-CN"/>
        </w:rPr>
        <w:t>资金拨付</w:t>
      </w:r>
      <w:r>
        <w:rPr>
          <w:rFonts w:hint="default" w:ascii="Times New Roman" w:hAnsi="Times New Roman" w:cs="Times New Roman"/>
          <w:lang w:val="en-US" w:eastAsia="zh-CN"/>
        </w:rPr>
        <w:t>情况较好。项目财务管理制度健全、资金使用合规。项目库建设及管理、政府采购较为规范。项目管理实施规范</w:t>
      </w:r>
      <w:r>
        <w:rPr>
          <w:rFonts w:hint="eastAsia" w:cs="Times New Roman"/>
          <w:lang w:val="en-US" w:eastAsia="zh-CN"/>
        </w:rPr>
        <w:t>，</w:t>
      </w:r>
      <w:r>
        <w:rPr>
          <w:rFonts w:hint="default" w:ascii="Times New Roman" w:hAnsi="Times New Roman" w:cs="Times New Roman"/>
          <w:lang w:val="en-US" w:eastAsia="zh-CN"/>
        </w:rPr>
        <w:t>项目管理遵守相关法律法规及管理规定</w:t>
      </w:r>
      <w:r>
        <w:rPr>
          <w:rFonts w:hint="eastAsia" w:cs="Times New Roman"/>
          <w:lang w:val="en-US" w:eastAsia="zh-CN"/>
        </w:rPr>
        <w:t>，</w:t>
      </w:r>
      <w:r>
        <w:rPr>
          <w:rFonts w:hint="default" w:ascii="Times New Roman" w:hAnsi="Times New Roman" w:cs="Times New Roman"/>
          <w:lang w:val="en-US" w:eastAsia="zh-CN"/>
        </w:rPr>
        <w:t>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eastAsia" w:cs="Times New Roman"/>
          <w:b w:val="0"/>
          <w:bCs w:val="0"/>
          <w:lang w:val="en-US" w:eastAsia="zh-CN"/>
        </w:rPr>
        <w:t>该</w:t>
      </w:r>
      <w:r>
        <w:rPr>
          <w:rFonts w:hint="default" w:ascii="Times New Roman" w:hAnsi="Times New Roman" w:cs="Times New Roman"/>
          <w:b w:val="0"/>
          <w:bCs w:val="0"/>
          <w:lang w:val="en-US" w:eastAsia="zh-CN"/>
        </w:rPr>
        <w:t>项目产出数量达标，新建2个双孢菇深加工车间，1个研发中心，建设面积</w:t>
      </w:r>
      <w:r>
        <w:rPr>
          <w:rFonts w:hint="eastAsia" w:cs="Times New Roman"/>
          <w:b w:val="0"/>
          <w:bCs w:val="0"/>
          <w:lang w:val="en-US" w:eastAsia="zh-CN"/>
        </w:rPr>
        <w:t>达</w:t>
      </w:r>
      <w:r>
        <w:rPr>
          <w:rFonts w:hint="default" w:ascii="Times New Roman" w:hAnsi="Times New Roman" w:cs="Times New Roman"/>
          <w:b w:val="0"/>
          <w:bCs w:val="0"/>
          <w:lang w:val="en-US" w:eastAsia="zh-CN"/>
        </w:rPr>
        <w:t>6152㎡，生产设备配备标准达到4条/套。项目验收合格</w:t>
      </w:r>
      <w:r>
        <w:rPr>
          <w:rFonts w:hint="eastAsia" w:cs="Times New Roman"/>
          <w:b w:val="0"/>
          <w:bCs w:val="0"/>
          <w:lang w:val="en-US" w:eastAsia="zh-CN"/>
        </w:rPr>
        <w:t>、</w:t>
      </w:r>
      <w:r>
        <w:rPr>
          <w:rFonts w:hint="default" w:ascii="Times New Roman" w:hAnsi="Times New Roman" w:cs="Times New Roman"/>
          <w:b w:val="0"/>
          <w:bCs w:val="0"/>
          <w:lang w:val="en-US" w:eastAsia="zh-CN"/>
        </w:rPr>
        <w:t>完工及时</w:t>
      </w:r>
      <w:r>
        <w:rPr>
          <w:rFonts w:hint="eastAsia" w:cs="Times New Roman"/>
          <w:b w:val="0"/>
          <w:bCs w:val="0"/>
          <w:lang w:val="en-US" w:eastAsia="zh-CN"/>
        </w:rPr>
        <w:t>，</w:t>
      </w:r>
      <w:r>
        <w:rPr>
          <w:rFonts w:hint="default" w:ascii="Times New Roman" w:hAnsi="Times New Roman" w:cs="Times New Roman"/>
          <w:b w:val="0"/>
          <w:bCs w:val="0"/>
          <w:lang w:val="en-US" w:eastAsia="zh-CN"/>
        </w:rPr>
        <w:t>成本节约率高，预期建设成本为1522.35万元，实际项目建设成本为1517.72万元，项目实际建设成本小于预期建设成本。</w:t>
      </w:r>
      <w:r>
        <w:rPr>
          <w:rFonts w:hint="default" w:ascii="Times New Roman" w:hAnsi="Times New Roman" w:cs="Times New Roman"/>
          <w:b/>
          <w:bCs/>
          <w:lang w:val="en-US" w:eastAsia="zh-CN"/>
        </w:rPr>
        <w:t>在项目效益方面</w:t>
      </w:r>
      <w:r>
        <w:rPr>
          <w:rFonts w:hint="eastAsia" w:cs="Times New Roman"/>
          <w:b/>
          <w:bCs/>
          <w:lang w:val="en-US" w:eastAsia="zh-CN"/>
        </w:rPr>
        <w:t>：</w:t>
      </w:r>
      <w:r>
        <w:rPr>
          <w:rFonts w:hint="default" w:ascii="Times New Roman" w:hAnsi="Times New Roman" w:cs="Times New Roman"/>
          <w:b w:val="0"/>
          <w:bCs w:val="0"/>
          <w:lang w:val="en-US" w:eastAsia="zh-CN"/>
        </w:rPr>
        <w:t>该项目经济效益和社会效益较为显著。项目实施后，村集体经济预计年收入为122.2万元，带动贫困人口年收入预计达到60万元</w:t>
      </w:r>
      <w:r>
        <w:rPr>
          <w:rFonts w:hint="eastAsia" w:cs="Times New Roman"/>
          <w:b w:val="0"/>
          <w:bCs w:val="0"/>
          <w:lang w:val="en-US" w:eastAsia="zh-CN"/>
        </w:rPr>
        <w:t>，</w:t>
      </w:r>
      <w:r>
        <w:rPr>
          <w:rFonts w:hint="default" w:ascii="Times New Roman" w:hAnsi="Times New Roman" w:cs="Times New Roman"/>
          <w:b w:val="0"/>
          <w:bCs w:val="0"/>
          <w:lang w:val="en-US" w:eastAsia="zh-CN"/>
        </w:rPr>
        <w:t>吸纳贫困人口50人就业。项目带来可持续影响，2020年该项目实施后预计持续发挥作用年限达到目标值15年。受益贫困人口满意度较高，通过对项目区受益贫困人口群众进行问卷调查，满意度达到90%</w:t>
      </w:r>
      <w:r>
        <w:rPr>
          <w:rFonts w:hint="eastAsia" w:cs="Times New Roman"/>
          <w:b w:val="0"/>
          <w:bCs w:val="0"/>
          <w:lang w:val="en-US" w:eastAsia="zh-CN"/>
        </w:rPr>
        <w:t>。</w:t>
      </w:r>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但该项目绩效指标设置总体较为笼统、模糊，不够清晰明确</w:t>
      </w:r>
      <w:r>
        <w:rPr>
          <w:rFonts w:hint="eastAsia" w:cs="Times New Roman"/>
          <w:b w:val="0"/>
          <w:bCs w:val="0"/>
          <w:lang w:val="en-US" w:eastAsia="zh-CN"/>
        </w:rPr>
        <w:t>。</w:t>
      </w:r>
      <w:r>
        <w:rPr>
          <w:rFonts w:hint="default" w:ascii="Times New Roman" w:hAnsi="Times New Roman" w:cs="Times New Roman"/>
          <w:b w:val="0"/>
          <w:bCs w:val="0"/>
          <w:lang w:val="en-US" w:eastAsia="zh-CN"/>
        </w:rPr>
        <w:t>财务监控有效性有待提高</w:t>
      </w:r>
      <w:r>
        <w:rPr>
          <w:rFonts w:hint="eastAsia" w:cs="Times New Roman"/>
          <w:b w:val="0"/>
          <w:bCs w:val="0"/>
          <w:lang w:val="en-US" w:eastAsia="zh-CN"/>
        </w:rPr>
        <w:t>，</w:t>
      </w:r>
      <w:r>
        <w:rPr>
          <w:rFonts w:hint="default" w:ascii="Times New Roman" w:hAnsi="Times New Roman" w:cs="Times New Roman"/>
          <w:b w:val="0"/>
          <w:bCs w:val="0"/>
          <w:lang w:val="en-US" w:eastAsia="zh-CN"/>
        </w:rPr>
        <w:t>截止评价结束，该项目未出具有审计报告</w:t>
      </w:r>
      <w:r>
        <w:rPr>
          <w:rFonts w:hint="eastAsia" w:cs="Times New Roman"/>
          <w:b w:val="0"/>
          <w:bCs w:val="0"/>
          <w:lang w:val="en-US" w:eastAsia="zh-CN"/>
        </w:rPr>
        <w:t>。</w:t>
      </w:r>
      <w:r>
        <w:rPr>
          <w:rFonts w:hint="default" w:ascii="Times New Roman" w:hAnsi="Times New Roman" w:cs="Times New Roman"/>
          <w:b w:val="0"/>
          <w:bCs w:val="0"/>
          <w:lang w:val="en-US" w:eastAsia="zh-CN"/>
        </w:rPr>
        <w:t>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r>
        <w:rPr>
          <w:rFonts w:hint="eastAsia" w:cs="Times New Roman"/>
          <w:b w:val="0"/>
          <w:bCs w:val="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w:t>
      </w:r>
      <w:r>
        <w:rPr>
          <w:rFonts w:hint="eastAsia" w:ascii="楷体" w:hAnsi="楷体" w:eastAsia="楷体" w:cs="楷体"/>
          <w:b/>
          <w:bCs/>
          <w:color w:val="000000" w:themeColor="text1"/>
          <w:sz w:val="32"/>
          <w:szCs w:val="32"/>
          <w:lang w:val="en-US" w:eastAsia="zh-CN"/>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）主要成绩</w:t>
      </w:r>
      <w:bookmarkEnd w:id="11"/>
      <w:bookmarkEnd w:id="12"/>
      <w:bookmarkEnd w:id="13"/>
      <w:r>
        <w:rPr>
          <w:rFonts w:hint="eastAsia" w:ascii="楷体" w:hAnsi="楷体" w:eastAsia="楷体" w:cs="楷体"/>
          <w:b/>
          <w:bCs/>
          <w:color w:val="000000" w:themeColor="text1"/>
          <w:sz w:val="32"/>
          <w:szCs w:val="32"/>
          <w:lang w:val="en-US" w:eastAsia="zh-CN"/>
          <w14:textFill>
            <w14:solidFill>
              <w14:schemeClr w14:val="tx1"/>
            </w14:solidFill>
          </w14:textFill>
        </w:rPr>
        <w:t>及经验做法</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kern w:val="2"/>
          <w:sz w:val="32"/>
          <w:szCs w:val="32"/>
          <w:lang w:val="en-US" w:eastAsia="zh-CN" w:bidi="ar-SA"/>
        </w:rPr>
      </w:pPr>
      <w:bookmarkStart w:id="16" w:name="_Toc15011"/>
      <w:r>
        <w:rPr>
          <w:rFonts w:hint="default" w:ascii="Times New Roman" w:hAnsi="Times New Roman" w:eastAsia="仿宋" w:cs="Times New Roman"/>
          <w:b/>
          <w:bCs/>
          <w:sz w:val="32"/>
          <w:szCs w:val="32"/>
          <w:lang w:val="en-US" w:eastAsia="zh-CN"/>
        </w:rPr>
        <w:t>1.</w:t>
      </w:r>
      <w:bookmarkEnd w:id="16"/>
      <w:r>
        <w:rPr>
          <w:rFonts w:hint="default" w:ascii="Times New Roman" w:hAnsi="Times New Roman" w:eastAsia="仿宋" w:cs="Times New Roman"/>
          <w:b/>
          <w:bCs/>
          <w:sz w:val="32"/>
          <w:szCs w:val="32"/>
        </w:rPr>
        <w:t>制定帮扶计划，推动扶贫工作有序开展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2"/>
          <w:sz w:val="32"/>
          <w:szCs w:val="21"/>
          <w:lang w:val="en-US" w:eastAsia="zh-CN" w:bidi="ar-SA"/>
        </w:rPr>
        <w:t>为推动扶贫工作有序开展，淮滨县对扶贫项目进行统筹管理。制定帮扶计划，设计扶贫项目实施方案，明确帮扶责任单位、帮扶人员等。项目建设采取产业扶贫和基础设施建设相结合的扶贫模式，多数项目得以有效推进。截至评价期末，淮滨县2020年马集镇刘大园村食用菌产业深加工项目项目完工及时、建设进度良好、计划补助资金发放完成、项目验收合格率达到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7" w:name="_Toc26927"/>
      <w:r>
        <w:rPr>
          <w:rFonts w:hint="default" w:ascii="Times New Roman" w:hAnsi="Times New Roman" w:eastAsia="仿宋" w:cs="Times New Roman"/>
          <w:b/>
          <w:bCs/>
          <w:sz w:val="32"/>
          <w:szCs w:val="32"/>
          <w:lang w:val="en-US" w:eastAsia="zh-CN"/>
        </w:rPr>
        <w:t>2.</w:t>
      </w:r>
      <w:bookmarkEnd w:id="17"/>
      <w:r>
        <w:rPr>
          <w:rFonts w:hint="default" w:ascii="Times New Roman" w:hAnsi="Times New Roman" w:eastAsia="仿宋" w:cs="Times New Roman"/>
          <w:b/>
          <w:bCs/>
          <w:sz w:val="32"/>
          <w:szCs w:val="32"/>
        </w:rPr>
        <w:t>建立扶贫资金投入机制，带动受扶持贫困村村集体经济年收入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auto"/>
          <w:kern w:val="2"/>
          <w:sz w:val="32"/>
          <w:szCs w:val="32"/>
          <w:lang w:val="en-US" w:eastAsia="zh-CN" w:bidi="ar-SA"/>
        </w:rPr>
        <w:t>淮滨县扶贫办根据各村（含贫困户、贫困人口）致贫原因及脱贫需求，建立科学有效的扶贫资金投入机制，脱贫效果较为显著。投入资金1517.72万元，用于建设马集镇刘大园村食用菌产业深加工项目。强化政策支持，出台相关产业扶贫指导文件，对扶贫产业给予资金、技术、项目支持。结合自然禀赋，因地制宜发展扶贫产业。项目实施后次年生效，该项目受扶持贫困村村集体经济年收入预计达到60万元，受益建档立卡贫困人口数预计达到目标值50人</w:t>
      </w:r>
      <w:r>
        <w:rPr>
          <w:rFonts w:hint="eastAsia" w:ascii="Times New Roman" w:hAnsi="Times New Roman" w:eastAsia="仿宋" w:cs="Times New Roman"/>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8" w:name="_Toc12597"/>
      <w:r>
        <w:rPr>
          <w:rFonts w:hint="default" w:ascii="Times New Roman" w:hAnsi="Times New Roman" w:eastAsia="仿宋" w:cs="Times New Roman"/>
          <w:b/>
          <w:bCs/>
          <w:sz w:val="32"/>
          <w:szCs w:val="32"/>
          <w:lang w:val="en-US" w:eastAsia="zh-CN"/>
        </w:rPr>
        <w:t>3.</w:t>
      </w:r>
      <w:bookmarkEnd w:id="18"/>
      <w:r>
        <w:rPr>
          <w:rFonts w:hint="default" w:ascii="Times New Roman" w:hAnsi="Times New Roman" w:eastAsia="仿宋" w:cs="Times New Roman"/>
          <w:b/>
          <w:bCs/>
          <w:sz w:val="32"/>
          <w:szCs w:val="32"/>
        </w:rPr>
        <w:t>强化管理，完善事前事中事后监管</w:t>
      </w:r>
    </w:p>
    <w:p>
      <w:pPr>
        <w:pStyle w:val="52"/>
        <w:bidi w:val="0"/>
        <w:rPr>
          <w:rFonts w:hint="eastAsia" w:cs="Times New Roman"/>
          <w:lang w:val="en-US" w:eastAsia="zh-CN"/>
        </w:rPr>
      </w:pPr>
      <w:r>
        <w:rPr>
          <w:rFonts w:hint="default" w:ascii="Times New Roman" w:hAnsi="Times New Roman" w:eastAsia="仿宋" w:cs="Times New Roman"/>
          <w:b w:val="0"/>
          <w:bCs w:val="0"/>
          <w:kern w:val="2"/>
          <w:sz w:val="32"/>
          <w:szCs w:val="32"/>
          <w:lang w:val="en-US" w:eastAsia="zh-CN" w:bidi="ar-SA"/>
        </w:rPr>
        <w:t>淮滨县农业农村局成立督导组，由班子成员带队分片对涉农资金整合项目的督导检查，督导从勘察设计、监理选定等把关口，将质量关口前移，挑选信誉好、技术强的监理单位进行施工监理，树立质量第一的意识。项目完工后由第三方检测机构进行竣工验收，凡验收不过关的项目，严肃追究相关责任人的责任并收回项目资金</w:t>
      </w:r>
      <w:r>
        <w:rPr>
          <w:rFonts w:hint="eastAsia"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9" w:name="_Toc48"/>
      <w:bookmarkStart w:id="20" w:name="_Toc8017"/>
      <w:bookmarkStart w:id="21" w:name="_Toc31286"/>
      <w:bookmarkStart w:id="22" w:name="_Toc25679"/>
      <w:bookmarkStart w:id="23" w:name="_Toc30168"/>
      <w:bookmarkStart w:id="24" w:name="_Toc11724"/>
      <w:r>
        <w:rPr>
          <w:rFonts w:hint="eastAsia" w:ascii="楷体" w:hAnsi="楷体" w:eastAsia="楷体" w:cs="楷体"/>
          <w:b/>
          <w:bCs/>
          <w:sz w:val="32"/>
          <w:szCs w:val="32"/>
          <w:lang w:val="en-US" w:eastAsia="zh-CN"/>
        </w:rPr>
        <w:t>（四）主要问题</w:t>
      </w:r>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25" w:name="_Toc22252"/>
      <w:r>
        <w:rPr>
          <w:rFonts w:hint="default" w:ascii="Times New Roman" w:hAnsi="Times New Roman" w:eastAsia="仿宋" w:cs="Times New Roman"/>
          <w:b/>
          <w:bCs/>
          <w:sz w:val="32"/>
          <w:szCs w:val="32"/>
          <w:lang w:val="en-US" w:eastAsia="zh-CN"/>
        </w:rPr>
        <w:t>1.</w:t>
      </w:r>
      <w:bookmarkEnd w:id="25"/>
      <w:r>
        <w:rPr>
          <w:rFonts w:hint="default" w:ascii="Times New Roman" w:hAnsi="Times New Roman" w:eastAsia="仿宋" w:cs="Times New Roman"/>
          <w:b/>
          <w:bCs/>
          <w:sz w:val="32"/>
          <w:szCs w:val="32"/>
          <w:lang w:val="en-US" w:eastAsia="zh-CN"/>
        </w:rPr>
        <w:t>项目绩效目标管理不足，预算与绩效管理一体化意识薄弱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绩效目标是财政资金投入和支出的前置条件，</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先有目标、再申报预算</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是当前政府财政预算绩效管理的基本要求。全面实施预算绩效管理的核心，在于</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预算与绩效管理一体化</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，而绩效目标管理是</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预算与绩效一体化</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的起点。从2020年淮滨县脱贫攻坚专项扶贫资金项目绩效目标管理情况来看，绩效目标管理明显不足。在绩效目标管理开展形式上没有形成年度绩效目标表，对于当年度脱贫攻坚工作的引导和约束效果一般。项目绩效目标管理形式化，绩效目标表填报不完整，实施主体对于项目开展目标的认识不够准确清晰</w:t>
      </w:r>
      <w:r>
        <w:rPr>
          <w:rFonts w:hint="eastAsia"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lang w:val="en-US" w:eastAsia="zh-CN"/>
        </w:rPr>
      </w:pPr>
      <w:bookmarkStart w:id="26" w:name="_Toc15314"/>
      <w:r>
        <w:rPr>
          <w:rFonts w:hint="eastAsia" w:ascii="Times New Roman" w:hAnsi="Times New Roman" w:eastAsia="仿宋" w:cs="Times New Roman"/>
          <w:b/>
          <w:bCs/>
          <w:sz w:val="32"/>
          <w:szCs w:val="32"/>
          <w:lang w:val="en-US" w:eastAsia="zh-CN"/>
        </w:rPr>
        <w:t>2</w:t>
      </w:r>
      <w:r>
        <w:rPr>
          <w:rFonts w:hint="default" w:ascii="Times New Roman" w:hAnsi="Times New Roman" w:eastAsia="仿宋" w:cs="Times New Roman"/>
          <w:b/>
          <w:bCs/>
          <w:sz w:val="32"/>
          <w:szCs w:val="32"/>
          <w:lang w:val="en-US" w:eastAsia="zh-CN"/>
        </w:rPr>
        <w:t>.</w:t>
      </w:r>
      <w:bookmarkEnd w:id="26"/>
      <w:r>
        <w:rPr>
          <w:rFonts w:hint="default" w:ascii="Times New Roman" w:hAnsi="Times New Roman" w:eastAsia="仿宋" w:cs="Times New Roman"/>
          <w:b/>
          <w:bCs/>
          <w:sz w:val="32"/>
          <w:szCs w:val="32"/>
          <w:lang w:val="en-US" w:eastAsia="zh-CN"/>
        </w:rPr>
        <w:t>利益链接机制不够健全，无法发挥指导作用</w:t>
      </w:r>
    </w:p>
    <w:p>
      <w:pPr>
        <w:widowControl w:val="0"/>
        <w:tabs>
          <w:tab w:val="left" w:pos="6948"/>
        </w:tabs>
        <w:spacing w:line="560" w:lineRule="exact"/>
        <w:ind w:firstLine="640" w:firstLineChars="200"/>
        <w:jc w:val="both"/>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部分项目利益联结机制不够健全，部分项目利益联结机制与带贫减贫机制较为简单、粗糙，无法充分发挥对项目实施的指导作用。例如，项目利益联结机制包含联结主体、联结模式等方面，但是部分利益联结机制描述过于简单，如村集体经济年收入、带动贫困人口年收入情况和分配方式，没有具体说明。</w:t>
      </w:r>
      <w:bookmarkStart w:id="27" w:name="_Toc4871"/>
    </w:p>
    <w:p>
      <w:pPr>
        <w:widowControl w:val="0"/>
        <w:tabs>
          <w:tab w:val="left" w:pos="6948"/>
        </w:tabs>
        <w:spacing w:line="560" w:lineRule="exact"/>
        <w:ind w:firstLine="643" w:firstLineChars="200"/>
        <w:jc w:val="both"/>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3</w:t>
      </w:r>
      <w:r>
        <w:rPr>
          <w:rFonts w:hint="default" w:ascii="Times New Roman" w:hAnsi="Times New Roman" w:eastAsia="仿宋" w:cs="Times New Roman"/>
          <w:b/>
          <w:bCs/>
          <w:sz w:val="32"/>
          <w:szCs w:val="32"/>
          <w:lang w:val="en-US" w:eastAsia="zh-CN"/>
        </w:rPr>
        <w:t>.</w:t>
      </w:r>
      <w:bookmarkEnd w:id="27"/>
      <w:r>
        <w:rPr>
          <w:rFonts w:hint="default" w:ascii="Times New Roman" w:hAnsi="Times New Roman" w:eastAsia="仿宋" w:cs="Times New Roman"/>
          <w:b/>
          <w:bCs/>
          <w:sz w:val="32"/>
          <w:szCs w:val="32"/>
          <w:lang w:val="en-US" w:eastAsia="zh-CN"/>
        </w:rPr>
        <w:t>乡（镇）、村级公告公示落实不够规范，永久性公示牌设置缺失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部分乡（镇）、村级公告公示落实内容不够完整，乡（镇）、村级公告公示缺失。根据脱贫攻坚项目公告公示要求，乡（镇）、村级应设置脱贫攻坚专项公告公示牌，对相关内容进行公示。公示内容应包括：扶贫资金项目公告公示制度、扶贫资金项目安排计划、扶贫资金项目计划完成情况、脱贫攻坚项目库等内容。经评价组实地核查，部分乡（镇）、村级公告公示未就扶贫资金项目公告公示制度、脱贫攻坚项目库等进行公告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p>
    <w:p>
      <w:pPr>
        <w:widowControl w:val="0"/>
        <w:tabs>
          <w:tab w:val="left" w:pos="6948"/>
        </w:tabs>
        <w:spacing w:line="560" w:lineRule="exact"/>
        <w:ind w:firstLine="640" w:firstLineChars="200"/>
        <w:jc w:val="both"/>
        <w:rPr>
          <w:rFonts w:hint="eastAsia" w:ascii="楷体" w:hAnsi="楷体" w:eastAsia="楷体" w:cs="楷体"/>
          <w:b/>
          <w:bCs/>
          <w:sz w:val="32"/>
          <w:szCs w:val="32"/>
          <w:lang w:val="en-US" w:eastAsia="zh-CN"/>
        </w:rPr>
      </w:pPr>
      <w:r>
        <w:rPr>
          <w:rFonts w:hint="eastAsia" w:ascii="Times New Roman" w:hAnsi="Times New Roman" w:eastAsia="仿宋" w:cs="Times New Roman"/>
          <w:sz w:val="32"/>
          <w:szCs w:val="32"/>
          <w:lang w:val="en-US" w:eastAsia="zh-CN"/>
        </w:rPr>
        <w:t xml:space="preserve"> </w:t>
      </w:r>
      <w:bookmarkStart w:id="28" w:name="_Toc15648"/>
      <w:bookmarkStart w:id="29" w:name="_Toc29230"/>
      <w:bookmarkStart w:id="30" w:name="_Toc26209"/>
      <w:bookmarkStart w:id="31" w:name="_Toc8013"/>
      <w:bookmarkStart w:id="32" w:name="_Toc20200"/>
      <w:bookmarkStart w:id="33" w:name="_Toc19360"/>
      <w:r>
        <w:rPr>
          <w:rFonts w:hint="eastAsia" w:ascii="楷体" w:hAnsi="楷体" w:eastAsia="楷体" w:cs="楷体"/>
          <w:b/>
          <w:bCs/>
          <w:sz w:val="32"/>
          <w:szCs w:val="32"/>
          <w:lang w:val="en-US" w:eastAsia="zh-CN"/>
        </w:rPr>
        <w:t>（五）相关建议</w:t>
      </w:r>
      <w:bookmarkEnd w:id="28"/>
      <w:bookmarkEnd w:id="29"/>
      <w:bookmarkEnd w:id="30"/>
      <w:bookmarkEnd w:id="31"/>
      <w:bookmarkEnd w:id="32"/>
      <w:bookmarkEnd w:id="33"/>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1.</w:t>
      </w:r>
      <w:r>
        <w:rPr>
          <w:rFonts w:hint="default" w:ascii="Times New Roman" w:hAnsi="Times New Roman" w:eastAsia="仿宋" w:cs="Times New Roman"/>
          <w:b/>
          <w:bCs/>
          <w:kern w:val="2"/>
          <w:sz w:val="32"/>
          <w:szCs w:val="32"/>
          <w:lang w:val="en-US" w:eastAsia="zh-CN" w:bidi="ar-SA"/>
        </w:rPr>
        <w:t>强化绩效目标管理，推动预算与绩效管理一体化</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 w:cs="Times New Roman"/>
          <w:b w:val="0"/>
          <w:bCs/>
          <w:kern w:val="2"/>
          <w:sz w:val="32"/>
          <w:szCs w:val="32"/>
          <w:lang w:val="en-US" w:eastAsia="zh-CN" w:bidi="ar-SA"/>
        </w:rPr>
        <w:t>脱贫攻坚是全面建设小康社会和和谐社会的重要内容，是实现共同富裕的重要举措。对于淮滨县脱贫攻坚扶贫资金项目实施的各级责任主体来说，要切实以《关于全面实施预算绩效管理的意见》（中发〔2018〕34号）和中央、省、市的扶贫工作规划部署和要求为指导，提高绩效目标管理意识，强化项目绩效目标管理工作，推动预算与绩效管理一体化，切实提高预算的科学性、规范性和有效性，增强预算透明度，提高财政资金分配效率。加强项目责任主体绩效目标管理意识，完善项目入库管理制度，将绩效目标审核作为进入项目库的必要环节，实现流程控制和审核留痕，保障绩效目标与预算资金同步申报、同步审核，将</w:t>
      </w:r>
      <w:r>
        <w:rPr>
          <w:rFonts w:hint="eastAsia" w:ascii="Times New Roman" w:hAnsi="Times New Roman" w:eastAsia="仿宋" w:cs="Times New Roman"/>
          <w:b w:val="0"/>
          <w:bCs/>
          <w:kern w:val="2"/>
          <w:sz w:val="32"/>
          <w:szCs w:val="32"/>
          <w:lang w:val="en-US" w:eastAsia="zh-CN" w:bidi="ar-SA"/>
        </w:rPr>
        <w:t>“</w:t>
      </w:r>
      <w:r>
        <w:rPr>
          <w:rFonts w:hint="default" w:ascii="Times New Roman" w:hAnsi="Times New Roman" w:eastAsia="仿宋" w:cs="Times New Roman"/>
          <w:b w:val="0"/>
          <w:bCs/>
          <w:kern w:val="2"/>
          <w:sz w:val="32"/>
          <w:szCs w:val="32"/>
          <w:lang w:val="en-US" w:eastAsia="zh-CN" w:bidi="ar-SA"/>
        </w:rPr>
        <w:t>谁分配资金，谁审核绩效目标</w:t>
      </w:r>
      <w:r>
        <w:rPr>
          <w:rFonts w:hint="eastAsia" w:ascii="Times New Roman" w:hAnsi="Times New Roman" w:eastAsia="仿宋" w:cs="Times New Roman"/>
          <w:b w:val="0"/>
          <w:bCs/>
          <w:kern w:val="2"/>
          <w:sz w:val="32"/>
          <w:szCs w:val="32"/>
          <w:lang w:val="en-US" w:eastAsia="zh-CN" w:bidi="ar-SA"/>
        </w:rPr>
        <w:t>”</w:t>
      </w:r>
      <w:r>
        <w:rPr>
          <w:rFonts w:hint="default" w:ascii="Times New Roman" w:hAnsi="Times New Roman" w:eastAsia="仿宋" w:cs="Times New Roman"/>
          <w:b w:val="0"/>
          <w:bCs/>
          <w:kern w:val="2"/>
          <w:sz w:val="32"/>
          <w:szCs w:val="32"/>
          <w:lang w:val="en-US" w:eastAsia="zh-CN" w:bidi="ar-SA"/>
        </w:rPr>
        <w:t>原则落到实处。</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2.</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完善项目联农带农和后续帮扶跟进机制</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b w:val="0"/>
          <w:bCs/>
          <w:kern w:val="2"/>
          <w:sz w:val="32"/>
          <w:szCs w:val="32"/>
          <w:lang w:val="en-US" w:eastAsia="zh-CN" w:bidi="ar-SA"/>
        </w:rPr>
      </w:pP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通过政策引导，根据受扶持村民自身条件与发展需求，与村民建立多形式的利益联结方式，如股份联结、订单联结、服务联结、劳务联结等形式，促进利益联结机制多样化，全面巩固脱贫攻坚成果，避免出现复贫、返贫现象。同时，建议各乡镇政府和村委完善扶持项目后期帮扶跟进措施，并增加浮动收益，保障实施效果。明确项目建设结束后，如何在一定期限内继续帮助受扶持村民持续收益等方式方法。可通过对扶持人口进行定期跟踪、反馈的方式，了解帮扶村有关设施投入使用、运营情况，以及村民实际生活情况，避免出现脱贫人口再次返贫等问题。</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提高乡（镇）、村公告公示制度完整性、规范性，加强宣传、讲解工作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color w:val="000000"/>
          <w:kern w:val="2"/>
          <w:sz w:val="32"/>
          <w:szCs w:val="21"/>
          <w:lang w:val="en-US" w:eastAsia="zh-CN" w:bidi="ar-SA"/>
        </w:rPr>
        <w:t>建议</w:t>
      </w:r>
      <w:r>
        <w:rPr>
          <w:rFonts w:hint="eastAsia" w:ascii="Times New Roman" w:hAnsi="Times New Roman" w:eastAsia="仿宋" w:cs="Times New Roman"/>
          <w:color w:val="000000"/>
          <w:kern w:val="2"/>
          <w:sz w:val="32"/>
          <w:szCs w:val="21"/>
          <w:lang w:val="en-US" w:eastAsia="zh-CN" w:bidi="ar-SA"/>
        </w:rPr>
        <w:t>淮滨</w:t>
      </w:r>
      <w:r>
        <w:rPr>
          <w:rFonts w:hint="default" w:ascii="Times New Roman" w:hAnsi="Times New Roman" w:eastAsia="仿宋" w:cs="Times New Roman"/>
          <w:color w:val="000000"/>
          <w:kern w:val="2"/>
          <w:sz w:val="32"/>
          <w:szCs w:val="21"/>
          <w:lang w:val="en-US" w:eastAsia="zh-CN" w:bidi="ar-SA"/>
        </w:rPr>
        <w:t>县农业农村</w:t>
      </w:r>
      <w:r>
        <w:rPr>
          <w:rFonts w:hint="eastAsia" w:ascii="Times New Roman" w:hAnsi="Times New Roman" w:eastAsia="仿宋" w:cs="Times New Roman"/>
          <w:color w:val="000000"/>
          <w:kern w:val="2"/>
          <w:sz w:val="32"/>
          <w:szCs w:val="21"/>
          <w:lang w:val="en-US" w:eastAsia="zh-CN" w:bidi="ar-SA"/>
        </w:rPr>
        <w:t>局</w:t>
      </w:r>
      <w:r>
        <w:rPr>
          <w:rFonts w:hint="default" w:ascii="Times New Roman" w:hAnsi="Times New Roman" w:eastAsia="仿宋" w:cs="Times New Roman"/>
          <w:color w:val="000000"/>
          <w:kern w:val="2"/>
          <w:sz w:val="32"/>
          <w:szCs w:val="21"/>
          <w:lang w:val="en-US" w:eastAsia="zh-CN" w:bidi="ar-SA"/>
        </w:rPr>
        <w:t>定期派出工作人员对各乡（镇）、村脱贫攻坚项目负责人进行公告公示制度宣传，可通过集中培训或定期调研等形式，在每年项目申报前，针对扶贫项目公告公示制度的完整性、规范性等内容进行讲解，帮助项目申报单位答疑解惑，提高乡（镇）、村公告公示制度完整性、规范性，并由此促进项目建设实施的规范性与可行性。</w:t>
      </w:r>
    </w:p>
    <w:p>
      <w:pPr>
        <w:bidi w:val="0"/>
        <w:rPr>
          <w:rFonts w:hint="default" w:ascii="Times New Roman" w:hAnsi="Times New Roman" w:cs="Times New Roman"/>
        </w:rPr>
        <w:sectPr>
          <w:footerReference r:id="rId6"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p>
    <w:p>
      <w:pPr>
        <w:bidi w:val="0"/>
        <w:jc w:val="center"/>
        <w:rPr>
          <w:rFonts w:hint="eastAsia" w:ascii="方正小标宋简体" w:hAnsi="方正小标宋简体" w:eastAsia="方正小标宋简体" w:cs="方正小标宋简体"/>
          <w:sz w:val="44"/>
          <w:szCs w:val="44"/>
        </w:rPr>
      </w:pPr>
      <w:bookmarkStart w:id="34" w:name="_Toc17206"/>
      <w:bookmarkStart w:id="35" w:name="_Toc8108"/>
      <w:bookmarkStart w:id="36" w:name="_Toc9049"/>
      <w:bookmarkStart w:id="37" w:name="_Toc4216"/>
      <w:bookmarkStart w:id="38" w:name="_Toc12305"/>
      <w:bookmarkStart w:id="39" w:name="_Toc16075"/>
      <w:r>
        <w:rPr>
          <w:rFonts w:hint="eastAsia" w:ascii="方正小标宋简体" w:hAnsi="方正小标宋简体" w:eastAsia="方正小标宋简体" w:cs="方正小标宋简体"/>
          <w:sz w:val="44"/>
          <w:szCs w:val="44"/>
          <w:lang w:val="en-US" w:eastAsia="zh-CN"/>
        </w:rPr>
        <w:t>2020年马集镇刘大园村食用菌产业深加工项目绩效评价报告</w:t>
      </w:r>
      <w:bookmarkEnd w:id="34"/>
      <w:bookmarkEnd w:id="35"/>
      <w:bookmarkEnd w:id="36"/>
      <w:bookmarkEnd w:id="37"/>
      <w:bookmarkEnd w:id="38"/>
      <w:bookmarkEnd w:id="39"/>
    </w:p>
    <w:p>
      <w:pPr>
        <w:pStyle w:val="6"/>
        <w:rPr>
          <w:rFonts w:hint="default" w:ascii="Times New Roman" w:hAnsi="Times New Roman" w:cs="Times New Roman"/>
          <w:lang w:val="en-US" w:eastAsia="zh-CN"/>
        </w:rPr>
      </w:pPr>
      <w:bookmarkStart w:id="40" w:name="_Toc23264183"/>
      <w:bookmarkStart w:id="41" w:name="_Toc23265713"/>
      <w:bookmarkStart w:id="42" w:name="_Toc32710"/>
      <w:bookmarkStart w:id="43" w:name="_Toc11833"/>
      <w:bookmarkStart w:id="44" w:name="_Toc3689"/>
      <w:bookmarkStart w:id="45" w:name="_Toc8023"/>
      <w:r>
        <w:rPr>
          <w:rFonts w:hint="default" w:ascii="Times New Roman" w:hAnsi="Times New Roman" w:cs="Times New Roman"/>
          <w:lang w:val="en-US" w:eastAsia="zh-CN"/>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lang w:val="en-US" w:eastAsia="zh-CN"/>
        </w:rPr>
        <w:t>淮滨县</w:t>
      </w:r>
      <w:r>
        <w:rPr>
          <w:rFonts w:hint="default" w:ascii="Times New Roman" w:hAnsi="Times New Roman" w:cs="Times New Roman"/>
          <w:lang w:val="en-US" w:eastAsia="zh-CN"/>
        </w:rPr>
        <w:t>财政局委托开展</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2020年马集镇刘大园村食用菌产业深加工项目</w:t>
      </w:r>
      <w:r>
        <w:rPr>
          <w:rFonts w:hint="default" w:ascii="Times New Roman" w:hAnsi="Times New Roman" w:cs="Times New Roman"/>
          <w:lang w:val="en-US" w:eastAsia="zh-CN"/>
        </w:rPr>
        <w:t>绩效评价工作。现将主要评价结果报告如下：</w:t>
      </w:r>
    </w:p>
    <w:p>
      <w:pPr>
        <w:pStyle w:val="4"/>
        <w:ind w:firstLine="643"/>
        <w:rPr>
          <w:rFonts w:hint="default" w:ascii="Times New Roman" w:hAnsi="Times New Roman" w:cs="Times New Roman"/>
        </w:rPr>
      </w:pPr>
      <w:bookmarkStart w:id="46" w:name="_Toc3581"/>
      <w:bookmarkStart w:id="47" w:name="_Toc6245"/>
      <w:bookmarkStart w:id="48" w:name="_Toc20028"/>
      <w:bookmarkStart w:id="49" w:name="_Toc18127"/>
      <w:bookmarkStart w:id="50" w:name="_Toc24244"/>
      <w:bookmarkStart w:id="51" w:name="_Toc23253"/>
      <w:r>
        <w:rPr>
          <w:rFonts w:hint="default" w:ascii="Times New Roman" w:hAnsi="Times New Roman" w:cs="Times New Roman"/>
        </w:rPr>
        <w:t>一、项目基本情况</w:t>
      </w:r>
      <w:bookmarkEnd w:id="40"/>
      <w:bookmarkEnd w:id="41"/>
      <w:bookmarkEnd w:id="42"/>
      <w:bookmarkEnd w:id="43"/>
      <w:bookmarkEnd w:id="44"/>
      <w:bookmarkEnd w:id="45"/>
      <w:bookmarkEnd w:id="46"/>
      <w:bookmarkEnd w:id="47"/>
      <w:bookmarkEnd w:id="48"/>
      <w:bookmarkEnd w:id="49"/>
      <w:bookmarkEnd w:id="50"/>
      <w:bookmarkEnd w:id="51"/>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52" w:name="_Toc21781788"/>
      <w:bookmarkStart w:id="53" w:name="_Toc21782397"/>
      <w:bookmarkStart w:id="54" w:name="_Toc21781488"/>
      <w:bookmarkStart w:id="55" w:name="_Toc21781966"/>
      <w:bookmarkStart w:id="56" w:name="_Toc10086"/>
      <w:bookmarkStart w:id="57" w:name="_Toc20541"/>
      <w:bookmarkStart w:id="58" w:name="_Toc16755"/>
      <w:bookmarkStart w:id="59" w:name="_Toc23265714"/>
      <w:bookmarkStart w:id="60" w:name="_Toc14848"/>
      <w:bookmarkStart w:id="61" w:name="_Toc23264184"/>
      <w:bookmarkStart w:id="62" w:name="_Toc24551"/>
      <w:bookmarkStart w:id="63" w:name="_Toc32009"/>
      <w:bookmarkStart w:id="64" w:name="_Toc24558"/>
      <w:bookmarkStart w:id="65" w:name="_Toc13450"/>
      <w:r>
        <w:rPr>
          <w:rFonts w:hint="default" w:ascii="Times New Roman" w:hAnsi="Times New Roman" w:cs="Times New Roman"/>
        </w:rPr>
        <w:t>（一）项目</w:t>
      </w:r>
      <w:bookmarkEnd w:id="52"/>
      <w:bookmarkEnd w:id="53"/>
      <w:bookmarkEnd w:id="54"/>
      <w:bookmarkEnd w:id="55"/>
      <w:r>
        <w:rPr>
          <w:rFonts w:hint="default" w:ascii="Times New Roman" w:hAnsi="Times New Roman" w:cs="Times New Roman"/>
        </w:rPr>
        <w:t>概况</w:t>
      </w:r>
      <w:bookmarkEnd w:id="56"/>
      <w:bookmarkEnd w:id="57"/>
      <w:bookmarkEnd w:id="58"/>
      <w:bookmarkEnd w:id="59"/>
      <w:bookmarkEnd w:id="60"/>
      <w:bookmarkEnd w:id="61"/>
      <w:bookmarkEnd w:id="62"/>
      <w:bookmarkEnd w:id="63"/>
      <w:bookmarkEnd w:id="64"/>
      <w:bookmarkEnd w:id="65"/>
    </w:p>
    <w:p>
      <w:pPr>
        <w:pStyle w:val="52"/>
        <w:bidi w:val="0"/>
        <w:rPr>
          <w:rFonts w:hint="default" w:ascii="Times New Roman" w:hAnsi="Times New Roman" w:cs="Times New Roman"/>
          <w:b/>
          <w:bCs/>
        </w:rPr>
      </w:pPr>
      <w:bookmarkStart w:id="66" w:name="_Toc4160"/>
      <w:bookmarkStart w:id="67" w:name="_Toc15869"/>
      <w:bookmarkStart w:id="68" w:name="_Toc21475"/>
      <w:bookmarkStart w:id="69" w:name="_Toc23264185"/>
      <w:bookmarkStart w:id="70" w:name="_Toc23265715"/>
      <w:bookmarkStart w:id="71" w:name="_Toc25866"/>
      <w:bookmarkStart w:id="72" w:name="_Toc23266455"/>
      <w:bookmarkStart w:id="73" w:name="_Toc11726"/>
      <w:bookmarkStart w:id="74" w:name="_Toc27624"/>
      <w:r>
        <w:rPr>
          <w:rFonts w:hint="default" w:ascii="Times New Roman" w:hAnsi="Times New Roman" w:cs="Times New Roman"/>
          <w:b/>
          <w:bCs/>
        </w:rPr>
        <w:t>1.项目背景</w:t>
      </w:r>
      <w:bookmarkEnd w:id="66"/>
      <w:bookmarkEnd w:id="67"/>
      <w:bookmarkEnd w:id="68"/>
      <w:bookmarkEnd w:id="69"/>
      <w:bookmarkEnd w:id="70"/>
      <w:bookmarkEnd w:id="71"/>
      <w:bookmarkEnd w:id="72"/>
      <w:bookmarkEnd w:id="73"/>
      <w:bookmarkEnd w:id="74"/>
    </w:p>
    <w:p>
      <w:pPr>
        <w:pStyle w:val="6"/>
        <w:bidi w:val="0"/>
        <w:rPr>
          <w:rFonts w:hint="default" w:ascii="Times New Roman" w:hAnsi="Times New Roman" w:cs="Times New Roman"/>
        </w:rPr>
      </w:pPr>
      <w:bookmarkStart w:id="75" w:name="_Toc23264189"/>
      <w:bookmarkStart w:id="76" w:name="_Toc23265716"/>
      <w:bookmarkStart w:id="77" w:name="_Toc18432"/>
      <w:bookmarkStart w:id="78" w:name="_Toc23266456"/>
      <w:bookmarkStart w:id="79" w:name="_Toc5856"/>
      <w:r>
        <w:rPr>
          <w:rFonts w:hint="default" w:ascii="Times New Roman" w:hAnsi="Times New Roman" w:cs="Times New Roman"/>
        </w:rPr>
        <w:t>脱贫攻坚是全面建设小康社会和新农村建设的一项重要任务。</w:t>
      </w:r>
      <w:bookmarkStart w:id="80" w:name="_Toc21781490"/>
      <w:r>
        <w:rPr>
          <w:rFonts w:hint="default" w:ascii="Times New Roman" w:hAnsi="Times New Roman" w:cs="Times New Roman"/>
        </w:rPr>
        <w:t>2011年中共中央、国务院印发《中国农村扶贫开发纲要（2011-2020）》，提出我国农村扶贫中期总体目标，即到2020年，稳定实现扶贫对象不愁吃、不愁穿，保障其义务教育、基本医疗和住房。为全面落实党的十九大精神以及中央扶贫开发工作会议要求，认真贯彻习近平总书记关于脱贫攻坚系列重要讲话精神，全面打赢脱贫攻坚战，各级政府紧紧围绕</w:t>
      </w:r>
      <w:r>
        <w:rPr>
          <w:rFonts w:hint="eastAsia" w:cs="Times New Roman"/>
          <w:lang w:eastAsia="zh-CN"/>
        </w:rPr>
        <w:t>“</w:t>
      </w:r>
      <w:r>
        <w:rPr>
          <w:rFonts w:hint="default" w:ascii="Times New Roman" w:hAnsi="Times New Roman" w:cs="Times New Roman"/>
        </w:rPr>
        <w:t>两不愁三保障</w:t>
      </w:r>
      <w:r>
        <w:rPr>
          <w:rFonts w:hint="eastAsia" w:cs="Times New Roman"/>
          <w:lang w:eastAsia="zh-CN"/>
        </w:rPr>
        <w:t>”</w:t>
      </w:r>
      <w:r>
        <w:rPr>
          <w:rFonts w:hint="default" w:ascii="Times New Roman" w:hAnsi="Times New Roman" w:cs="Times New Roman"/>
        </w:rPr>
        <w:t>脱贫目标，坚持科学扶贫和精准扶贫，加大资金投入，积极统筹整合，加快构建以综合扶贫为基础，专项扶贫为支撑的扶贫投入机制，扎实推进脱贫工作开展，改善贫困村发展条件，提高群众生产生活水平，推进贫困村加快发展，实现贫困人口脱贫致富。</w:t>
      </w:r>
      <w:bookmarkEnd w:id="80"/>
    </w:p>
    <w:p>
      <w:pPr>
        <w:pStyle w:val="6"/>
        <w:bidi w:val="0"/>
        <w:rPr>
          <w:rFonts w:hint="default" w:cs="Times New Roman"/>
          <w:lang w:val="en-US" w:eastAsia="zh-CN"/>
        </w:rPr>
      </w:pPr>
      <w:r>
        <w:rPr>
          <w:rFonts w:hint="eastAsia" w:cs="Times New Roman"/>
          <w:lang w:eastAsia="zh-CN"/>
        </w:rPr>
        <w:t>准滨县2020年马集镇刘大园村食用菌产业深加工项目在县委、县政府的大力支持</w:t>
      </w:r>
      <w:r>
        <w:rPr>
          <w:rFonts w:hint="eastAsia" w:cs="Times New Roman"/>
          <w:lang w:val="en-US" w:eastAsia="zh-CN"/>
        </w:rPr>
        <w:t>和</w:t>
      </w:r>
      <w:r>
        <w:rPr>
          <w:rFonts w:hint="eastAsia" w:cs="Times New Roman"/>
          <w:lang w:eastAsia="zh-CN"/>
        </w:rPr>
        <w:t>对特色种植、特色养殖等产业</w:t>
      </w:r>
      <w:r>
        <w:rPr>
          <w:rFonts w:hint="eastAsia" w:cs="Times New Roman"/>
          <w:lang w:val="en-US" w:eastAsia="zh-CN"/>
        </w:rPr>
        <w:t>的</w:t>
      </w:r>
      <w:r>
        <w:rPr>
          <w:rFonts w:hint="eastAsia" w:cs="Times New Roman"/>
          <w:lang w:eastAsia="zh-CN"/>
        </w:rPr>
        <w:t>扶持</w:t>
      </w:r>
      <w:r>
        <w:rPr>
          <w:rFonts w:hint="eastAsia" w:cs="Times New Roman"/>
          <w:lang w:val="en-US" w:eastAsia="zh-CN"/>
        </w:rPr>
        <w:t>下</w:t>
      </w:r>
      <w:r>
        <w:rPr>
          <w:rFonts w:hint="eastAsia" w:cs="Times New Roman"/>
          <w:lang w:eastAsia="zh-CN"/>
        </w:rPr>
        <w:t>，培育优势产业、优化农业产业结构，取得良好的经济效益和社会效益，进一步提高</w:t>
      </w:r>
      <w:r>
        <w:rPr>
          <w:rFonts w:hint="eastAsia" w:cs="Times New Roman"/>
          <w:lang w:val="en-US" w:eastAsia="zh-CN"/>
        </w:rPr>
        <w:t>了</w:t>
      </w:r>
      <w:r>
        <w:rPr>
          <w:rFonts w:hint="eastAsia" w:cs="Times New Roman"/>
          <w:lang w:eastAsia="zh-CN"/>
        </w:rPr>
        <w:t>产业整体水平。</w:t>
      </w:r>
      <w:r>
        <w:rPr>
          <w:rFonts w:hint="eastAsia" w:cs="Times New Roman"/>
          <w:lang w:val="en-US" w:eastAsia="zh-CN"/>
        </w:rPr>
        <w:t>项目</w:t>
      </w:r>
      <w:r>
        <w:rPr>
          <w:rFonts w:hint="eastAsia" w:cs="Times New Roman"/>
          <w:lang w:eastAsia="zh-CN"/>
        </w:rPr>
        <w:t>紧扣产业政策，立足资源条件，发展具有区域优势的特色种植、  特色养殖等产业，抓好企业（新型农业经营主体）基地等环节建设，推动</w:t>
      </w:r>
      <w:r>
        <w:rPr>
          <w:rFonts w:hint="eastAsia" w:cs="Times New Roman"/>
          <w:lang w:val="en-US" w:eastAsia="zh-CN"/>
        </w:rPr>
        <w:t>淮滨</w:t>
      </w:r>
      <w:r>
        <w:rPr>
          <w:rFonts w:hint="eastAsia" w:cs="Times New Roman"/>
          <w:lang w:eastAsia="zh-CN"/>
        </w:rPr>
        <w:t>县产业扶贫发展步伐。</w:t>
      </w:r>
    </w:p>
    <w:p>
      <w:pPr>
        <w:pStyle w:val="52"/>
        <w:bidi w:val="0"/>
        <w:rPr>
          <w:rFonts w:hint="default" w:ascii="Times New Roman" w:hAnsi="Times New Roman" w:cs="Times New Roman"/>
          <w:b/>
          <w:bCs/>
        </w:rPr>
      </w:pPr>
      <w:bookmarkStart w:id="81" w:name="_Toc11466"/>
      <w:bookmarkStart w:id="82" w:name="_Toc199"/>
      <w:bookmarkStart w:id="83" w:name="_Toc27695"/>
      <w:bookmarkStart w:id="84" w:name="_Toc31353"/>
      <w:r>
        <w:rPr>
          <w:rFonts w:hint="default" w:ascii="Times New Roman" w:hAnsi="Times New Roman" w:cs="Times New Roman"/>
          <w:b/>
          <w:bCs/>
        </w:rPr>
        <w:t>2.项目实施情况</w:t>
      </w:r>
      <w:bookmarkEnd w:id="75"/>
      <w:bookmarkEnd w:id="76"/>
      <w:bookmarkEnd w:id="77"/>
      <w:bookmarkEnd w:id="78"/>
      <w:bookmarkEnd w:id="79"/>
      <w:bookmarkEnd w:id="81"/>
      <w:bookmarkEnd w:id="82"/>
      <w:bookmarkEnd w:id="83"/>
      <w:bookmarkEnd w:id="84"/>
    </w:p>
    <w:p>
      <w:pPr>
        <w:pStyle w:val="6"/>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bookmarkStart w:id="85" w:name="_Toc23264190"/>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10</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2020年</w:t>
      </w:r>
      <w:r>
        <w:rPr>
          <w:rFonts w:hint="eastAsia" w:cs="Times New Roman"/>
          <w:color w:val="000000" w:themeColor="text1"/>
          <w:sz w:val="32"/>
          <w:szCs w:val="32"/>
          <w:highlight w:val="none"/>
          <w:lang w:val="en-US" w:eastAsia="zh-CN"/>
          <w14:textFill>
            <w14:solidFill>
              <w14:schemeClr w14:val="tx1"/>
            </w14:solidFill>
          </w14:textFill>
        </w:rPr>
        <w:t>12</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w:t>
      </w:r>
      <w:r>
        <w:rPr>
          <w:rFonts w:hint="eastAsia"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完成新建双孢菇深加工车间2个，研发中心1个，项目建设面积6152㎡，生产设备配备标准达到4条/套，项目验收合格、完成及时，村集体经济年收入预计达到122.2万元，带动贫困人口年收入预计达到60万元，受益建档立卡贫困人口数达到50人，受扶持贫困村村民满意度为90%</w:t>
      </w:r>
      <w:r>
        <w:rPr>
          <w:rFonts w:hint="default" w:ascii="Times New Roman" w:hAnsi="Times New Roman" w:eastAsia="仿宋" w:cs="Times New Roman"/>
          <w:color w:val="000000" w:themeColor="text1"/>
          <w:sz w:val="32"/>
          <w:szCs w:val="32"/>
          <w:highlight w:val="none"/>
          <w14:textFill>
            <w14:solidFill>
              <w14:schemeClr w14:val="tx1"/>
            </w14:solidFill>
          </w14:textFill>
        </w:rPr>
        <w:t>。</w:t>
      </w:r>
    </w:p>
    <w:bookmarkEnd w:id="85"/>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color w:val="000000" w:themeColor="text1"/>
          <w:sz w:val="32"/>
          <w:szCs w:val="32"/>
          <w14:textFill>
            <w14:solidFill>
              <w14:schemeClr w14:val="tx1"/>
            </w14:solidFill>
          </w14:textFill>
        </w:rPr>
      </w:pPr>
      <w:bookmarkStart w:id="86" w:name="_Toc23266458"/>
      <w:bookmarkStart w:id="87" w:name="_Toc14531"/>
      <w:bookmarkStart w:id="88" w:name="_Toc23264321"/>
      <w:bookmarkStart w:id="89" w:name="_Toc4112"/>
      <w:bookmarkStart w:id="90" w:name="_Toc22696"/>
      <w:bookmarkStart w:id="91" w:name="_Toc25560"/>
      <w:bookmarkStart w:id="92" w:name="_Toc23265847"/>
      <w:bookmarkStart w:id="93" w:name="_Toc3357"/>
      <w:bookmarkStart w:id="94" w:name="_Toc7712"/>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3.</w:t>
      </w:r>
      <w:r>
        <w:rPr>
          <w:rFonts w:hint="default" w:ascii="Times New Roman" w:hAnsi="Times New Roman" w:eastAsia="仿宋" w:cs="Times New Roman"/>
          <w:b/>
          <w:bCs/>
          <w:color w:val="000000" w:themeColor="text1"/>
          <w:sz w:val="32"/>
          <w:szCs w:val="32"/>
          <w14:textFill>
            <w14:solidFill>
              <w14:schemeClr w14:val="tx1"/>
            </w14:solidFill>
          </w14:textFill>
        </w:rPr>
        <w:t>项目资金来源及支出情况</w:t>
      </w:r>
      <w:bookmarkEnd w:id="86"/>
      <w:bookmarkEnd w:id="87"/>
      <w:bookmarkEnd w:id="88"/>
      <w:bookmarkEnd w:id="89"/>
      <w:bookmarkEnd w:id="90"/>
      <w:bookmarkEnd w:id="91"/>
      <w:bookmarkEnd w:id="92"/>
      <w:bookmarkEnd w:id="93"/>
      <w:bookmarkEnd w:id="94"/>
    </w:p>
    <w:p>
      <w:pPr>
        <w:pStyle w:val="6"/>
        <w:bidi w:val="0"/>
        <w:rPr>
          <w:rFonts w:hint="default" w:ascii="Times New Roman" w:hAnsi="Times New Roman" w:cs="Times New Roman"/>
          <w:lang w:val="en-US" w:eastAsia="zh-CN"/>
        </w:rPr>
      </w:pPr>
      <w:bookmarkStart w:id="95" w:name="_Toc23264898"/>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2020年马集镇刘大园村食用菌产业深加工项目</w:t>
      </w:r>
      <w:r>
        <w:rPr>
          <w:rFonts w:hint="default" w:ascii="Times New Roman" w:hAnsi="Times New Roman" w:cs="Times New Roman"/>
          <w:lang w:val="en-US" w:eastAsia="zh-CN"/>
        </w:rPr>
        <w:t>预算安排资金</w:t>
      </w:r>
      <w:r>
        <w:rPr>
          <w:rFonts w:hint="eastAsia" w:cs="Times New Roman"/>
          <w:lang w:val="en-US" w:eastAsia="zh-CN"/>
        </w:rPr>
        <w:t>1522.35</w:t>
      </w:r>
      <w:r>
        <w:rPr>
          <w:rFonts w:hint="default" w:ascii="Times New Roman" w:hAnsi="Times New Roman" w:cs="Times New Roman"/>
          <w:lang w:val="en-US" w:eastAsia="zh-CN"/>
        </w:rPr>
        <w:t>万元。其中，实际到位资金</w:t>
      </w:r>
      <w:r>
        <w:rPr>
          <w:rFonts w:hint="eastAsia" w:cs="Times New Roman"/>
          <w:lang w:val="en-US" w:eastAsia="zh-CN"/>
        </w:rPr>
        <w:t>1517.72</w:t>
      </w:r>
      <w:r>
        <w:rPr>
          <w:rFonts w:hint="default" w:ascii="Times New Roman" w:hAnsi="Times New Roman" w:cs="Times New Roman"/>
          <w:lang w:val="en-US" w:eastAsia="zh-CN"/>
        </w:rPr>
        <w:t>万元，资金到位率为</w:t>
      </w:r>
      <w:r>
        <w:rPr>
          <w:rFonts w:hint="eastAsia" w:cs="Times New Roman"/>
          <w:lang w:val="en-US" w:eastAsia="zh-CN"/>
        </w:rPr>
        <w:t>99.70</w:t>
      </w:r>
      <w:r>
        <w:rPr>
          <w:rFonts w:hint="default" w:ascii="Times New Roman" w:hAnsi="Times New Roman" w:cs="Times New Roman"/>
          <w:lang w:val="en-US" w:eastAsia="zh-CN"/>
        </w:rPr>
        <w:t>%。截至评价期结束，</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2020年马集镇刘大园村食用菌产业深加工项目</w:t>
      </w:r>
      <w:r>
        <w:rPr>
          <w:rFonts w:hint="default" w:ascii="Times New Roman" w:hAnsi="Times New Roman" w:cs="Times New Roman"/>
          <w:lang w:val="en-US" w:eastAsia="zh-CN"/>
        </w:rPr>
        <w:t>合计</w:t>
      </w:r>
      <w:r>
        <w:rPr>
          <w:rFonts w:hint="eastAsia" w:cs="Times New Roman"/>
          <w:lang w:val="en-US" w:eastAsia="zh-CN"/>
        </w:rPr>
        <w:t>已</w:t>
      </w:r>
      <w:r>
        <w:rPr>
          <w:rFonts w:hint="default" w:ascii="Times New Roman" w:hAnsi="Times New Roman" w:cs="Times New Roman"/>
          <w:lang w:val="en-US" w:eastAsia="zh-CN"/>
        </w:rPr>
        <w:t>拨付1517.72万元，资金拨付率为</w:t>
      </w:r>
      <w:r>
        <w:rPr>
          <w:rFonts w:hint="eastAsia" w:cs="Times New Roman"/>
          <w:lang w:val="en-US" w:eastAsia="zh-CN"/>
        </w:rPr>
        <w:t>100</w:t>
      </w:r>
      <w:r>
        <w:rPr>
          <w:rFonts w:hint="default" w:ascii="Times New Roman" w:hAnsi="Times New Roman" w:cs="Times New Roman"/>
          <w:lang w:val="en-US" w:eastAsia="zh-CN"/>
        </w:rPr>
        <w:t>%。</w:t>
      </w:r>
    </w:p>
    <w:p>
      <w:pPr>
        <w:pStyle w:val="52"/>
        <w:bidi w:val="0"/>
        <w:rPr>
          <w:rFonts w:hint="default" w:ascii="Times New Roman" w:hAnsi="Times New Roman" w:cs="Times New Roman"/>
          <w:b/>
          <w:bCs/>
        </w:rPr>
      </w:pPr>
      <w:bookmarkStart w:id="96" w:name="_Toc3996"/>
      <w:r>
        <w:rPr>
          <w:rFonts w:hint="default" w:ascii="Times New Roman" w:hAnsi="Times New Roman" w:cs="Times New Roman"/>
          <w:b/>
          <w:bCs/>
        </w:rPr>
        <w:t>4.项目组织管理</w:t>
      </w:r>
      <w:bookmarkEnd w:id="95"/>
      <w:bookmarkEnd w:id="96"/>
    </w:p>
    <w:p>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562"/>
        <w:textAlignment w:val="auto"/>
        <w:rPr>
          <w:rFonts w:hint="default" w:ascii="Times New Roman" w:hAnsi="Times New Roman" w:eastAsia="仿宋" w:cs="Times New Roman"/>
          <w:sz w:val="32"/>
          <w:szCs w:val="32"/>
        </w:rPr>
      </w:pPr>
      <w:bookmarkStart w:id="97" w:name="_Toc23264899"/>
      <w:r>
        <w:rPr>
          <w:rFonts w:hint="default" w:ascii="Times New Roman" w:hAnsi="Times New Roman" w:eastAsia="仿宋" w:cs="Times New Roman"/>
          <w:sz w:val="32"/>
          <w:szCs w:val="32"/>
        </w:rPr>
        <w:t>（1）组织管理机构</w:t>
      </w:r>
      <w:bookmarkEnd w:id="97"/>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bookmarkStart w:id="98" w:name="_Toc23264901"/>
      <w:r>
        <w:rPr>
          <w:rFonts w:hint="eastAsia" w:cs="Times New Roman"/>
          <w:b/>
          <w:lang w:val="en-US" w:eastAsia="zh-CN"/>
        </w:rPr>
        <w:t>淮滨县</w:t>
      </w:r>
      <w:r>
        <w:rPr>
          <w:rFonts w:hint="default" w:ascii="Times New Roman" w:hAnsi="Times New Roman" w:cs="Times New Roman"/>
          <w:b/>
          <w:lang w:val="en-US" w:eastAsia="zh-CN"/>
        </w:rPr>
        <w:t>扶贫开发领导小组：</w:t>
      </w:r>
      <w:r>
        <w:rPr>
          <w:rFonts w:hint="default" w:ascii="Times New Roman" w:hAnsi="Times New Roman" w:cs="Times New Roman"/>
          <w:b w:val="0"/>
          <w:bCs/>
          <w:lang w:val="en-US" w:eastAsia="zh-CN"/>
        </w:rPr>
        <w:t>负责项目的统筹协调、批复等工作；</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w:t>
      </w:r>
      <w:r>
        <w:rPr>
          <w:rFonts w:hint="default" w:ascii="Times New Roman" w:hAnsi="Times New Roman" w:cs="Times New Roman"/>
          <w:b/>
          <w:lang w:val="en-US" w:eastAsia="zh-CN"/>
        </w:rPr>
        <w:t>财政局：</w:t>
      </w:r>
      <w:r>
        <w:rPr>
          <w:rFonts w:hint="default" w:ascii="Times New Roman" w:hAnsi="Times New Roman" w:cs="Times New Roman"/>
          <w:b w:val="0"/>
          <w:bCs/>
          <w:lang w:val="en-US" w:eastAsia="zh-CN"/>
        </w:rPr>
        <w:t>负责扶贫资金的日常监督、管理、绩效评价，协助配合项目主管部门加强对项目的监督检查。根据下达的项目资金计划和项目建设进度核拨资金，监督检查扶贫资金使用；</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淮滨县农业农村局</w:t>
      </w:r>
      <w:r>
        <w:rPr>
          <w:rFonts w:hint="default" w:ascii="Times New Roman" w:hAnsi="Times New Roman" w:cs="Times New Roman"/>
          <w:b/>
          <w:lang w:val="en-US" w:eastAsia="zh-CN"/>
        </w:rPr>
        <w:t>：</w:t>
      </w:r>
      <w:r>
        <w:rPr>
          <w:rFonts w:hint="default" w:ascii="Times New Roman" w:hAnsi="Times New Roman" w:cs="Times New Roman"/>
          <w:b w:val="0"/>
          <w:bCs/>
          <w:lang w:val="en-US" w:eastAsia="zh-CN"/>
        </w:rPr>
        <w:t>负责项目的审查、监管、验收，负责审核项目报账资料的真实性和合规性，建立扶贫资金专账</w:t>
      </w:r>
      <w:r>
        <w:rPr>
          <w:rFonts w:hint="eastAsia" w:cs="Times New Roman"/>
          <w:b w:val="0"/>
          <w:bCs/>
          <w:lang w:val="en-US" w:eastAsia="zh-CN"/>
        </w:rPr>
        <w:t>；</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val="0"/>
          <w:bCs/>
          <w:lang w:val="en-US" w:eastAsia="zh-CN"/>
        </w:rPr>
      </w:pPr>
      <w:r>
        <w:rPr>
          <w:rFonts w:hint="eastAsia" w:cs="Times New Roman"/>
          <w:b/>
          <w:lang w:val="en-US" w:eastAsia="zh-CN"/>
        </w:rPr>
        <w:t>淮滨县</w:t>
      </w:r>
      <w:r>
        <w:rPr>
          <w:rFonts w:hint="default" w:ascii="Times New Roman" w:hAnsi="Times New Roman" w:cs="Times New Roman"/>
          <w:b/>
          <w:lang w:val="en-US" w:eastAsia="zh-CN"/>
        </w:rPr>
        <w:t>人民政府：</w:t>
      </w:r>
      <w:r>
        <w:rPr>
          <w:rFonts w:hint="default" w:ascii="Times New Roman" w:hAnsi="Times New Roman" w:cs="Times New Roman"/>
          <w:b w:val="0"/>
          <w:bCs/>
          <w:lang w:val="en-US" w:eastAsia="zh-CN"/>
        </w:rPr>
        <w:t>负责项目申报、实施和竣工后初验及项目的前期考察、论证、方案制定，负责申报项目的真实性、合法性、有效性和完整性。负责项目的日常监督检查、实施情况报送，以及项目的后期跟踪管理。</w:t>
      </w:r>
    </w:p>
    <w:bookmarkEnd w:id="98"/>
    <w:p>
      <w:pPr>
        <w:pStyle w:val="6"/>
        <w:ind w:firstLine="562"/>
        <w:rPr>
          <w:rFonts w:hint="default" w:ascii="Times New Roman" w:hAnsi="Times New Roman" w:cs="Times New Roman"/>
          <w:b/>
        </w:rPr>
      </w:pPr>
      <w:bookmarkStart w:id="99" w:name="_Toc23264905"/>
      <w:r>
        <w:rPr>
          <w:rFonts w:hint="default" w:ascii="Times New Roman" w:hAnsi="Times New Roman" w:cs="Times New Roman"/>
          <w:b/>
        </w:rPr>
        <w:t>（2）项目管理情况</w:t>
      </w:r>
      <w:bookmarkEnd w:id="99"/>
    </w:p>
    <w:p>
      <w:pPr>
        <w:pStyle w:val="6"/>
        <w:keepNext w:val="0"/>
        <w:keepLines w:val="0"/>
        <w:pageBreakBefore w:val="0"/>
        <w:kinsoku/>
        <w:overflowPunct/>
        <w:topLinePunct w:val="0"/>
        <w:bidi w:val="0"/>
        <w:snapToGrid/>
        <w:spacing w:line="560" w:lineRule="exact"/>
        <w:ind w:firstLine="562"/>
        <w:textAlignment w:val="auto"/>
        <w:rPr>
          <w:rFonts w:hint="default" w:ascii="Times New Roman" w:hAnsi="Times New Roman" w:cs="Times New Roman"/>
          <w:b/>
          <w:bCs/>
        </w:rPr>
      </w:pPr>
      <w:bookmarkStart w:id="100" w:name="_Toc23264906"/>
      <w:r>
        <w:rPr>
          <w:rFonts w:hint="default" w:ascii="Times New Roman" w:hAnsi="Times New Roman" w:cs="Times New Roman"/>
          <w:b/>
          <w:bCs/>
          <w:kern w:val="0"/>
          <w:szCs w:val="32"/>
          <w:lang w:bidi="en-US"/>
        </w:rPr>
        <w:t>1）</w:t>
      </w:r>
      <w:r>
        <w:rPr>
          <w:rFonts w:hint="default" w:ascii="Times New Roman" w:hAnsi="Times New Roman" w:cs="Times New Roman"/>
          <w:b/>
          <w:bCs/>
        </w:rPr>
        <w:t>项目管理</w:t>
      </w:r>
    </w:p>
    <w:p>
      <w:pPr>
        <w:pStyle w:val="52"/>
        <w:keepNext w:val="0"/>
        <w:keepLines w:val="0"/>
        <w:pageBreakBefore w:val="0"/>
        <w:widowControl/>
        <w:kinsoku/>
        <w:overflowPunct/>
        <w:topLinePunct w:val="0"/>
        <w:bidi w:val="0"/>
        <w:snapToGrid/>
        <w:spacing w:line="560" w:lineRule="exact"/>
        <w:ind w:firstLine="643" w:firstLineChars="200"/>
        <w:textAlignment w:val="auto"/>
        <w:rPr>
          <w:rFonts w:hint="default"/>
        </w:rPr>
      </w:pPr>
      <w:r>
        <w:rPr>
          <w:rFonts w:hint="default"/>
          <w:b/>
          <w:bCs/>
        </w:rPr>
        <w:t>项目申报及入库：</w:t>
      </w:r>
      <w:r>
        <w:rPr>
          <w:rFonts w:hint="default"/>
        </w:rPr>
        <w:t>村级申报初步意见，乡镇审核完善实施方案，</w:t>
      </w:r>
      <w:r>
        <w:rPr>
          <w:rFonts w:hint="eastAsia"/>
          <w:lang w:val="en-US" w:eastAsia="zh-CN"/>
        </w:rPr>
        <w:t>县</w:t>
      </w:r>
      <w:r>
        <w:rPr>
          <w:rFonts w:hint="default"/>
        </w:rPr>
        <w:t>行业主管部门召开会议对乡镇报送项目的科学性、合规性、可行性进行论证，以论证报告形式报市扶贫部门。</w:t>
      </w:r>
      <w:r>
        <w:rPr>
          <w:rFonts w:hint="eastAsia"/>
          <w:lang w:val="en-US" w:eastAsia="zh-CN"/>
        </w:rPr>
        <w:t>县</w:t>
      </w:r>
      <w:r>
        <w:rPr>
          <w:rFonts w:hint="default"/>
        </w:rPr>
        <w:t>扶贫开发领导小组审定。召开会议审定项目库入库项目，并在政府门户网站上进行公示。公示无异议后，将项目纳入项目库并公告。</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项目验收及审计：</w:t>
      </w:r>
      <w:r>
        <w:rPr>
          <w:rFonts w:hint="default"/>
        </w:rPr>
        <w:t>扶贫项目峻工编制好决算资料后，由施工企业邀请监理单位进行自验，并根据监理意见进行整改，直至监理签字通过自验；并向</w:t>
      </w:r>
      <w:r>
        <w:rPr>
          <w:rFonts w:hint="eastAsia"/>
          <w:lang w:val="en-US" w:eastAsia="zh-CN"/>
        </w:rPr>
        <w:t>县</w:t>
      </w:r>
      <w:r>
        <w:rPr>
          <w:rFonts w:hint="default"/>
        </w:rPr>
        <w:t>扶贫项目主管部门正式提出验收申请，由项目管理部门组织监理部门、乡（镇）机关干部等和</w:t>
      </w:r>
      <w:r>
        <w:rPr>
          <w:rFonts w:hint="eastAsia"/>
          <w:lang w:val="en-US" w:eastAsia="zh-CN"/>
        </w:rPr>
        <w:t>淮滨县农业农村局</w:t>
      </w:r>
      <w:r>
        <w:rPr>
          <w:rFonts w:hint="default"/>
        </w:rPr>
        <w:t>委托的有资质的第三方联合对扶贫项目进行验收。对未通过验收的项目，</w:t>
      </w:r>
      <w:r>
        <w:rPr>
          <w:rFonts w:hint="eastAsia"/>
          <w:lang w:val="en-US" w:eastAsia="zh-CN"/>
        </w:rPr>
        <w:t>县</w:t>
      </w:r>
      <w:r>
        <w:rPr>
          <w:rFonts w:hint="default"/>
        </w:rPr>
        <w:t>项目管理部门须要求项目实施单位限时整改直至通过验收。扶贫项目验收合格后，</w:t>
      </w:r>
      <w:r>
        <w:rPr>
          <w:rFonts w:hint="eastAsia"/>
          <w:lang w:val="en-US" w:eastAsia="zh-CN"/>
        </w:rPr>
        <w:t>县</w:t>
      </w:r>
      <w:r>
        <w:rPr>
          <w:rFonts w:hint="default"/>
        </w:rPr>
        <w:t>审计局开展审计工作，实现扶贫资金审计全覆盖。</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项目报账：</w:t>
      </w:r>
      <w:r>
        <w:rPr>
          <w:rFonts w:hint="default"/>
        </w:rPr>
        <w:t>财政扶贫项目实行国库集中支付直接支付方式。报账资金总额以脱贫攻坚领导小组批复下达的该项目财政扶贫资金计划为上限。财政扶贫项目报账业务按照</w:t>
      </w:r>
      <w:r>
        <w:rPr>
          <w:rFonts w:hint="eastAsia"/>
          <w:lang w:val="en-US" w:eastAsia="zh-CN"/>
        </w:rPr>
        <w:t>相</w:t>
      </w:r>
      <w:r>
        <w:rPr>
          <w:rFonts w:hint="default"/>
        </w:rPr>
        <w:t>关规定进行报账、管理，要引导和组织农民群众参与扶贫开发项目建设，充分发挥扶贫资金使用效益。</w:t>
      </w:r>
    </w:p>
    <w:p>
      <w:pPr>
        <w:pStyle w:val="52"/>
        <w:keepNext w:val="0"/>
        <w:keepLines w:val="0"/>
        <w:pageBreakBefore w:val="0"/>
        <w:kinsoku/>
        <w:overflowPunct/>
        <w:topLinePunct w:val="0"/>
        <w:bidi w:val="0"/>
        <w:snapToGrid/>
        <w:spacing w:line="560" w:lineRule="exact"/>
        <w:ind w:firstLine="562"/>
        <w:textAlignment w:val="auto"/>
        <w:rPr>
          <w:rFonts w:hint="default"/>
          <w:b/>
          <w:bCs/>
        </w:rPr>
      </w:pPr>
      <w:r>
        <w:rPr>
          <w:rFonts w:hint="default"/>
          <w:b/>
          <w:bCs/>
        </w:rPr>
        <w:t>2）资金管理</w:t>
      </w:r>
    </w:p>
    <w:p>
      <w:pPr>
        <w:pStyle w:val="52"/>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default"/>
          <w:lang w:val="en-US" w:eastAsia="zh-CN"/>
        </w:rPr>
      </w:pPr>
      <w:r>
        <w:rPr>
          <w:rFonts w:hint="default"/>
          <w:b/>
          <w:bCs/>
          <w:lang w:val="en-US" w:eastAsia="zh-CN"/>
        </w:rPr>
        <w:t>预算安排与项目分配方面：</w:t>
      </w:r>
      <w:r>
        <w:rPr>
          <w:rFonts w:hint="default"/>
          <w:lang w:val="en-US" w:eastAsia="zh-CN"/>
        </w:rPr>
        <w:t>依据脱贫攻坚任务需要，结合中央、省和</w:t>
      </w:r>
      <w:r>
        <w:rPr>
          <w:rFonts w:hint="eastAsia"/>
          <w:lang w:val="en-US" w:eastAsia="zh-CN"/>
        </w:rPr>
        <w:t>信阳</w:t>
      </w:r>
      <w:r>
        <w:rPr>
          <w:rFonts w:hint="default"/>
          <w:lang w:val="en-US" w:eastAsia="zh-CN"/>
        </w:rPr>
        <w:t>市安排本市的情况，由村级申请、乡镇（办事处）审核，脱贫攻坚领导小组召开扶贫、财政、发展改革、民族、农林等部门联席会议，对贫困村、乡镇（办事处）上报的当年拟实施项目的可行性专题评审，并依据轻重缓急的原则予以安排，</w:t>
      </w:r>
      <w:r>
        <w:rPr>
          <w:rFonts w:hint="eastAsia"/>
          <w:lang w:val="en-US" w:eastAsia="zh-CN"/>
        </w:rPr>
        <w:t>淮滨县</w:t>
      </w:r>
      <w:r>
        <w:rPr>
          <w:rFonts w:hint="default"/>
          <w:lang w:val="en-US" w:eastAsia="zh-CN"/>
        </w:rPr>
        <w:t>每年预算安排的财政专项扶贫资金额度要确保达到省、</w:t>
      </w:r>
      <w:r>
        <w:rPr>
          <w:rFonts w:hint="eastAsia"/>
          <w:lang w:val="en-US" w:eastAsia="zh-CN"/>
        </w:rPr>
        <w:t>信阳</w:t>
      </w:r>
      <w:r>
        <w:rPr>
          <w:rFonts w:hint="default"/>
          <w:lang w:val="en-US" w:eastAsia="zh-CN"/>
        </w:rPr>
        <w:t>市绩效评价考核要求。</w:t>
      </w:r>
    </w:p>
    <w:p>
      <w:pPr>
        <w:pStyle w:val="52"/>
        <w:keepNext w:val="0"/>
        <w:keepLines w:val="0"/>
        <w:pageBreakBefore w:val="0"/>
        <w:widowControl/>
        <w:kinsoku/>
        <w:wordWrap w:val="0"/>
        <w:overflowPunct/>
        <w:topLinePunct w:val="0"/>
        <w:autoSpaceDE/>
        <w:autoSpaceDN/>
        <w:bidi w:val="0"/>
        <w:adjustRightInd/>
        <w:snapToGrid/>
        <w:spacing w:after="0" w:line="560" w:lineRule="exact"/>
        <w:ind w:firstLine="643" w:firstLineChars="200"/>
        <w:jc w:val="left"/>
        <w:textAlignment w:val="auto"/>
        <w:rPr>
          <w:rFonts w:hint="default"/>
          <w:color w:val="000000" w:themeColor="text1"/>
          <w:lang w:val="en-US" w:eastAsia="zh-CN"/>
          <w14:textFill>
            <w14:solidFill>
              <w14:schemeClr w14:val="tx1"/>
            </w14:solidFill>
          </w14:textFill>
        </w:rPr>
      </w:pPr>
      <w:r>
        <w:rPr>
          <w:rFonts w:hint="default"/>
          <w:b/>
          <w:bCs/>
          <w:lang w:val="en-US" w:eastAsia="zh-CN"/>
        </w:rPr>
        <w:t>资金支出范围：</w:t>
      </w:r>
      <w:r>
        <w:rPr>
          <w:rFonts w:hint="default"/>
          <w:color w:val="000000" w:themeColor="text1"/>
          <w:lang w:val="en-US" w:eastAsia="zh-CN"/>
          <w14:textFill>
            <w14:solidFill>
              <w14:schemeClr w14:val="tx1"/>
            </w14:solidFill>
          </w14:textFill>
        </w:rPr>
        <w:t>财政专项扶贫资金使用范围包括：当地特色优势产业、贫困地区小型公益性产业、贫困村和贫困率发生较高的非贫困村群众文化产业等。扶贫项目管理部门不得从中央、省和</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市财政专项扶贫资金中提取项目管理费。财政专项扶贫资金项目安排由</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市脱贫攻坚领导小组审批。结转结余的专项扶贫资金，按照中央、省有关结转结余资金管理的相关规定管理。财政部门按照财政国库管理制度的有关规定，及时办理财政专项扶贫资金支付手续</w:t>
      </w:r>
      <w:r>
        <w:rPr>
          <w:rFonts w:hint="eastAsia"/>
          <w:color w:val="000000" w:themeColor="text1"/>
          <w:lang w:val="en-US" w:eastAsia="zh-CN"/>
          <w14:textFill>
            <w14:solidFill>
              <w14:schemeClr w14:val="tx1"/>
            </w14:solidFill>
          </w14:textFill>
        </w:rPr>
        <w:t>。</w:t>
      </w:r>
    </w:p>
    <w:p>
      <w:pPr>
        <w:pStyle w:val="5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default"/>
          <w:b/>
          <w:bCs/>
          <w:lang w:val="en-US" w:eastAsia="zh-CN"/>
        </w:rPr>
        <w:t>资金管理与监督方面：</w:t>
      </w:r>
      <w:r>
        <w:rPr>
          <w:rFonts w:hint="default"/>
          <w:lang w:val="en-US" w:eastAsia="zh-CN"/>
        </w:rPr>
        <w:t>项目实施单位加强资金管理及信息化管理。各相关部门要严格执行扶贫资金项目公告公示制度。财政专项扶贫资金使用管理实行绩效评价制度，业务主管部门要积极开展资金使用的绩效自评工作。财政、扶贫、发展改革、民族、农林等部门要配合审计、纪检监察、检察机关、财政部专员办做好资金和项目的审计、检查等工作。财政监督机构按照工作职责和工作计划加强对财政专项扶贫资金的监督检查。</w:t>
      </w:r>
    </w:p>
    <w:bookmarkEnd w:id="100"/>
    <w:p>
      <w:pPr>
        <w:pStyle w:val="29"/>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bookmarkStart w:id="101" w:name="_Toc20186"/>
      <w:bookmarkStart w:id="102" w:name="_Toc18065"/>
      <w:bookmarkStart w:id="103" w:name="_Toc26829"/>
      <w:bookmarkStart w:id="104" w:name="_Toc23266423"/>
      <w:bookmarkStart w:id="105" w:name="_Toc26616"/>
      <w:bookmarkStart w:id="106" w:name="_Toc14426"/>
      <w:bookmarkStart w:id="107" w:name="_Toc23264908"/>
      <w:bookmarkStart w:id="108" w:name="_Toc20642"/>
      <w:bookmarkStart w:id="109" w:name="_Toc13687"/>
      <w:bookmarkStart w:id="110" w:name="_Toc11016"/>
      <w:r>
        <w:rPr>
          <w:rFonts w:hint="eastAsia" w:ascii="楷体" w:hAnsi="楷体" w:eastAsia="楷体" w:cs="楷体"/>
          <w:color w:val="000000" w:themeColor="text1"/>
          <w:sz w:val="32"/>
          <w:szCs w:val="32"/>
          <w:highlight w:val="none"/>
          <w14:textFill>
            <w14:solidFill>
              <w14:schemeClr w14:val="tx1"/>
            </w14:solidFill>
          </w14:textFill>
        </w:rPr>
        <w:t>（二）项目绩效目标</w:t>
      </w:r>
      <w:bookmarkEnd w:id="101"/>
      <w:bookmarkEnd w:id="102"/>
      <w:bookmarkEnd w:id="103"/>
      <w:bookmarkEnd w:id="104"/>
      <w:bookmarkEnd w:id="105"/>
      <w:bookmarkEnd w:id="106"/>
      <w:bookmarkEnd w:id="107"/>
      <w:bookmarkEnd w:id="108"/>
      <w:bookmarkEnd w:id="109"/>
      <w:bookmarkEnd w:id="110"/>
    </w:p>
    <w:p>
      <w:pPr>
        <w:pStyle w:val="52"/>
        <w:bidi w:val="0"/>
        <w:rPr>
          <w:rFonts w:hint="default" w:ascii="Times New Roman" w:hAnsi="Times New Roman" w:cs="Times New Roman"/>
          <w:b/>
          <w:bCs/>
        </w:rPr>
      </w:pPr>
      <w:bookmarkStart w:id="111" w:name="_Toc24047"/>
      <w:bookmarkStart w:id="112" w:name="_Toc22591"/>
      <w:bookmarkStart w:id="113" w:name="_Toc23266424"/>
      <w:bookmarkStart w:id="114" w:name="_Toc1333"/>
      <w:bookmarkStart w:id="115" w:name="_Toc10374"/>
      <w:bookmarkStart w:id="116" w:name="_Toc1380"/>
      <w:bookmarkStart w:id="117" w:name="_Toc22345"/>
      <w:bookmarkStart w:id="118" w:name="_Toc23264909"/>
      <w:bookmarkStart w:id="119" w:name="_Toc32696"/>
      <w:bookmarkStart w:id="120" w:name="_Toc23267035"/>
      <w:r>
        <w:rPr>
          <w:rFonts w:hint="default" w:ascii="Times New Roman" w:hAnsi="Times New Roman" w:cs="Times New Roman"/>
          <w:b/>
          <w:bCs/>
        </w:rPr>
        <w:t>1.总体绩效目标</w:t>
      </w:r>
      <w:bookmarkEnd w:id="111"/>
      <w:bookmarkEnd w:id="112"/>
      <w:bookmarkEnd w:id="113"/>
      <w:bookmarkEnd w:id="114"/>
      <w:bookmarkEnd w:id="115"/>
      <w:bookmarkEnd w:id="116"/>
      <w:bookmarkEnd w:id="117"/>
      <w:bookmarkEnd w:id="118"/>
      <w:bookmarkEnd w:id="119"/>
      <w:bookmarkEnd w:id="120"/>
    </w:p>
    <w:p>
      <w:pPr>
        <w:pStyle w:val="6"/>
        <w:rPr>
          <w:rFonts w:hint="default" w:ascii="Times New Roman" w:hAnsi="Times New Roman" w:cs="Times New Roman"/>
          <w:kern w:val="0"/>
          <w:szCs w:val="32"/>
          <w:lang w:eastAsia="zh-CN" w:bidi="en-US"/>
        </w:rPr>
      </w:pPr>
      <w:bookmarkStart w:id="121" w:name="_Toc23266425"/>
      <w:bookmarkStart w:id="122" w:name="_Toc23264910"/>
      <w:bookmarkStart w:id="123" w:name="_Toc23267036"/>
      <w:r>
        <w:rPr>
          <w:rFonts w:hint="eastAsia" w:cs="Times New Roman"/>
          <w:lang w:val="en-US" w:eastAsia="zh-CN"/>
        </w:rPr>
        <w:t>项目通过对特色种植、特色养殖产业发展，计划完成产业扶贫基地建设项目，带动贫困户通过种植、养殖、务工等模式实现增收，最大发挥扶贫资金的使用效益。</w:t>
      </w:r>
    </w:p>
    <w:p>
      <w:pPr>
        <w:pStyle w:val="52"/>
        <w:bidi w:val="0"/>
        <w:rPr>
          <w:rFonts w:hint="default" w:ascii="Times New Roman" w:hAnsi="Times New Roman" w:cs="Times New Roman"/>
        </w:rPr>
      </w:pPr>
      <w:bookmarkStart w:id="124" w:name="_Toc11910"/>
      <w:bookmarkStart w:id="125" w:name="_Toc8437"/>
      <w:bookmarkStart w:id="126" w:name="_Toc17505"/>
      <w:bookmarkStart w:id="127" w:name="_Toc499"/>
      <w:bookmarkStart w:id="128" w:name="_Toc28299"/>
      <w:bookmarkStart w:id="129" w:name="_Toc30076"/>
      <w:bookmarkStart w:id="130" w:name="_Toc6099"/>
      <w:r>
        <w:rPr>
          <w:rStyle w:val="53"/>
          <w:rFonts w:hint="default" w:ascii="Times New Roman" w:hAnsi="Times New Roman" w:cs="Times New Roman"/>
          <w:b/>
          <w:bCs/>
        </w:rPr>
        <w:t>2.年度绩效目标</w:t>
      </w:r>
      <w:bookmarkEnd w:id="121"/>
      <w:bookmarkEnd w:id="122"/>
      <w:bookmarkEnd w:id="123"/>
      <w:bookmarkEnd w:id="124"/>
      <w:bookmarkEnd w:id="125"/>
      <w:bookmarkEnd w:id="126"/>
      <w:bookmarkEnd w:id="127"/>
      <w:bookmarkEnd w:id="128"/>
      <w:bookmarkEnd w:id="129"/>
      <w:bookmarkEnd w:id="130"/>
      <w:r>
        <w:rPr>
          <w:rFonts w:hint="default" w:ascii="Times New Roman" w:hAnsi="Times New Roman" w:cs="Times New Roman"/>
        </w:rPr>
        <w:tab/>
      </w:r>
    </w:p>
    <w:p>
      <w:pPr>
        <w:pStyle w:val="5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color w:val="FF0000"/>
        </w:rPr>
      </w:pPr>
      <w:r>
        <w:rPr>
          <w:rFonts w:hint="default"/>
          <w:color w:val="000000" w:themeColor="text1"/>
          <w14:textFill>
            <w14:solidFill>
              <w14:schemeClr w14:val="tx1"/>
            </w14:solidFill>
          </w14:textFill>
        </w:rPr>
        <w:t>准滨县</w:t>
      </w:r>
      <w:r>
        <w:rPr>
          <w:rFonts w:hint="eastAsia"/>
          <w:color w:val="000000" w:themeColor="text1"/>
          <w:lang w:eastAsia="zh-CN"/>
          <w14:textFill>
            <w14:solidFill>
              <w14:schemeClr w14:val="tx1"/>
            </w14:solidFill>
          </w14:textFill>
        </w:rPr>
        <w:t>2020年马集镇刘大园村食用菌产业深加工项目</w:t>
      </w:r>
      <w:r>
        <w:rPr>
          <w:rFonts w:hint="eastAsia"/>
          <w:color w:val="000000" w:themeColor="text1"/>
          <w:lang w:val="en-US" w:eastAsia="zh-CN"/>
          <w14:textFill>
            <w14:solidFill>
              <w14:schemeClr w14:val="tx1"/>
            </w14:solidFill>
          </w14:textFill>
        </w:rPr>
        <w:t>计划通过项目实施，完成新建双孢菇深加工车间2个，研发中心1个，项目建设面积6152㎡，生产设备配备标准达到4条/套，项目（工程）验收合格率、项目（工程）完成及时率、均达到100%，村集体经济年收入达到122.2万元，带动贫困人口年收入60万元，受益建档立卡贫困人口数达到50人，提高受扶持贫困村村民满意度等，</w:t>
      </w:r>
      <w:r>
        <w:rPr>
          <w:rFonts w:hint="eastAsia"/>
          <w:color w:val="000000" w:themeColor="text1"/>
          <w:lang w:eastAsia="zh-CN"/>
          <w14:textFill>
            <w14:solidFill>
              <w14:schemeClr w14:val="tx1"/>
            </w14:solidFill>
          </w14:textFill>
        </w:rPr>
        <w:t>落实精准扶贫，健全扶贫项目带贫减贫机制，巩固脱贫成果等。具体项目绩效年度指标如表1-1所示：</w:t>
      </w:r>
    </w:p>
    <w:p>
      <w:pPr>
        <w:pStyle w:val="6"/>
        <w:keepNext w:val="0"/>
        <w:keepLines w:val="0"/>
        <w:pageBreakBefore w:val="0"/>
        <w:widowControl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eastAsia="仿宋_GB2312" w:cs="Times New Roman"/>
          <w:b/>
          <w:bCs w:val="0"/>
          <w:color w:val="000000" w:themeColor="text1"/>
          <w:sz w:val="24"/>
          <w:szCs w:val="24"/>
          <w14:textFill>
            <w14:solidFill>
              <w14:schemeClr w14:val="tx1"/>
            </w14:solidFill>
          </w14:textFill>
        </w:rPr>
      </w:pPr>
      <w:r>
        <w:rPr>
          <w:rFonts w:hint="default" w:ascii="Times New Roman" w:hAnsi="Times New Roman" w:eastAsia="仿宋_GB2312" w:cs="Times New Roman"/>
          <w:b/>
          <w:bCs w:val="0"/>
          <w:color w:val="000000" w:themeColor="text1"/>
          <w:sz w:val="24"/>
          <w:szCs w:val="24"/>
          <w14:textFill>
            <w14:solidFill>
              <w14:schemeClr w14:val="tx1"/>
            </w14:solidFill>
          </w14:textFill>
        </w:rPr>
        <w:t>表1-</w:t>
      </w:r>
      <w:r>
        <w:rPr>
          <w:rFonts w:hint="default" w:ascii="Times New Roman" w:hAnsi="Times New Roman" w:eastAsia="仿宋_GB2312" w:cs="Times New Roman"/>
          <w:b/>
          <w:bCs w:val="0"/>
          <w:color w:val="000000" w:themeColor="text1"/>
          <w:sz w:val="24"/>
          <w:szCs w:val="24"/>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sz w:val="24"/>
          <w:szCs w:val="24"/>
          <w14:textFill>
            <w14:solidFill>
              <w14:schemeClr w14:val="tx1"/>
            </w14:solidFill>
          </w14:textFill>
        </w:rPr>
        <w:t xml:space="preserve"> </w:t>
      </w:r>
      <w:r>
        <w:rPr>
          <w:rFonts w:hint="eastAsia" w:eastAsia="仿宋_GB2312" w:cs="Times New Roman"/>
          <w:b/>
          <w:bCs w:val="0"/>
          <w:color w:val="000000" w:themeColor="text1"/>
          <w:sz w:val="24"/>
          <w:szCs w:val="24"/>
          <w:lang w:val="en-US" w:eastAsia="zh-CN"/>
          <w14:textFill>
            <w14:solidFill>
              <w14:schemeClr w14:val="tx1"/>
            </w14:solidFill>
          </w14:textFill>
        </w:rPr>
        <w:t>淮滨</w:t>
      </w:r>
      <w:r>
        <w:rPr>
          <w:rFonts w:hint="default" w:ascii="Times New Roman" w:hAnsi="Times New Roman" w:eastAsia="仿宋_GB2312" w:cs="Times New Roman"/>
          <w:b/>
          <w:bCs w:val="0"/>
          <w:color w:val="000000" w:themeColor="text1"/>
          <w:sz w:val="24"/>
          <w:szCs w:val="24"/>
          <w14:textFill>
            <w14:solidFill>
              <w14:schemeClr w14:val="tx1"/>
            </w14:solidFill>
          </w14:textFill>
        </w:rPr>
        <w:t>县</w:t>
      </w:r>
      <w:r>
        <w:rPr>
          <w:rFonts w:hint="eastAsia" w:eastAsia="仿宋_GB2312" w:cs="Times New Roman"/>
          <w:b/>
          <w:bCs w:val="0"/>
          <w:color w:val="000000" w:themeColor="text1"/>
          <w:sz w:val="24"/>
          <w:szCs w:val="24"/>
          <w:lang w:eastAsia="zh-CN"/>
          <w14:textFill>
            <w14:solidFill>
              <w14:schemeClr w14:val="tx1"/>
            </w14:solidFill>
          </w14:textFill>
        </w:rPr>
        <w:t>2020年马集镇刘大园村食用菌产业深加工项目</w:t>
      </w:r>
      <w:r>
        <w:rPr>
          <w:rFonts w:hint="default" w:ascii="Times New Roman" w:hAnsi="Times New Roman" w:eastAsia="仿宋_GB2312" w:cs="Times New Roman"/>
          <w:b/>
          <w:bCs w:val="0"/>
          <w:color w:val="000000" w:themeColor="text1"/>
          <w:sz w:val="24"/>
          <w:szCs w:val="24"/>
          <w14:textFill>
            <w14:solidFill>
              <w14:schemeClr w14:val="tx1"/>
            </w14:solidFill>
          </w14:textFill>
        </w:rPr>
        <w:t>绩效目标汇总表</w:t>
      </w:r>
    </w:p>
    <w:tbl>
      <w:tblPr>
        <w:tblStyle w:val="19"/>
        <w:tblW w:w="4998" w:type="pct"/>
        <w:tblInd w:w="0" w:type="dxa"/>
        <w:shd w:val="clear" w:color="auto" w:fill="auto"/>
        <w:tblLayout w:type="autofit"/>
        <w:tblCellMar>
          <w:top w:w="0" w:type="dxa"/>
          <w:left w:w="108" w:type="dxa"/>
          <w:bottom w:w="0" w:type="dxa"/>
          <w:right w:w="108" w:type="dxa"/>
        </w:tblCellMar>
      </w:tblPr>
      <w:tblGrid>
        <w:gridCol w:w="1324"/>
        <w:gridCol w:w="1825"/>
        <w:gridCol w:w="3508"/>
        <w:gridCol w:w="1868"/>
      </w:tblGrid>
      <w:tr>
        <w:tblPrEx>
          <w:shd w:val="clear" w:color="auto" w:fill="auto"/>
          <w:tblCellMar>
            <w:top w:w="0" w:type="dxa"/>
            <w:left w:w="108" w:type="dxa"/>
            <w:bottom w:w="0" w:type="dxa"/>
            <w:right w:w="108" w:type="dxa"/>
          </w:tblCellMar>
        </w:tblPrEx>
        <w:trPr>
          <w:trHeight w:val="23" w:hRule="atLeast"/>
        </w:trPr>
        <w:tc>
          <w:tcPr>
            <w:tcW w:w="776"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131" w:name="_Toc13273"/>
            <w:bookmarkStart w:id="132" w:name="_Toc2003"/>
            <w:bookmarkStart w:id="133" w:name="_Toc1799"/>
            <w:bookmarkStart w:id="134" w:name="_Toc8530"/>
            <w:bookmarkStart w:id="135" w:name="_Toc2268"/>
            <w:bookmarkStart w:id="136" w:name="_Toc12058"/>
            <w:bookmarkStart w:id="137" w:name="_Toc4553"/>
            <w:bookmarkStart w:id="138" w:name="_Toc15120"/>
            <w:bookmarkStart w:id="139" w:name="_Toc19458"/>
            <w:bookmarkStart w:id="140" w:name="_Toc23266426"/>
            <w:bookmarkStart w:id="141" w:name="_Toc23264911"/>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1070"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05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1095"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23"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产出指标</w:t>
            </w:r>
          </w:p>
        </w:tc>
        <w:tc>
          <w:tcPr>
            <w:tcW w:w="10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产出数量</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新建双孢菇深加工车间、研发中心</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栋</w:t>
            </w:r>
          </w:p>
        </w:tc>
      </w:tr>
      <w:tr>
        <w:tblPrEx>
          <w:shd w:val="clear" w:color="auto" w:fill="auto"/>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项目建设面积</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6152</w:t>
            </w:r>
            <w:r>
              <w:rPr>
                <w:rFonts w:hint="eastAsia" w:ascii="仿宋_GB2312" w:hAnsi="Times New Roman" w:eastAsia="仿宋_GB2312" w:cs="仿宋_GB2312"/>
                <w:i w:val="0"/>
                <w:iCs w:val="0"/>
                <w:color w:val="000000"/>
                <w:kern w:val="0"/>
                <w:sz w:val="22"/>
                <w:szCs w:val="22"/>
                <w:u w:val="none"/>
                <w:lang w:val="en-US" w:eastAsia="zh-CN" w:bidi="ar"/>
              </w:rPr>
              <w:t>平方米</w:t>
            </w:r>
          </w:p>
        </w:tc>
      </w:tr>
      <w:tr>
        <w:tblPrEx>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生产设备配备</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r>
              <w:rPr>
                <w:rFonts w:hint="eastAsia" w:ascii="仿宋_GB2312" w:hAnsi="Times New Roman" w:eastAsia="仿宋_GB2312" w:cs="仿宋_GB2312"/>
                <w:i w:val="0"/>
                <w:iCs w:val="0"/>
                <w:color w:val="000000"/>
                <w:kern w:val="0"/>
                <w:sz w:val="22"/>
                <w:szCs w:val="22"/>
                <w:u w:val="none"/>
                <w:lang w:val="en-US" w:eastAsia="zh-CN" w:bidi="ar"/>
              </w:rPr>
              <w:t>条</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套</w:t>
            </w:r>
          </w:p>
        </w:tc>
      </w:tr>
      <w:tr>
        <w:tblPrEx>
          <w:shd w:val="clear" w:color="auto" w:fill="auto"/>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产出质量</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项目（工程）验收合格率</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产出时效</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项目（工程）完成及时率</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产出成本</w:t>
            </w:r>
          </w:p>
        </w:tc>
        <w:tc>
          <w:tcPr>
            <w:tcW w:w="20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default" w:ascii="Times New Roman" w:hAnsi="Times New Roman" w:eastAsia="仿宋_GB2312" w:cs="Times New Roman"/>
                <w:i w:val="0"/>
                <w:iCs w:val="0"/>
                <w:color w:val="000000"/>
                <w:kern w:val="0"/>
                <w:sz w:val="22"/>
                <w:szCs w:val="22"/>
                <w:u w:val="none"/>
                <w:lang w:val="en-US" w:eastAsia="zh-CN" w:bidi="ar"/>
              </w:rPr>
              <w:t>≤1522.35万元</w:t>
            </w:r>
          </w:p>
        </w:tc>
      </w:tr>
      <w:tr>
        <w:tblPrEx>
          <w:tblCellMar>
            <w:top w:w="0" w:type="dxa"/>
            <w:left w:w="108" w:type="dxa"/>
            <w:bottom w:w="0" w:type="dxa"/>
            <w:right w:w="108" w:type="dxa"/>
          </w:tblCellMar>
        </w:tblPrEx>
        <w:trPr>
          <w:trHeight w:val="23" w:hRule="atLeast"/>
        </w:trPr>
        <w:tc>
          <w:tcPr>
            <w:tcW w:w="7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效益指标</w:t>
            </w:r>
          </w:p>
        </w:tc>
        <w:tc>
          <w:tcPr>
            <w:tcW w:w="10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经济效益</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shd w:val="clear" w:color="auto" w:fill="auto"/>
          <w:tblCellMar>
            <w:top w:w="0" w:type="dxa"/>
            <w:left w:w="108" w:type="dxa"/>
            <w:bottom w:w="0" w:type="dxa"/>
            <w:right w:w="108" w:type="dxa"/>
          </w:tblCellMar>
        </w:tblPrEx>
        <w:trPr>
          <w:trHeight w:val="23"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社会效益</w:t>
            </w:r>
          </w:p>
        </w:tc>
        <w:tc>
          <w:tcPr>
            <w:tcW w:w="205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r>
              <w:rPr>
                <w:rFonts w:hint="eastAsia" w:ascii="仿宋_GB2312" w:hAnsi="Times New Roman" w:eastAsia="仿宋_GB2312" w:cs="仿宋_GB2312"/>
                <w:i w:val="0"/>
                <w:iCs w:val="0"/>
                <w:color w:val="000000"/>
                <w:kern w:val="0"/>
                <w:sz w:val="22"/>
                <w:szCs w:val="22"/>
                <w:u w:val="none"/>
                <w:lang w:val="en-US" w:eastAsia="zh-CN" w:bidi="ar"/>
              </w:rPr>
              <w:t>人</w:t>
            </w:r>
          </w:p>
        </w:tc>
      </w:tr>
      <w:tr>
        <w:tblPrEx>
          <w:tblCellMar>
            <w:top w:w="0" w:type="dxa"/>
            <w:left w:w="108" w:type="dxa"/>
            <w:bottom w:w="0" w:type="dxa"/>
            <w:right w:w="108" w:type="dxa"/>
          </w:tblCellMar>
        </w:tblPrEx>
        <w:trPr>
          <w:trHeight w:val="261" w:hRule="atLeast"/>
        </w:trPr>
        <w:tc>
          <w:tcPr>
            <w:tcW w:w="7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可持续影响</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年</w:t>
            </w:r>
          </w:p>
        </w:tc>
      </w:tr>
      <w:tr>
        <w:tblPrEx>
          <w:tblCellMar>
            <w:top w:w="0" w:type="dxa"/>
            <w:left w:w="108" w:type="dxa"/>
            <w:bottom w:w="0" w:type="dxa"/>
            <w:right w:w="108" w:type="dxa"/>
          </w:tblCellMar>
        </w:tblPrEx>
        <w:trPr>
          <w:trHeight w:val="23" w:hRule="atLeast"/>
        </w:trPr>
        <w:tc>
          <w:tcPr>
            <w:tcW w:w="7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满意度指标</w:t>
            </w: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服务对象满意度</w:t>
            </w:r>
          </w:p>
        </w:tc>
        <w:tc>
          <w:tcPr>
            <w:tcW w:w="20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10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r>
    </w:tbl>
    <w:p>
      <w:pPr>
        <w:pStyle w:val="4"/>
        <w:ind w:firstLine="640"/>
        <w:rPr>
          <w:rFonts w:hint="default" w:ascii="Times New Roman" w:hAnsi="Times New Roman" w:cs="Times New Roman"/>
          <w:b/>
          <w:bCs w:val="0"/>
          <w:color w:val="FF0000"/>
          <w:szCs w:val="32"/>
        </w:rPr>
      </w:pPr>
      <w:bookmarkStart w:id="142" w:name="_Toc3113"/>
      <w:r>
        <w:rPr>
          <w:rFonts w:hint="default" w:ascii="Times New Roman" w:hAnsi="Times New Roman" w:cs="Times New Roman"/>
          <w:b/>
          <w:bCs w:val="0"/>
          <w:szCs w:val="32"/>
        </w:rPr>
        <w:t>二、</w:t>
      </w:r>
      <w:r>
        <w:rPr>
          <w:rFonts w:hint="default" w:ascii="Times New Roman" w:hAnsi="Times New Roman" w:cs="Times New Roman"/>
          <w:b/>
          <w:bCs w:val="0"/>
          <w:color w:val="000000" w:themeColor="text1"/>
          <w:szCs w:val="32"/>
          <w14:textFill>
            <w14:solidFill>
              <w14:schemeClr w14:val="tx1"/>
            </w14:solidFill>
          </w14:textFill>
        </w:rPr>
        <w:t>绩效评价开展情况</w:t>
      </w:r>
      <w:bookmarkEnd w:id="131"/>
      <w:bookmarkEnd w:id="132"/>
      <w:bookmarkEnd w:id="133"/>
      <w:bookmarkEnd w:id="134"/>
      <w:bookmarkEnd w:id="135"/>
      <w:bookmarkEnd w:id="136"/>
      <w:bookmarkEnd w:id="137"/>
      <w:bookmarkEnd w:id="138"/>
      <w:bookmarkEnd w:id="139"/>
      <w:bookmarkEnd w:id="140"/>
      <w:bookmarkEnd w:id="141"/>
      <w:bookmarkEnd w:id="142"/>
    </w:p>
    <w:p>
      <w:pPr>
        <w:pStyle w:val="29"/>
        <w:ind w:firstLine="562"/>
        <w:rPr>
          <w:rFonts w:hint="default" w:ascii="Times New Roman" w:hAnsi="Times New Roman" w:cs="Times New Roman"/>
        </w:rPr>
      </w:pPr>
      <w:bookmarkStart w:id="143" w:name="_Toc14227"/>
      <w:bookmarkStart w:id="144" w:name="_Toc22452"/>
      <w:bookmarkStart w:id="145" w:name="_Toc23266427"/>
      <w:bookmarkStart w:id="146" w:name="_Toc23264912"/>
      <w:bookmarkStart w:id="147" w:name="_Toc18383"/>
      <w:bookmarkStart w:id="148" w:name="_Toc6129"/>
      <w:bookmarkStart w:id="149" w:name="_Toc30682"/>
      <w:bookmarkStart w:id="150" w:name="_Toc15367"/>
      <w:bookmarkStart w:id="151" w:name="_Toc13803"/>
      <w:bookmarkStart w:id="152" w:name="_Toc2935"/>
      <w:r>
        <w:rPr>
          <w:rFonts w:hint="default" w:ascii="Times New Roman" w:hAnsi="Times New Roman" w:eastAsia="楷体" w:cs="Times New Roman"/>
          <w:sz w:val="32"/>
          <w:szCs w:val="32"/>
        </w:rPr>
        <w:t>（一）绩效评价目的</w:t>
      </w:r>
      <w:bookmarkEnd w:id="143"/>
      <w:bookmarkEnd w:id="144"/>
      <w:bookmarkEnd w:id="145"/>
      <w:bookmarkEnd w:id="146"/>
      <w:bookmarkEnd w:id="147"/>
      <w:bookmarkEnd w:id="148"/>
      <w:bookmarkEnd w:id="149"/>
      <w:bookmarkEnd w:id="150"/>
      <w:bookmarkEnd w:id="151"/>
      <w:bookmarkEnd w:id="152"/>
    </w:p>
    <w:p>
      <w:pPr>
        <w:pStyle w:val="6"/>
        <w:rPr>
          <w:rFonts w:hint="default" w:ascii="Times New Roman" w:hAnsi="Times New Roman" w:cs="Times New Roman"/>
        </w:rPr>
      </w:pPr>
      <w:r>
        <w:rPr>
          <w:rFonts w:hint="default" w:ascii="Times New Roman" w:hAnsi="Times New Roman" w:cs="Times New Roman"/>
        </w:rPr>
        <w:t>本次绩效评价旨在了解</w:t>
      </w:r>
      <w:r>
        <w:rPr>
          <w:rFonts w:hint="eastAsia" w:cs="Times New Roman"/>
          <w:lang w:val="en-US" w:eastAsia="zh-CN"/>
        </w:rPr>
        <w:t>淮滨县</w:t>
      </w:r>
      <w:r>
        <w:rPr>
          <w:rFonts w:hint="eastAsia" w:cs="Times New Roman"/>
          <w:lang w:eastAsia="zh-CN"/>
        </w:rPr>
        <w:t>2020年马集镇刘大园村食用菌产业深加工项目</w:t>
      </w:r>
      <w:r>
        <w:rPr>
          <w:rFonts w:hint="default" w:ascii="Times New Roman" w:hAnsi="Times New Roman" w:cs="Times New Roman"/>
        </w:rPr>
        <w:t>资金投入、项目开展和绩效目标完成情况，检查项目实施各环节的合规性与合理性，总结</w:t>
      </w:r>
      <w:r>
        <w:rPr>
          <w:rFonts w:hint="eastAsia" w:cs="Times New Roman"/>
          <w:lang w:val="en-US" w:eastAsia="zh-CN"/>
        </w:rPr>
        <w:t>淮滨</w:t>
      </w:r>
      <w:r>
        <w:rPr>
          <w:rFonts w:hint="default" w:ascii="Times New Roman" w:hAnsi="Times New Roman" w:cs="Times New Roman"/>
        </w:rPr>
        <w:t>县扶贫工作开展中的成绩与经验，发现项目实施和资金管理中的问题与不足，并提出建设性的改进建议，进一步加强财政专项资金管理，提高财政资金管理及使用的经济性、效益性和效率性。</w:t>
      </w:r>
    </w:p>
    <w:p>
      <w:pPr>
        <w:pStyle w:val="29"/>
        <w:ind w:firstLine="562"/>
        <w:rPr>
          <w:rFonts w:hint="default" w:ascii="Times New Roman" w:hAnsi="Times New Roman" w:eastAsia="楷体" w:cs="Times New Roman"/>
          <w:sz w:val="32"/>
          <w:szCs w:val="32"/>
        </w:rPr>
      </w:pPr>
      <w:bookmarkStart w:id="153" w:name="_Toc14406"/>
      <w:bookmarkStart w:id="154" w:name="_Toc22179"/>
      <w:bookmarkStart w:id="155" w:name="_Toc4737"/>
      <w:bookmarkStart w:id="156" w:name="_Toc23264913"/>
      <w:bookmarkStart w:id="157" w:name="_Toc21046"/>
      <w:bookmarkStart w:id="158" w:name="_Toc23266428"/>
      <w:bookmarkStart w:id="159" w:name="_Toc20915"/>
      <w:bookmarkStart w:id="160" w:name="_Toc30441"/>
      <w:bookmarkStart w:id="161" w:name="_Toc21406"/>
      <w:bookmarkStart w:id="162" w:name="_Toc32432"/>
      <w:r>
        <w:rPr>
          <w:rFonts w:hint="default" w:ascii="Times New Roman" w:hAnsi="Times New Roman" w:eastAsia="楷体" w:cs="Times New Roman"/>
          <w:sz w:val="32"/>
          <w:szCs w:val="32"/>
        </w:rPr>
        <w:t>（二）绩效评价原则与方法</w:t>
      </w:r>
      <w:bookmarkEnd w:id="153"/>
      <w:bookmarkEnd w:id="154"/>
      <w:bookmarkEnd w:id="155"/>
      <w:bookmarkEnd w:id="156"/>
      <w:bookmarkEnd w:id="157"/>
      <w:bookmarkEnd w:id="158"/>
      <w:bookmarkEnd w:id="159"/>
      <w:bookmarkEnd w:id="160"/>
      <w:bookmarkEnd w:id="161"/>
      <w:bookmarkEnd w:id="162"/>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bookmarkStart w:id="163" w:name="_Toc21781507"/>
      <w:r>
        <w:rPr>
          <w:rFonts w:hint="default" w:ascii="Times New Roman" w:hAnsi="Times New Roman" w:eastAsia="仿宋" w:cs="Times New Roman"/>
          <w:kern w:val="0"/>
          <w:sz w:val="32"/>
          <w:szCs w:val="32"/>
          <w:lang w:val="en-US" w:eastAsia="zh-CN" w:bidi="en-US"/>
        </w:rPr>
        <w:t>此次评价</w:t>
      </w:r>
      <w:r>
        <w:rPr>
          <w:rFonts w:hint="default" w:ascii="Times New Roman" w:hAnsi="Times New Roman" w:eastAsia="仿宋" w:cs="Times New Roman"/>
          <w:kern w:val="0"/>
          <w:sz w:val="32"/>
          <w:szCs w:val="32"/>
          <w:lang w:bidi="en-US"/>
        </w:rPr>
        <w:t>坚持定量优先、定性与定量相结合的</w:t>
      </w:r>
      <w:r>
        <w:rPr>
          <w:rFonts w:hint="default" w:ascii="Times New Roman" w:hAnsi="Times New Roman" w:eastAsia="仿宋" w:cs="Times New Roman"/>
          <w:kern w:val="0"/>
          <w:sz w:val="32"/>
          <w:szCs w:val="32"/>
          <w:lang w:val="en-US" w:eastAsia="zh-CN" w:bidi="en-US"/>
        </w:rPr>
        <w:t>评价</w:t>
      </w:r>
      <w:r>
        <w:rPr>
          <w:rFonts w:hint="default" w:ascii="Times New Roman" w:hAnsi="Times New Roman" w:eastAsia="仿宋" w:cs="Times New Roman"/>
          <w:kern w:val="0"/>
          <w:sz w:val="32"/>
          <w:szCs w:val="32"/>
          <w:lang w:bidi="en-US"/>
        </w:rPr>
        <w:t>方式，始终遵循科学规范、全面系统、公正客观、合规合法、绩效相关的基本原则。</w:t>
      </w:r>
      <w:r>
        <w:rPr>
          <w:rFonts w:hint="default" w:ascii="Times New Roman" w:hAnsi="Times New Roman" w:eastAsia="仿宋" w:cs="Times New Roman"/>
          <w:kern w:val="0"/>
          <w:sz w:val="32"/>
          <w:szCs w:val="32"/>
          <w:lang w:val="en-US" w:eastAsia="zh-CN" w:bidi="en-US"/>
        </w:rPr>
        <w:t>在</w:t>
      </w:r>
      <w:r>
        <w:rPr>
          <w:rFonts w:hint="default" w:ascii="Times New Roman" w:hAnsi="Times New Roman" w:eastAsia="仿宋" w:cs="Times New Roman"/>
          <w:kern w:val="0"/>
          <w:sz w:val="32"/>
          <w:szCs w:val="32"/>
          <w:lang w:bidi="en-US"/>
        </w:rPr>
        <w:t>评价实施过程中</w:t>
      </w:r>
      <w:bookmarkEnd w:id="163"/>
      <w:r>
        <w:rPr>
          <w:rFonts w:hint="default" w:ascii="Times New Roman" w:hAnsi="Times New Roman" w:eastAsia="仿宋" w:cs="Times New Roman"/>
          <w:kern w:val="0"/>
          <w:sz w:val="32"/>
          <w:szCs w:val="32"/>
          <w:lang w:bidi="en-US"/>
        </w:rPr>
        <w:t>，将综合使用文献研究法、社会调查法、因素分析法和比较分析法等多种方法</w:t>
      </w:r>
      <w:r>
        <w:rPr>
          <w:rFonts w:hint="default" w:ascii="Times New Roman" w:hAnsi="Times New Roman" w:eastAsia="仿宋" w:cs="Times New Roman"/>
          <w:kern w:val="0"/>
          <w:sz w:val="32"/>
          <w:szCs w:val="32"/>
          <w:lang w:eastAsia="zh-CN" w:bidi="en-US"/>
        </w:rPr>
        <w:t>，</w:t>
      </w:r>
      <w:r>
        <w:rPr>
          <w:rFonts w:hint="default" w:ascii="Times New Roman" w:hAnsi="Times New Roman" w:eastAsia="仿宋" w:cs="Times New Roman"/>
          <w:kern w:val="0"/>
          <w:sz w:val="32"/>
          <w:szCs w:val="32"/>
          <w:lang w:val="en-US" w:eastAsia="zh-CN" w:bidi="en-US"/>
        </w:rPr>
        <w:t>提高评价工作的科学性与规范性。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r>
        <w:rPr>
          <w:rFonts w:hint="default" w:ascii="Times New Roman" w:hAnsi="Times New Roman" w:eastAsia="仿宋" w:cs="Times New Roman"/>
          <w:kern w:val="0"/>
          <w:sz w:val="32"/>
          <w:szCs w:val="32"/>
          <w:lang w:val="en-US" w:eastAsia="zh-CN" w:bidi="en-US"/>
        </w:rPr>
        <w:t>社会调查法主要通过问卷调研、访谈等形式实现，比较法则是通过对绩效目标与实施效果、历史与当期情况的比较，综合分析绩效目标实现程度，同时通过文献资料搜索、多因素分析来支撑评价的逻辑紧密性与客观性。</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164" w:name="_Toc19385"/>
      <w:bookmarkStart w:id="165" w:name="_Toc8101"/>
      <w:bookmarkStart w:id="166" w:name="_Toc18569"/>
      <w:bookmarkStart w:id="167" w:name="_Toc2192"/>
      <w:bookmarkStart w:id="168" w:name="_Toc7301"/>
      <w:bookmarkStart w:id="169" w:name="_Toc22491"/>
      <w:bookmarkStart w:id="170" w:name="_Toc23264914"/>
      <w:bookmarkStart w:id="171" w:name="_Toc23266429"/>
      <w:bookmarkStart w:id="172" w:name="_Toc7029"/>
      <w:bookmarkStart w:id="173" w:name="_Toc32640"/>
      <w:r>
        <w:rPr>
          <w:rFonts w:hint="default" w:ascii="Times New Roman" w:hAnsi="Times New Roman" w:cs="Times New Roman"/>
        </w:rPr>
        <w:t>（三）绩效评价工作过程</w:t>
      </w:r>
      <w:bookmarkEnd w:id="164"/>
      <w:bookmarkEnd w:id="165"/>
      <w:bookmarkEnd w:id="166"/>
      <w:bookmarkEnd w:id="167"/>
      <w:bookmarkEnd w:id="168"/>
      <w:bookmarkEnd w:id="169"/>
      <w:bookmarkEnd w:id="170"/>
      <w:bookmarkEnd w:id="171"/>
      <w:bookmarkEnd w:id="172"/>
      <w:bookmarkEnd w:id="173"/>
    </w:p>
    <w:p>
      <w:pPr>
        <w:pStyle w:val="52"/>
        <w:bidi w:val="0"/>
        <w:rPr>
          <w:rFonts w:hint="default" w:ascii="Times New Roman" w:hAnsi="Times New Roman" w:cs="Times New Roman"/>
          <w:b/>
          <w:bCs/>
          <w:lang w:eastAsia="zh-CN"/>
        </w:rPr>
      </w:pPr>
      <w:bookmarkStart w:id="174" w:name="_Toc15542"/>
      <w:bookmarkStart w:id="175" w:name="_Toc26277"/>
      <w:r>
        <w:rPr>
          <w:rFonts w:hint="default" w:ascii="Times New Roman" w:hAnsi="Times New Roman" w:cs="Times New Roman"/>
          <w:b/>
          <w:bCs/>
          <w:lang w:val="en-US" w:eastAsia="zh-CN"/>
        </w:rPr>
        <w:t>1.</w:t>
      </w:r>
      <w:r>
        <w:rPr>
          <w:rFonts w:hint="default" w:ascii="Times New Roman" w:hAnsi="Times New Roman" w:cs="Times New Roman"/>
          <w:b/>
          <w:bCs/>
        </w:rPr>
        <w:t>前期工作阶段</w:t>
      </w:r>
      <w:bookmarkEnd w:id="174"/>
      <w:bookmarkEnd w:id="175"/>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1</w:t>
      </w:r>
      <w:r>
        <w:rPr>
          <w:rFonts w:hint="default" w:ascii="Times New Roman" w:hAnsi="Times New Roman" w:cs="Times New Roman"/>
          <w:b/>
          <w:bCs/>
          <w:lang w:val="en-US" w:eastAsia="zh-CN"/>
        </w:rPr>
        <w:t>日-1</w:t>
      </w:r>
      <w:r>
        <w:rPr>
          <w:rFonts w:hint="eastAsia" w:cs="Times New Roman"/>
          <w:b/>
          <w:bCs/>
          <w:lang w:val="en-US" w:eastAsia="zh-CN"/>
        </w:rPr>
        <w:t>1</w:t>
      </w:r>
      <w:r>
        <w:rPr>
          <w:rFonts w:hint="default" w:ascii="Times New Roman" w:hAnsi="Times New Roman" w:cs="Times New Roman"/>
          <w:b/>
          <w:bCs/>
          <w:lang w:val="en-US" w:eastAsia="zh-CN"/>
        </w:rPr>
        <w:t>月2</w:t>
      </w:r>
      <w:r>
        <w:rPr>
          <w:rFonts w:hint="eastAsia" w:cs="Times New Roman"/>
          <w:b/>
          <w:bCs/>
          <w:lang w:val="en-US" w:eastAsia="zh-CN"/>
        </w:rPr>
        <w:t>0</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项目前期</w:t>
      </w:r>
      <w:bookmarkStart w:id="176" w:name="_Hlk533506556"/>
      <w:r>
        <w:rPr>
          <w:rFonts w:hint="default" w:ascii="Times New Roman" w:hAnsi="Times New Roman" w:cs="Times New Roman"/>
        </w:rPr>
        <w:t>准备。成立绩效评价小组，搜集项目资料，全面了解项目基本情况</w:t>
      </w:r>
      <w:bookmarkEnd w:id="176"/>
      <w:r>
        <w:rPr>
          <w:rFonts w:hint="default" w:ascii="Times New Roman" w:hAnsi="Times New Roman" w:cs="Times New Roman"/>
        </w:rPr>
        <w:t>。</w:t>
      </w:r>
    </w:p>
    <w:p>
      <w:pPr>
        <w:pStyle w:val="6"/>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工作方案制定及论证。</w:t>
      </w:r>
      <w:bookmarkStart w:id="177" w:name="_Hlk533501537"/>
      <w:r>
        <w:rPr>
          <w:rFonts w:hint="default" w:ascii="Times New Roman" w:hAnsi="Times New Roman" w:cs="Times New Roman"/>
        </w:rPr>
        <w:t>根据前期收集到的项目资料，</w:t>
      </w:r>
      <w:r>
        <w:rPr>
          <w:rFonts w:hint="default" w:ascii="Times New Roman" w:hAnsi="Times New Roman" w:cs="Times New Roman"/>
          <w:lang w:val="en-US" w:eastAsia="zh-CN"/>
        </w:rPr>
        <w:t>结合</w:t>
      </w:r>
      <w:r>
        <w:rPr>
          <w:rFonts w:hint="default" w:ascii="Times New Roman" w:hAnsi="Times New Roman" w:cs="Times New Roman"/>
        </w:rPr>
        <w:t>项目特点</w:t>
      </w:r>
      <w:r>
        <w:rPr>
          <w:rFonts w:hint="default" w:ascii="Times New Roman" w:hAnsi="Times New Roman" w:cs="Times New Roman"/>
          <w:lang w:eastAsia="zh-CN"/>
        </w:rPr>
        <w:t>，</w:t>
      </w:r>
      <w:r>
        <w:rPr>
          <w:rFonts w:hint="default" w:ascii="Times New Roman" w:hAnsi="Times New Roman" w:cs="Times New Roman"/>
        </w:rPr>
        <w:t>有针对性</w:t>
      </w:r>
      <w:r>
        <w:rPr>
          <w:rFonts w:hint="default" w:ascii="Times New Roman" w:hAnsi="Times New Roman" w:cs="Times New Roman"/>
          <w:lang w:val="en-US" w:eastAsia="zh-CN"/>
        </w:rPr>
        <w:t>地</w:t>
      </w:r>
      <w:r>
        <w:rPr>
          <w:rFonts w:hint="default" w:ascii="Times New Roman" w:hAnsi="Times New Roman" w:cs="Times New Roman"/>
        </w:rPr>
        <w:t>设计评价指标体系、基础数据</w:t>
      </w:r>
      <w:r>
        <w:rPr>
          <w:rFonts w:hint="default" w:ascii="Times New Roman" w:hAnsi="Times New Roman" w:cs="Times New Roman"/>
          <w:lang w:val="en-US" w:eastAsia="zh-CN"/>
        </w:rPr>
        <w:t>表</w:t>
      </w:r>
      <w:r>
        <w:rPr>
          <w:rFonts w:hint="default" w:ascii="Times New Roman" w:hAnsi="Times New Roman" w:cs="Times New Roman"/>
        </w:rPr>
        <w:t>、</w:t>
      </w:r>
      <w:r>
        <w:rPr>
          <w:rFonts w:hint="default" w:ascii="Times New Roman" w:hAnsi="Times New Roman" w:cs="Times New Roman"/>
          <w:lang w:val="en-US" w:eastAsia="zh-CN"/>
        </w:rPr>
        <w:t>资料清单</w:t>
      </w:r>
      <w:r>
        <w:rPr>
          <w:rFonts w:hint="default" w:ascii="Times New Roman" w:hAnsi="Times New Roman" w:cs="Times New Roman"/>
        </w:rPr>
        <w:t>等，确定科学、合理的评价方法和评价标准，设计绩效评价工作整体时间表，形成项目工作方案。</w:t>
      </w:r>
      <w:bookmarkEnd w:id="177"/>
    </w:p>
    <w:p>
      <w:pPr>
        <w:pStyle w:val="52"/>
        <w:bidi w:val="0"/>
        <w:rPr>
          <w:rFonts w:hint="default" w:ascii="Times New Roman" w:hAnsi="Times New Roman" w:cs="Times New Roman"/>
          <w:b/>
          <w:bCs/>
          <w:lang w:eastAsia="zh-CN"/>
        </w:rPr>
      </w:pPr>
      <w:bookmarkStart w:id="178" w:name="_Toc2077"/>
      <w:bookmarkStart w:id="179" w:name="_Toc30558"/>
      <w:r>
        <w:rPr>
          <w:rFonts w:hint="default" w:ascii="Times New Roman" w:hAnsi="Times New Roman" w:cs="Times New Roman"/>
          <w:b/>
          <w:bCs/>
          <w:lang w:val="en-US" w:eastAsia="zh-CN"/>
        </w:rPr>
        <w:t>2.</w:t>
      </w:r>
      <w:r>
        <w:rPr>
          <w:rFonts w:hint="default" w:ascii="Times New Roman" w:hAnsi="Times New Roman" w:cs="Times New Roman"/>
          <w:b/>
          <w:bCs/>
        </w:rPr>
        <w:t>评价实施阶段</w:t>
      </w:r>
      <w:bookmarkEnd w:id="178"/>
      <w:bookmarkEnd w:id="179"/>
      <w:r>
        <w:rPr>
          <w:rFonts w:hint="default" w:ascii="Times New Roman" w:hAnsi="Times New Roman" w:cs="Times New Roman"/>
          <w:b/>
          <w:bCs/>
          <w:lang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21</w:t>
      </w:r>
      <w:r>
        <w:rPr>
          <w:rFonts w:hint="default" w:ascii="Times New Roman" w:hAnsi="Times New Roman" w:cs="Times New Roman"/>
          <w:b/>
          <w:bCs/>
          <w:lang w:val="en-US" w:eastAsia="zh-CN"/>
        </w:rPr>
        <w:t>日-</w:t>
      </w:r>
      <w:r>
        <w:rPr>
          <w:rFonts w:hint="eastAsia" w:cs="Times New Roman"/>
          <w:b/>
          <w:bCs/>
          <w:lang w:val="en-US" w:eastAsia="zh-CN"/>
        </w:rPr>
        <w:t>11</w:t>
      </w:r>
      <w:r>
        <w:rPr>
          <w:rFonts w:hint="default" w:ascii="Times New Roman" w:hAnsi="Times New Roman" w:cs="Times New Roman"/>
          <w:b/>
          <w:bCs/>
          <w:lang w:val="en-US" w:eastAsia="zh-CN"/>
        </w:rPr>
        <w:t>月</w:t>
      </w:r>
      <w:r>
        <w:rPr>
          <w:rFonts w:hint="eastAsia" w:cs="Times New Roman"/>
          <w:b/>
          <w:bCs/>
          <w:lang w:val="en-US" w:eastAsia="zh-CN"/>
        </w:rPr>
        <w:t>26</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eastAsia="仿宋_GB2312" w:cs="Times New Roman"/>
          <w:lang w:val="en-US" w:eastAsia="zh-CN"/>
        </w:rPr>
      </w:pPr>
      <w:bookmarkStart w:id="180" w:name="_Hlk533501604"/>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开展社会调研及数据采集。与项目主管单位等相关单位协调配合，完成</w:t>
      </w:r>
      <w:r>
        <w:rPr>
          <w:rFonts w:hint="default" w:ascii="Times New Roman" w:hAnsi="Times New Roman" w:cs="Times New Roman"/>
          <w:lang w:val="en-US" w:eastAsia="zh-CN"/>
        </w:rPr>
        <w:t>访谈调研</w:t>
      </w:r>
      <w:r>
        <w:rPr>
          <w:rFonts w:hint="default" w:ascii="Times New Roman" w:hAnsi="Times New Roman" w:cs="Times New Roman"/>
        </w:rPr>
        <w:t>、实地核查、</w:t>
      </w:r>
      <w:r>
        <w:rPr>
          <w:rFonts w:hint="default" w:ascii="Times New Roman" w:hAnsi="Times New Roman" w:cs="Times New Roman"/>
          <w:lang w:val="en-US" w:eastAsia="zh-CN"/>
        </w:rPr>
        <w:t>满意度</w:t>
      </w:r>
      <w:r>
        <w:rPr>
          <w:rFonts w:hint="default" w:ascii="Times New Roman" w:hAnsi="Times New Roman" w:cs="Times New Roman"/>
        </w:rPr>
        <w:t>调研等。通过</w:t>
      </w:r>
      <w:r>
        <w:rPr>
          <w:rFonts w:hint="default" w:ascii="Times New Roman" w:hAnsi="Times New Roman" w:cs="Times New Roman"/>
          <w:lang w:val="en-US" w:eastAsia="zh-CN"/>
        </w:rPr>
        <w:t>对</w:t>
      </w:r>
      <w:r>
        <w:rPr>
          <w:rFonts w:hint="eastAsia" w:cs="Times New Roman"/>
          <w:lang w:val="en-US" w:eastAsia="zh-CN"/>
        </w:rPr>
        <w:t>淮滨县</w:t>
      </w:r>
      <w:r>
        <w:rPr>
          <w:rFonts w:hint="default" w:ascii="Times New Roman" w:hAnsi="Times New Roman" w:cs="Times New Roman"/>
        </w:rPr>
        <w:t>财政局业务</w:t>
      </w:r>
      <w:r>
        <w:rPr>
          <w:rFonts w:hint="eastAsia" w:cs="Times New Roman"/>
          <w:lang w:val="en-US" w:eastAsia="zh-CN"/>
        </w:rPr>
        <w:t>股</w:t>
      </w:r>
      <w:r>
        <w:rPr>
          <w:rFonts w:hint="default" w:ascii="Times New Roman" w:hAnsi="Times New Roman" w:cs="Times New Roman"/>
        </w:rPr>
        <w:t>室、</w:t>
      </w:r>
      <w:r>
        <w:rPr>
          <w:rFonts w:hint="eastAsia" w:cs="Times New Roman"/>
          <w:lang w:val="en-US" w:eastAsia="zh-CN"/>
        </w:rPr>
        <w:t>淮滨县农业农村局</w:t>
      </w:r>
      <w:r>
        <w:rPr>
          <w:rFonts w:hint="default" w:ascii="Times New Roman" w:hAnsi="Times New Roman" w:cs="Times New Roman"/>
        </w:rPr>
        <w:t>进行座谈，深入了解项目建设实施情况</w:t>
      </w:r>
      <w:r>
        <w:rPr>
          <w:rFonts w:hint="default" w:ascii="Times New Roman" w:hAnsi="Times New Roman" w:cs="Times New Roman"/>
          <w:lang w:val="en-US" w:eastAsia="zh-CN"/>
        </w:rPr>
        <w:t>，工作中遇到的困难及下一步工作计划等问题；</w:t>
      </w:r>
      <w:r>
        <w:rPr>
          <w:rFonts w:hint="default" w:ascii="Times New Roman" w:hAnsi="Times New Roman" w:cs="Times New Roman"/>
          <w:color w:val="000000" w:themeColor="text1"/>
          <w:lang w:val="en-US" w:eastAsia="zh-CN"/>
          <w14:textFill>
            <w14:solidFill>
              <w14:schemeClr w14:val="tx1"/>
            </w14:solidFill>
          </w14:textFill>
        </w:rPr>
        <w:t>通</w:t>
      </w:r>
      <w:bookmarkStart w:id="354" w:name="_GoBack"/>
      <w:bookmarkEnd w:id="354"/>
      <w:r>
        <w:rPr>
          <w:rFonts w:hint="default" w:ascii="Times New Roman" w:hAnsi="Times New Roman" w:cs="Times New Roman"/>
          <w:color w:val="000000" w:themeColor="text1"/>
          <w:lang w:val="en-US" w:eastAsia="zh-CN"/>
          <w14:textFill>
            <w14:solidFill>
              <w14:schemeClr w14:val="tx1"/>
            </w14:solidFill>
          </w14:textFill>
        </w:rPr>
        <w:t>过实地查勘项目实施、建设、维护、公示等情况</w:t>
      </w:r>
      <w:r>
        <w:rPr>
          <w:rFonts w:hint="default" w:ascii="Times New Roman" w:hAnsi="Times New Roman" w:cs="Times New Roman"/>
          <w:lang w:val="en-US" w:eastAsia="zh-CN"/>
        </w:rPr>
        <w:t>；通过</w:t>
      </w:r>
      <w:r>
        <w:rPr>
          <w:rFonts w:hint="default" w:ascii="Times New Roman" w:hAnsi="Times New Roman" w:cs="Times New Roman"/>
        </w:rPr>
        <w:t>基础表等形式进行数据采集，对绩效评价项目内容进行分析判断，主要包括项目建设情况、资金使用情况、项目管理制度制定及执行情况、项目绩效达成情况等内容，并对数据进行复核。</w:t>
      </w:r>
      <w:bookmarkEnd w:id="180"/>
    </w:p>
    <w:p>
      <w:pPr>
        <w:pStyle w:val="6"/>
        <w:rPr>
          <w:rFonts w:hint="default" w:ascii="Times New Roman" w:hAnsi="Times New Roman" w:cs="Times New Roman"/>
        </w:rPr>
      </w:pPr>
      <w:bookmarkStart w:id="181" w:name="_Hlk533501639"/>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数据整理和分析。针对采集数据进行整理、剔除错误数据，进行数据分析，回答关键评价问题，进行原因解释。</w:t>
      </w:r>
      <w:bookmarkEnd w:id="181"/>
    </w:p>
    <w:p>
      <w:pPr>
        <w:pStyle w:val="52"/>
        <w:bidi w:val="0"/>
        <w:rPr>
          <w:rFonts w:hint="default" w:ascii="Times New Roman" w:hAnsi="Times New Roman" w:cs="Times New Roman"/>
          <w:b/>
          <w:bCs/>
          <w:lang w:eastAsia="zh-CN"/>
        </w:rPr>
      </w:pPr>
      <w:bookmarkStart w:id="182" w:name="_Toc3927"/>
      <w:bookmarkStart w:id="183" w:name="_Toc16908"/>
      <w:r>
        <w:rPr>
          <w:rFonts w:hint="default" w:ascii="Times New Roman" w:hAnsi="Times New Roman" w:cs="Times New Roman"/>
          <w:b/>
          <w:bCs/>
          <w:lang w:val="en-US" w:eastAsia="zh-CN"/>
        </w:rPr>
        <w:t>3.</w:t>
      </w:r>
      <w:r>
        <w:rPr>
          <w:rFonts w:hint="default" w:ascii="Times New Roman" w:hAnsi="Times New Roman" w:cs="Times New Roman"/>
          <w:b/>
          <w:bCs/>
        </w:rPr>
        <w:t>报告撰写阶段</w:t>
      </w:r>
      <w:bookmarkEnd w:id="182"/>
      <w:bookmarkEnd w:id="183"/>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w:t>
      </w:r>
      <w:r>
        <w:rPr>
          <w:rFonts w:hint="default" w:ascii="Times New Roman" w:hAnsi="Times New Roman" w:cs="Times New Roman"/>
          <w:b/>
          <w:bCs/>
          <w:lang w:val="en-US" w:eastAsia="zh-CN"/>
        </w:rPr>
        <w:t>7日-</w:t>
      </w:r>
      <w:r>
        <w:rPr>
          <w:rFonts w:hint="eastAsia" w:cs="Times New Roman"/>
          <w:b/>
          <w:bCs/>
          <w:lang w:val="en-US" w:eastAsia="zh-CN"/>
        </w:rPr>
        <w:t>2021年12</w:t>
      </w:r>
      <w:r>
        <w:rPr>
          <w:rFonts w:hint="default" w:ascii="Times New Roman" w:hAnsi="Times New Roman" w:cs="Times New Roman"/>
          <w:b/>
          <w:bCs/>
          <w:lang w:val="en-US" w:eastAsia="zh-CN"/>
        </w:rPr>
        <w:t>月7日</w:t>
      </w:r>
      <w:r>
        <w:rPr>
          <w:rFonts w:hint="default" w:ascii="Times New Roman" w:hAnsi="Times New Roman" w:cs="Times New Roman"/>
          <w:b/>
          <w:bCs/>
          <w:lang w:eastAsia="zh-CN"/>
        </w:rPr>
        <w:t>）</w:t>
      </w:r>
    </w:p>
    <w:p>
      <w:pPr>
        <w:pStyle w:val="6"/>
        <w:rPr>
          <w:rFonts w:hint="default" w:ascii="Times New Roman" w:hAnsi="Times New Roman" w:cs="Times New Roman"/>
        </w:rPr>
      </w:pPr>
      <w:bookmarkStart w:id="184" w:name="_Hlk533501753"/>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评价报告撰写。依据制订的评价标准和打分规则，对项目进行量化打分。依据评价结论和扶贫工作取得的成效，撰写绩效评价报告，总结经验、分析不足，并针对存在问题提出改进建议。</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评价报告论证与修改。撰写绩效评价报告，提交公司内部质控，由专家针对评价报告的全面性、简明性等提出独立、客观、公正的评审意见</w:t>
      </w:r>
      <w:r>
        <w:rPr>
          <w:rFonts w:hint="default" w:ascii="Times New Roman" w:hAnsi="Times New Roman" w:cs="Times New Roman"/>
          <w:lang w:eastAsia="zh-CN"/>
        </w:rPr>
        <w:t>，</w:t>
      </w:r>
      <w:r>
        <w:rPr>
          <w:rFonts w:hint="default" w:ascii="Times New Roman" w:hAnsi="Times New Roman" w:cs="Times New Roman"/>
        </w:rPr>
        <w:t>评价小组根据质控意见对报告进行修改完善，形成初稿提交。</w:t>
      </w:r>
      <w:bookmarkEnd w:id="184"/>
    </w:p>
    <w:p>
      <w:pPr>
        <w:pStyle w:val="4"/>
        <w:ind w:firstLine="643"/>
        <w:rPr>
          <w:rFonts w:hint="default" w:ascii="Times New Roman" w:hAnsi="Times New Roman" w:cs="Times New Roman"/>
        </w:rPr>
      </w:pPr>
      <w:bookmarkStart w:id="185" w:name="_Toc23266434"/>
      <w:bookmarkStart w:id="186" w:name="_Toc22950"/>
      <w:bookmarkStart w:id="187" w:name="_Toc14320"/>
      <w:bookmarkStart w:id="188" w:name="_Toc29896"/>
      <w:bookmarkStart w:id="189" w:name="_Toc23264919"/>
      <w:bookmarkStart w:id="190" w:name="_Toc1326"/>
      <w:bookmarkStart w:id="191" w:name="_Toc6183"/>
      <w:bookmarkStart w:id="192" w:name="_Toc28641"/>
      <w:bookmarkStart w:id="193" w:name="_Toc28913"/>
      <w:bookmarkStart w:id="194" w:name="_Toc22528"/>
      <w:bookmarkStart w:id="195" w:name="_Toc490"/>
      <w:bookmarkStart w:id="196" w:name="_Toc1286"/>
      <w:r>
        <w:rPr>
          <w:rFonts w:hint="default" w:ascii="Times New Roman" w:hAnsi="Times New Roman" w:cs="Times New Roman"/>
        </w:rPr>
        <w:t>三、综合评价过程及指标分析</w:t>
      </w:r>
      <w:bookmarkEnd w:id="185"/>
      <w:bookmarkEnd w:id="186"/>
      <w:bookmarkEnd w:id="187"/>
      <w:bookmarkEnd w:id="188"/>
      <w:bookmarkEnd w:id="189"/>
      <w:bookmarkEnd w:id="190"/>
      <w:bookmarkEnd w:id="191"/>
      <w:bookmarkEnd w:id="192"/>
      <w:bookmarkEnd w:id="193"/>
      <w:bookmarkEnd w:id="194"/>
      <w:bookmarkEnd w:id="195"/>
      <w:bookmarkEnd w:id="196"/>
    </w:p>
    <w:p>
      <w:pPr>
        <w:pStyle w:val="29"/>
        <w:ind w:firstLine="562"/>
        <w:rPr>
          <w:rFonts w:hint="default" w:ascii="Times New Roman" w:hAnsi="Times New Roman" w:eastAsia="楷体" w:cs="Times New Roman"/>
          <w:sz w:val="32"/>
          <w:szCs w:val="32"/>
        </w:rPr>
      </w:pPr>
      <w:bookmarkStart w:id="197" w:name="_Toc31218"/>
      <w:bookmarkStart w:id="198" w:name="_Toc10864"/>
      <w:bookmarkStart w:id="199" w:name="_Toc15113"/>
      <w:bookmarkStart w:id="200" w:name="_Toc11888"/>
      <w:bookmarkStart w:id="201" w:name="_Toc23264920"/>
      <w:bookmarkStart w:id="202" w:name="_Toc13702"/>
      <w:bookmarkStart w:id="203" w:name="_Toc23266435"/>
      <w:bookmarkStart w:id="204" w:name="_Toc16902"/>
      <w:bookmarkStart w:id="205" w:name="_Toc7164"/>
      <w:bookmarkStart w:id="206" w:name="_Toc6750"/>
      <w:r>
        <w:rPr>
          <w:rFonts w:hint="default" w:ascii="Times New Roman" w:hAnsi="Times New Roman" w:eastAsia="楷体" w:cs="Times New Roman"/>
          <w:sz w:val="32"/>
          <w:szCs w:val="32"/>
        </w:rPr>
        <w:t>（一）总体评价结论</w:t>
      </w:r>
      <w:bookmarkEnd w:id="197"/>
      <w:bookmarkEnd w:id="198"/>
      <w:bookmarkEnd w:id="199"/>
      <w:bookmarkEnd w:id="200"/>
      <w:bookmarkEnd w:id="201"/>
      <w:bookmarkEnd w:id="202"/>
      <w:bookmarkEnd w:id="203"/>
      <w:bookmarkEnd w:id="204"/>
      <w:bookmarkEnd w:id="205"/>
      <w:bookmarkEnd w:id="206"/>
    </w:p>
    <w:p>
      <w:pPr>
        <w:pStyle w:val="52"/>
        <w:bidi w:val="0"/>
        <w:rPr>
          <w:rFonts w:hint="default" w:ascii="Times New Roman" w:hAnsi="Times New Roman" w:cs="Times New Roman"/>
          <w:b/>
          <w:bCs/>
        </w:rPr>
      </w:pPr>
      <w:bookmarkStart w:id="207" w:name="_Toc23267047"/>
      <w:bookmarkStart w:id="208" w:name="_Toc11620"/>
      <w:bookmarkStart w:id="209" w:name="_Toc14953"/>
      <w:bookmarkStart w:id="210" w:name="_Toc23264921"/>
      <w:bookmarkStart w:id="211" w:name="_Toc11840"/>
      <w:bookmarkStart w:id="212" w:name="_Toc11148"/>
      <w:bookmarkStart w:id="213" w:name="_Toc7425"/>
      <w:bookmarkStart w:id="214" w:name="_Toc23266436"/>
      <w:bookmarkStart w:id="215" w:name="_Toc5133"/>
      <w:bookmarkStart w:id="216" w:name="_Toc7336"/>
      <w:r>
        <w:rPr>
          <w:rFonts w:hint="default" w:ascii="Times New Roman" w:hAnsi="Times New Roman" w:cs="Times New Roman"/>
          <w:b/>
          <w:bCs/>
        </w:rPr>
        <w:t>1.评分结果</w:t>
      </w:r>
      <w:bookmarkEnd w:id="207"/>
      <w:bookmarkEnd w:id="208"/>
      <w:bookmarkEnd w:id="209"/>
      <w:bookmarkEnd w:id="210"/>
      <w:bookmarkEnd w:id="211"/>
      <w:bookmarkEnd w:id="212"/>
      <w:bookmarkEnd w:id="213"/>
      <w:bookmarkEnd w:id="214"/>
      <w:bookmarkEnd w:id="215"/>
      <w:bookmarkEnd w:id="216"/>
    </w:p>
    <w:p>
      <w:pPr>
        <w:pStyle w:val="6"/>
        <w:rPr>
          <w:rFonts w:hint="default" w:ascii="Times New Roman" w:hAnsi="Times New Roman" w:cs="Times New Roman"/>
        </w:rPr>
      </w:pPr>
      <w:r>
        <w:rPr>
          <w:rFonts w:hint="default" w:ascii="Times New Roman" w:hAnsi="Times New Roman" w:cs="Times New Roman"/>
        </w:rPr>
        <w:t>运用由评价组</w:t>
      </w:r>
      <w:r>
        <w:rPr>
          <w:rFonts w:hint="default" w:ascii="Times New Roman" w:hAnsi="Times New Roman" w:cs="Times New Roman"/>
          <w:lang w:val="en-US" w:eastAsia="zh-CN"/>
        </w:rPr>
        <w:t>设计</w:t>
      </w:r>
      <w:r>
        <w:rPr>
          <w:rFonts w:hint="default" w:ascii="Times New Roman" w:hAnsi="Times New Roman" w:cs="Times New Roman"/>
        </w:rPr>
        <w:t>的指标体系及评分标准，通过数据采集、访谈、问卷等形式对</w:t>
      </w:r>
      <w:r>
        <w:rPr>
          <w:rFonts w:hint="eastAsia" w:cs="Times New Roman"/>
          <w:lang w:eastAsia="zh-CN"/>
        </w:rPr>
        <w:t>淮滨</w:t>
      </w:r>
      <w:r>
        <w:rPr>
          <w:rFonts w:hint="default" w:ascii="Times New Roman" w:hAnsi="Times New Roman" w:cs="Times New Roman"/>
          <w:lang w:eastAsia="zh-CN"/>
        </w:rPr>
        <w:t>县</w:t>
      </w:r>
      <w:r>
        <w:rPr>
          <w:rFonts w:hint="eastAsia" w:cs="Times New Roman"/>
          <w:lang w:eastAsia="zh-CN"/>
        </w:rPr>
        <w:t>2020年马集镇刘大园村食用菌产业深加工项目</w:t>
      </w:r>
      <w:r>
        <w:rPr>
          <w:rFonts w:hint="default" w:ascii="Times New Roman" w:hAnsi="Times New Roman" w:cs="Times New Roman"/>
        </w:rPr>
        <w:t>进行客观评价，最终评价得分为</w:t>
      </w:r>
      <w:r>
        <w:rPr>
          <w:rFonts w:hint="default" w:ascii="Times New Roman" w:hAnsi="Times New Roman" w:cs="Times New Roman"/>
          <w:highlight w:val="none"/>
          <w:lang w:val="en-US" w:eastAsia="zh-CN"/>
        </w:rPr>
        <w:t>9</w:t>
      </w:r>
      <w:r>
        <w:rPr>
          <w:rFonts w:hint="eastAsia" w:cs="Times New Roman"/>
          <w:highlight w:val="none"/>
          <w:lang w:val="en-US" w:eastAsia="zh-CN"/>
        </w:rPr>
        <w:t>3.79</w:t>
      </w:r>
      <w:r>
        <w:rPr>
          <w:rFonts w:hint="default" w:ascii="Times New Roman" w:hAnsi="Times New Roman" w:cs="Times New Roman"/>
        </w:rPr>
        <w:t>分</w:t>
      </w:r>
      <w:r>
        <w:rPr>
          <w:rFonts w:hint="default" w:ascii="Times New Roman" w:hAnsi="Times New Roman" w:cs="Times New Roman"/>
          <w:lang w:eastAsia="zh-CN"/>
        </w:rPr>
        <w:t>，</w:t>
      </w:r>
      <w:r>
        <w:rPr>
          <w:rFonts w:hint="default" w:ascii="Times New Roman" w:hAnsi="Times New Roman" w:cs="Times New Roman"/>
        </w:rPr>
        <w:t>绩效评价级别为</w:t>
      </w:r>
      <w:r>
        <w:rPr>
          <w:rFonts w:hint="eastAsia" w:cs="Times New Roman"/>
          <w:lang w:eastAsia="zh-CN"/>
        </w:rPr>
        <w:t>“</w:t>
      </w:r>
      <w:r>
        <w:rPr>
          <w:rFonts w:hint="eastAsia" w:cs="Times New Roman"/>
          <w:lang w:val="en-US" w:eastAsia="zh-CN"/>
        </w:rPr>
        <w:t>优</w:t>
      </w:r>
      <w:r>
        <w:rPr>
          <w:rFonts w:hint="eastAsia" w:cs="Times New Roman"/>
          <w:lang w:eastAsia="zh-CN"/>
        </w:rPr>
        <w:t>”</w:t>
      </w:r>
      <w:r>
        <w:rPr>
          <w:rStyle w:val="25"/>
          <w:rFonts w:hint="default" w:ascii="Times New Roman" w:hAnsi="Times New Roman" w:cs="Times New Roman"/>
        </w:rPr>
        <w:footnoteReference w:id="0"/>
      </w:r>
      <w:r>
        <w:rPr>
          <w:rFonts w:hint="default" w:ascii="Times New Roman" w:hAnsi="Times New Roman" w:cs="Times New Roman"/>
        </w:rPr>
        <w:t>。具体得分情况见表3-1：</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cs="Times New Roman"/>
          <w:sz w:val="21"/>
          <w:szCs w:val="21"/>
        </w:rPr>
      </w:pPr>
      <w:r>
        <w:rPr>
          <w:rFonts w:hint="default" w:ascii="Times New Roman" w:hAnsi="Times New Roman" w:eastAsia="仿宋_GB2312" w:cs="Times New Roman"/>
          <w:b/>
          <w:bCs w:val="0"/>
          <w:sz w:val="24"/>
          <w:szCs w:val="24"/>
        </w:rPr>
        <w:t xml:space="preserve">表3-1 </w:t>
      </w:r>
      <w:r>
        <w:rPr>
          <w:rFonts w:hint="eastAsia" w:cs="Times New Roman"/>
          <w:b/>
          <w:bCs w:val="0"/>
          <w:sz w:val="24"/>
          <w:szCs w:val="24"/>
          <w:lang w:val="en-US" w:eastAsia="zh-CN"/>
        </w:rPr>
        <w:t>淮滨</w:t>
      </w:r>
      <w:r>
        <w:rPr>
          <w:rFonts w:hint="default" w:ascii="Times New Roman" w:hAnsi="Times New Roman" w:eastAsia="仿宋_GB2312" w:cs="Times New Roman"/>
          <w:b/>
          <w:bCs w:val="0"/>
          <w:sz w:val="24"/>
          <w:szCs w:val="24"/>
          <w:lang w:val="en-US" w:eastAsia="zh-CN"/>
        </w:rPr>
        <w:t>县</w:t>
      </w:r>
      <w:r>
        <w:rPr>
          <w:rFonts w:hint="eastAsia" w:cs="Times New Roman"/>
          <w:b/>
          <w:bCs w:val="0"/>
          <w:sz w:val="24"/>
          <w:szCs w:val="24"/>
          <w:lang w:val="en-US" w:eastAsia="zh-CN"/>
        </w:rPr>
        <w:t>2020年马集镇刘大园村食用菌产业深加工项目</w:t>
      </w:r>
    </w:p>
    <w:tbl>
      <w:tblPr>
        <w:tblStyle w:val="19"/>
        <w:tblW w:w="4998" w:type="pct"/>
        <w:tblInd w:w="0" w:type="dxa"/>
        <w:shd w:val="clear" w:color="auto" w:fill="auto"/>
        <w:tblLayout w:type="autofit"/>
        <w:tblCellMar>
          <w:top w:w="0" w:type="dxa"/>
          <w:left w:w="108" w:type="dxa"/>
          <w:bottom w:w="0" w:type="dxa"/>
          <w:right w:w="108" w:type="dxa"/>
        </w:tblCellMar>
      </w:tblPr>
      <w:tblGrid>
        <w:gridCol w:w="3036"/>
        <w:gridCol w:w="1678"/>
        <w:gridCol w:w="1868"/>
        <w:gridCol w:w="1943"/>
      </w:tblGrid>
      <w:tr>
        <w:tblPrEx>
          <w:shd w:val="clear" w:color="auto" w:fill="auto"/>
          <w:tblCellMar>
            <w:top w:w="0" w:type="dxa"/>
            <w:left w:w="108" w:type="dxa"/>
            <w:bottom w:w="0" w:type="dxa"/>
            <w:right w:w="108" w:type="dxa"/>
          </w:tblCellMar>
        </w:tblPrEx>
        <w:trPr>
          <w:trHeight w:val="23" w:hRule="atLeast"/>
          <w:tblHeader/>
        </w:trPr>
        <w:tc>
          <w:tcPr>
            <w:tcW w:w="1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217" w:name="_Toc23267048"/>
            <w:bookmarkStart w:id="218" w:name="_Toc23264922"/>
            <w:bookmarkStart w:id="219" w:name="_Toc23266437"/>
            <w:bookmarkStart w:id="220" w:name="_Toc8972"/>
            <w:bookmarkStart w:id="221" w:name="_Toc13818"/>
            <w:bookmarkStart w:id="222" w:name="_Toc3002"/>
            <w:bookmarkStart w:id="223" w:name="_Toc9747"/>
            <w:bookmarkStart w:id="224" w:name="_Toc18280"/>
            <w:bookmarkStart w:id="225" w:name="_Toc10960"/>
            <w:bookmarkStart w:id="226" w:name="_Toc13038"/>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98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109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3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1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项目决策</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14.10 </w:t>
            </w:r>
          </w:p>
        </w:tc>
        <w:tc>
          <w:tcPr>
            <w:tcW w:w="11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94.00%</w:t>
            </w:r>
          </w:p>
        </w:tc>
      </w:tr>
      <w:tr>
        <w:tblPrEx>
          <w:shd w:val="clear" w:color="auto" w:fill="auto"/>
          <w:tblCellMar>
            <w:top w:w="0" w:type="dxa"/>
            <w:left w:w="108" w:type="dxa"/>
            <w:bottom w:w="0" w:type="dxa"/>
            <w:right w:w="108" w:type="dxa"/>
          </w:tblCellMar>
        </w:tblPrEx>
        <w:trPr>
          <w:trHeight w:val="23" w:hRule="atLeast"/>
        </w:trPr>
        <w:tc>
          <w:tcPr>
            <w:tcW w:w="1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项目过程</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21.49 </w:t>
            </w:r>
          </w:p>
        </w:tc>
        <w:tc>
          <w:tcPr>
            <w:tcW w:w="11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85.96%</w:t>
            </w:r>
          </w:p>
        </w:tc>
      </w:tr>
      <w:tr>
        <w:tblPrEx>
          <w:shd w:val="clear" w:color="auto" w:fill="auto"/>
          <w:tblCellMar>
            <w:top w:w="0" w:type="dxa"/>
            <w:left w:w="108" w:type="dxa"/>
            <w:bottom w:w="0" w:type="dxa"/>
            <w:right w:w="108" w:type="dxa"/>
          </w:tblCellMar>
        </w:tblPrEx>
        <w:trPr>
          <w:trHeight w:val="23" w:hRule="atLeast"/>
        </w:trPr>
        <w:tc>
          <w:tcPr>
            <w:tcW w:w="1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项目产出</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1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1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项目效益</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0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28.20 </w:t>
            </w:r>
          </w:p>
        </w:tc>
        <w:tc>
          <w:tcPr>
            <w:tcW w:w="11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94.00%</w:t>
            </w:r>
          </w:p>
        </w:tc>
      </w:tr>
      <w:tr>
        <w:tblPrEx>
          <w:shd w:val="clear" w:color="auto" w:fill="auto"/>
          <w:tblCellMar>
            <w:top w:w="0" w:type="dxa"/>
            <w:left w:w="108" w:type="dxa"/>
            <w:bottom w:w="0" w:type="dxa"/>
            <w:right w:w="108" w:type="dxa"/>
          </w:tblCellMar>
        </w:tblPrEx>
        <w:trPr>
          <w:trHeight w:val="23" w:hRule="atLeast"/>
        </w:trPr>
        <w:tc>
          <w:tcPr>
            <w:tcW w:w="1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10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93.79 </w:t>
            </w:r>
          </w:p>
        </w:tc>
        <w:tc>
          <w:tcPr>
            <w:tcW w:w="113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93.79%</w:t>
            </w:r>
          </w:p>
        </w:tc>
      </w:tr>
    </w:tbl>
    <w:p>
      <w:pPr>
        <w:pStyle w:val="52"/>
        <w:bidi w:val="0"/>
        <w:rPr>
          <w:rFonts w:hint="default" w:ascii="Times New Roman" w:hAnsi="Times New Roman" w:cs="Times New Roman"/>
          <w:b/>
          <w:bCs/>
          <w:lang w:val="en-US" w:eastAsia="zh-CN"/>
        </w:rPr>
      </w:pPr>
      <w:r>
        <w:rPr>
          <w:rFonts w:hint="default" w:ascii="Times New Roman" w:hAnsi="Times New Roman" w:cs="Times New Roman"/>
          <w:b/>
          <w:bCs/>
        </w:rPr>
        <w:t>2.</w:t>
      </w:r>
      <w:bookmarkEnd w:id="217"/>
      <w:bookmarkEnd w:id="218"/>
      <w:bookmarkEnd w:id="219"/>
      <w:r>
        <w:rPr>
          <w:rFonts w:hint="default" w:ascii="Times New Roman" w:hAnsi="Times New Roman" w:cs="Times New Roman"/>
          <w:b/>
          <w:bCs/>
          <w:lang w:val="en-US" w:eastAsia="zh-CN"/>
        </w:rPr>
        <w:t>总体评价结论</w:t>
      </w:r>
      <w:bookmarkEnd w:id="220"/>
      <w:bookmarkEnd w:id="221"/>
      <w:bookmarkEnd w:id="222"/>
      <w:bookmarkEnd w:id="223"/>
      <w:bookmarkEnd w:id="224"/>
      <w:bookmarkEnd w:id="225"/>
      <w:bookmarkEnd w:id="226"/>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2020年马集镇刘大园村食用菌产业深加工项目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w:t>
      </w:r>
      <w:r>
        <w:rPr>
          <w:rFonts w:hint="eastAsia" w:cs="Times New Roman"/>
          <w:lang w:val="en-US" w:eastAsia="zh-CN"/>
        </w:rPr>
        <w:t>资金拨付</w:t>
      </w:r>
      <w:r>
        <w:rPr>
          <w:rFonts w:hint="default" w:ascii="Times New Roman" w:hAnsi="Times New Roman" w:cs="Times New Roman"/>
          <w:lang w:val="en-US" w:eastAsia="zh-CN"/>
        </w:rPr>
        <w:t>情况较好。项目财务管理制度健全、资金使用合规。项目库建设及管理、政府采购较为规范。项目管理实施规范</w:t>
      </w:r>
      <w:r>
        <w:rPr>
          <w:rFonts w:hint="eastAsia" w:cs="Times New Roman"/>
          <w:lang w:val="en-US" w:eastAsia="zh-CN"/>
        </w:rPr>
        <w:t>，</w:t>
      </w:r>
      <w:r>
        <w:rPr>
          <w:rFonts w:hint="default" w:ascii="Times New Roman" w:hAnsi="Times New Roman" w:cs="Times New Roman"/>
          <w:lang w:val="en-US" w:eastAsia="zh-CN"/>
        </w:rPr>
        <w:t>项目管理遵守相关法律法规及管理规定</w:t>
      </w:r>
      <w:r>
        <w:rPr>
          <w:rFonts w:hint="eastAsia" w:cs="Times New Roman"/>
          <w:lang w:val="en-US" w:eastAsia="zh-CN"/>
        </w:rPr>
        <w:t>，</w:t>
      </w:r>
      <w:r>
        <w:rPr>
          <w:rFonts w:hint="default" w:ascii="Times New Roman" w:hAnsi="Times New Roman" w:cs="Times New Roman"/>
          <w:lang w:val="en-US" w:eastAsia="zh-CN"/>
        </w:rPr>
        <w:t>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eastAsia" w:cs="Times New Roman"/>
          <w:b w:val="0"/>
          <w:bCs w:val="0"/>
          <w:lang w:val="en-US" w:eastAsia="zh-CN"/>
        </w:rPr>
        <w:t>该</w:t>
      </w:r>
      <w:r>
        <w:rPr>
          <w:rFonts w:hint="default" w:ascii="Times New Roman" w:hAnsi="Times New Roman" w:cs="Times New Roman"/>
          <w:b w:val="0"/>
          <w:bCs w:val="0"/>
          <w:lang w:val="en-US" w:eastAsia="zh-CN"/>
        </w:rPr>
        <w:t>项目产出数量达标，新建2个双孢菇深加工车间，1个研发中心，建设面积</w:t>
      </w:r>
      <w:r>
        <w:rPr>
          <w:rFonts w:hint="eastAsia" w:cs="Times New Roman"/>
          <w:b w:val="0"/>
          <w:bCs w:val="0"/>
          <w:lang w:val="en-US" w:eastAsia="zh-CN"/>
        </w:rPr>
        <w:t>达</w:t>
      </w:r>
      <w:r>
        <w:rPr>
          <w:rFonts w:hint="default" w:ascii="Times New Roman" w:hAnsi="Times New Roman" w:cs="Times New Roman"/>
          <w:b w:val="0"/>
          <w:bCs w:val="0"/>
          <w:lang w:val="en-US" w:eastAsia="zh-CN"/>
        </w:rPr>
        <w:t>6152㎡，生产设备配备标准达到4条/套。项目验收合格</w:t>
      </w:r>
      <w:r>
        <w:rPr>
          <w:rFonts w:hint="eastAsia" w:cs="Times New Roman"/>
          <w:b w:val="0"/>
          <w:bCs w:val="0"/>
          <w:lang w:val="en-US" w:eastAsia="zh-CN"/>
        </w:rPr>
        <w:t>、</w:t>
      </w:r>
      <w:r>
        <w:rPr>
          <w:rFonts w:hint="default" w:ascii="Times New Roman" w:hAnsi="Times New Roman" w:cs="Times New Roman"/>
          <w:b w:val="0"/>
          <w:bCs w:val="0"/>
          <w:lang w:val="en-US" w:eastAsia="zh-CN"/>
        </w:rPr>
        <w:t>完工及时</w:t>
      </w:r>
      <w:r>
        <w:rPr>
          <w:rFonts w:hint="eastAsia" w:cs="Times New Roman"/>
          <w:b w:val="0"/>
          <w:bCs w:val="0"/>
          <w:lang w:val="en-US" w:eastAsia="zh-CN"/>
        </w:rPr>
        <w:t>，</w:t>
      </w:r>
      <w:r>
        <w:rPr>
          <w:rFonts w:hint="default" w:ascii="Times New Roman" w:hAnsi="Times New Roman" w:cs="Times New Roman"/>
          <w:b w:val="0"/>
          <w:bCs w:val="0"/>
          <w:lang w:val="en-US" w:eastAsia="zh-CN"/>
        </w:rPr>
        <w:t>成本节约率高，预期建设成本为1522.35万元，实际项目建设成本为1517.72万元，项目实际建设成本小于预期建设成本。</w:t>
      </w:r>
      <w:r>
        <w:rPr>
          <w:rFonts w:hint="default" w:ascii="Times New Roman" w:hAnsi="Times New Roman" w:cs="Times New Roman"/>
          <w:b/>
          <w:bCs/>
          <w:lang w:val="en-US" w:eastAsia="zh-CN"/>
        </w:rPr>
        <w:t>在项目效益方面</w:t>
      </w:r>
      <w:r>
        <w:rPr>
          <w:rFonts w:hint="eastAsia" w:cs="Times New Roman"/>
          <w:b/>
          <w:bCs/>
          <w:lang w:val="en-US" w:eastAsia="zh-CN"/>
        </w:rPr>
        <w:t>：</w:t>
      </w:r>
      <w:r>
        <w:rPr>
          <w:rFonts w:hint="default" w:ascii="Times New Roman" w:hAnsi="Times New Roman" w:cs="Times New Roman"/>
          <w:b w:val="0"/>
          <w:bCs w:val="0"/>
          <w:lang w:val="en-US" w:eastAsia="zh-CN"/>
        </w:rPr>
        <w:t>该项目经济效益和社会效益较为显著。项目实施后，村集体经济预计年收入为122.2万元，带动贫困人口年收入预计达到60万元</w:t>
      </w:r>
      <w:r>
        <w:rPr>
          <w:rFonts w:hint="eastAsia" w:cs="Times New Roman"/>
          <w:b w:val="0"/>
          <w:bCs w:val="0"/>
          <w:lang w:val="en-US" w:eastAsia="zh-CN"/>
        </w:rPr>
        <w:t>，</w:t>
      </w:r>
      <w:r>
        <w:rPr>
          <w:rFonts w:hint="default" w:ascii="Times New Roman" w:hAnsi="Times New Roman" w:cs="Times New Roman"/>
          <w:b w:val="0"/>
          <w:bCs w:val="0"/>
          <w:lang w:val="en-US" w:eastAsia="zh-CN"/>
        </w:rPr>
        <w:t>吸纳贫困人口50人就业。项目带来可持续影响，2020年该项目实施后预计持续发挥作用年限达到目标值15年。受益贫困人口满意度较高，通过对项目区受益贫困人口群众进行问卷调查，满意度达到90%</w:t>
      </w:r>
      <w:r>
        <w:rPr>
          <w:rFonts w:hint="eastAsia" w:cs="Times New Roman"/>
          <w:b w:val="0"/>
          <w:bCs w:val="0"/>
          <w:lang w:val="en-US" w:eastAsia="zh-CN"/>
        </w:rPr>
        <w:t>。</w:t>
      </w:r>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但该项目绩效指标设置总体较为笼统、模糊，不够清晰明确</w:t>
      </w:r>
      <w:r>
        <w:rPr>
          <w:rFonts w:hint="eastAsia" w:cs="Times New Roman"/>
          <w:b w:val="0"/>
          <w:bCs w:val="0"/>
          <w:lang w:val="en-US" w:eastAsia="zh-CN"/>
        </w:rPr>
        <w:t>。</w:t>
      </w:r>
      <w:r>
        <w:rPr>
          <w:rFonts w:hint="default" w:ascii="Times New Roman" w:hAnsi="Times New Roman" w:cs="Times New Roman"/>
          <w:b w:val="0"/>
          <w:bCs w:val="0"/>
          <w:lang w:val="en-US" w:eastAsia="zh-CN"/>
        </w:rPr>
        <w:t>财务监控有效性有待提高</w:t>
      </w:r>
      <w:r>
        <w:rPr>
          <w:rFonts w:hint="eastAsia" w:cs="Times New Roman"/>
          <w:b w:val="0"/>
          <w:bCs w:val="0"/>
          <w:lang w:val="en-US" w:eastAsia="zh-CN"/>
        </w:rPr>
        <w:t>，</w:t>
      </w:r>
      <w:r>
        <w:rPr>
          <w:rFonts w:hint="default" w:ascii="Times New Roman" w:hAnsi="Times New Roman" w:cs="Times New Roman"/>
          <w:b w:val="0"/>
          <w:bCs w:val="0"/>
          <w:lang w:val="en-US" w:eastAsia="zh-CN"/>
        </w:rPr>
        <w:t>截止评价结束，该项目未出具有审计报告</w:t>
      </w:r>
      <w:r>
        <w:rPr>
          <w:rFonts w:hint="eastAsia" w:cs="Times New Roman"/>
          <w:b w:val="0"/>
          <w:bCs w:val="0"/>
          <w:lang w:val="en-US" w:eastAsia="zh-CN"/>
        </w:rPr>
        <w:t>。</w:t>
      </w:r>
      <w:r>
        <w:rPr>
          <w:rFonts w:hint="default" w:ascii="Times New Roman" w:hAnsi="Times New Roman" w:cs="Times New Roman"/>
          <w:b w:val="0"/>
          <w:bCs w:val="0"/>
          <w:lang w:val="en-US" w:eastAsia="zh-CN"/>
        </w:rPr>
        <w:t>项目利益联结机制、信息公开和公告公示制度执行不够有效</w:t>
      </w:r>
      <w:r>
        <w:rPr>
          <w:rFonts w:hint="eastAsia" w:cs="Times New Roman"/>
          <w:b w:val="0"/>
          <w:bCs w:val="0"/>
          <w:lang w:val="en-US" w:eastAsia="zh-CN"/>
        </w:rPr>
        <w:t>，</w:t>
      </w:r>
      <w:r>
        <w:rPr>
          <w:rFonts w:hint="default" w:ascii="Times New Roman" w:hAnsi="Times New Roman" w:cs="Times New Roman"/>
          <w:b w:val="0"/>
          <w:bCs w:val="0"/>
          <w:lang w:val="en-US" w:eastAsia="zh-CN"/>
        </w:rPr>
        <w:t>项目利益联结机制包含联结主体、联结模式等方面，但是部分利益联结机制描述过于简单，如村集体经济年收入、带动贫困人口年收入情况和分配方式没有具体说明，公示内容不够完整</w:t>
      </w:r>
      <w:r>
        <w:rPr>
          <w:rFonts w:hint="eastAsia" w:cs="Times New Roman"/>
          <w:b w:val="0"/>
          <w:bCs w:val="0"/>
          <w:lang w:val="en-US" w:eastAsia="zh-CN"/>
        </w:rPr>
        <w:t>。</w:t>
      </w:r>
    </w:p>
    <w:p>
      <w:pPr>
        <w:pStyle w:val="29"/>
        <w:ind w:firstLine="562"/>
        <w:rPr>
          <w:rFonts w:hint="default" w:ascii="Times New Roman" w:hAnsi="Times New Roman" w:eastAsia="楷体" w:cs="Times New Roman"/>
          <w:sz w:val="32"/>
          <w:szCs w:val="32"/>
        </w:rPr>
      </w:pPr>
      <w:bookmarkStart w:id="227" w:name="_Toc11112"/>
      <w:bookmarkStart w:id="228" w:name="_Toc3118"/>
      <w:bookmarkStart w:id="229" w:name="_Toc24830"/>
      <w:bookmarkStart w:id="230" w:name="_Toc23266438"/>
      <w:bookmarkStart w:id="231" w:name="_Toc28847"/>
      <w:bookmarkStart w:id="232" w:name="_Toc14553"/>
      <w:bookmarkStart w:id="233" w:name="_Toc14403"/>
      <w:bookmarkStart w:id="234" w:name="_Toc5660"/>
      <w:bookmarkStart w:id="235" w:name="_Toc251"/>
      <w:bookmarkStart w:id="236" w:name="_Toc23264923"/>
      <w:r>
        <w:rPr>
          <w:rFonts w:hint="default" w:ascii="Times New Roman" w:hAnsi="Times New Roman" w:eastAsia="楷体" w:cs="Times New Roman"/>
          <w:sz w:val="32"/>
          <w:szCs w:val="32"/>
        </w:rPr>
        <w:t>（二）指标分析</w:t>
      </w:r>
      <w:bookmarkEnd w:id="227"/>
      <w:bookmarkEnd w:id="228"/>
      <w:bookmarkEnd w:id="229"/>
      <w:bookmarkEnd w:id="230"/>
      <w:bookmarkEnd w:id="231"/>
      <w:bookmarkEnd w:id="232"/>
      <w:bookmarkEnd w:id="233"/>
      <w:bookmarkEnd w:id="234"/>
      <w:bookmarkEnd w:id="235"/>
      <w:bookmarkEnd w:id="236"/>
    </w:p>
    <w:p>
      <w:pPr>
        <w:pStyle w:val="52"/>
        <w:bidi w:val="0"/>
        <w:rPr>
          <w:rFonts w:hint="default" w:ascii="Times New Roman" w:hAnsi="Times New Roman" w:cs="Times New Roman"/>
          <w:b/>
          <w:bCs/>
        </w:rPr>
      </w:pPr>
      <w:bookmarkStart w:id="237" w:name="_Toc18214"/>
      <w:bookmarkStart w:id="238" w:name="_Toc12190"/>
      <w:bookmarkStart w:id="239" w:name="_Toc23264924"/>
      <w:bookmarkStart w:id="240" w:name="_Toc29284"/>
      <w:bookmarkStart w:id="241" w:name="_Toc23266439"/>
      <w:bookmarkStart w:id="242" w:name="_Toc26537"/>
      <w:bookmarkStart w:id="243" w:name="_Toc22334"/>
      <w:bookmarkStart w:id="244" w:name="_Toc23267050"/>
      <w:bookmarkStart w:id="245" w:name="_Toc9801"/>
      <w:bookmarkStart w:id="246" w:name="_Toc28549"/>
      <w:r>
        <w:rPr>
          <w:rFonts w:hint="default" w:ascii="Times New Roman" w:hAnsi="Times New Roman" w:cs="Times New Roman"/>
          <w:b/>
          <w:bCs/>
        </w:rPr>
        <w:t>1.项目决策</w:t>
      </w:r>
      <w:bookmarkEnd w:id="237"/>
      <w:bookmarkEnd w:id="238"/>
      <w:bookmarkEnd w:id="239"/>
      <w:bookmarkEnd w:id="240"/>
      <w:bookmarkEnd w:id="241"/>
      <w:bookmarkEnd w:id="242"/>
      <w:bookmarkEnd w:id="243"/>
      <w:bookmarkEnd w:id="244"/>
      <w:bookmarkEnd w:id="245"/>
      <w:bookmarkEnd w:id="246"/>
    </w:p>
    <w:p>
      <w:pPr>
        <w:pStyle w:val="6"/>
        <w:rPr>
          <w:rFonts w:hint="default" w:ascii="Times New Roman" w:hAnsi="Times New Roman" w:cs="Times New Roman"/>
        </w:rPr>
      </w:pPr>
      <w:r>
        <w:rPr>
          <w:rFonts w:hint="default" w:ascii="Times New Roman" w:hAnsi="Times New Roman" w:cs="Times New Roman"/>
        </w:rPr>
        <w:t>项目决策指标包含</w:t>
      </w:r>
      <w:r>
        <w:rPr>
          <w:rFonts w:hint="default" w:ascii="Times New Roman" w:hAnsi="Times New Roman" w:cs="Times New Roman"/>
          <w:lang w:val="en-US" w:eastAsia="zh-CN"/>
        </w:rPr>
        <w:t>3</w:t>
      </w:r>
      <w:r>
        <w:rPr>
          <w:rFonts w:hint="default" w:ascii="Times New Roman" w:hAnsi="Times New Roman" w:cs="Times New Roman"/>
        </w:rPr>
        <w:t>个二级指标</w:t>
      </w:r>
      <w:r>
        <w:rPr>
          <w:rFonts w:hint="default" w:ascii="Times New Roman" w:hAnsi="Times New Roman" w:cs="Times New Roman"/>
          <w:lang w:val="en-US" w:eastAsia="zh-CN"/>
        </w:rPr>
        <w:t>5</w:t>
      </w:r>
      <w:r>
        <w:rPr>
          <w:rFonts w:hint="default" w:ascii="Times New Roman" w:hAnsi="Times New Roman" w:cs="Times New Roman"/>
        </w:rPr>
        <w:t>个三级指标，权重为</w:t>
      </w:r>
      <w:r>
        <w:rPr>
          <w:rFonts w:hint="default" w:ascii="Times New Roman" w:hAnsi="Times New Roman" w:cs="Times New Roman"/>
          <w:lang w:val="en-US" w:eastAsia="zh-CN"/>
        </w:rPr>
        <w:t>15</w:t>
      </w:r>
      <w:r>
        <w:rPr>
          <w:rFonts w:hint="default" w:ascii="Times New Roman" w:hAnsi="Times New Roman" w:cs="Times New Roman"/>
        </w:rPr>
        <w:t>分，该项得分</w:t>
      </w:r>
      <w:r>
        <w:rPr>
          <w:rFonts w:hint="default" w:ascii="Times New Roman" w:hAnsi="Times New Roman" w:cs="Times New Roman"/>
          <w:lang w:val="en-US" w:eastAsia="zh-CN"/>
        </w:rPr>
        <w:t>1</w:t>
      </w:r>
      <w:r>
        <w:rPr>
          <w:rFonts w:hint="eastAsia" w:cs="Times New Roman"/>
          <w:lang w:val="en-US" w:eastAsia="zh-CN"/>
        </w:rPr>
        <w:t>4.1</w:t>
      </w:r>
      <w:r>
        <w:rPr>
          <w:rFonts w:hint="default" w:ascii="Times New Roman" w:hAnsi="Times New Roman" w:cs="Times New Roman"/>
        </w:rPr>
        <w:t>分，得分率</w:t>
      </w:r>
      <w:r>
        <w:rPr>
          <w:rFonts w:hint="eastAsia" w:cs="Times New Roman"/>
          <w:lang w:val="en-US" w:eastAsia="zh-CN"/>
        </w:rPr>
        <w:t>94</w:t>
      </w:r>
      <w:r>
        <w:rPr>
          <w:rFonts w:hint="default" w:ascii="Times New Roman" w:hAnsi="Times New Roman" w:cs="Times New Roman"/>
        </w:rPr>
        <w:t>%。主要扣分项为绩效目标明确性。项</w:t>
      </w:r>
      <w:r>
        <w:rPr>
          <w:rFonts w:hint="eastAsia" w:cs="Times New Roman"/>
          <w:lang w:val="en-US" w:eastAsia="zh-CN"/>
        </w:rPr>
        <w:t>目</w:t>
      </w:r>
      <w:r>
        <w:rPr>
          <w:rFonts w:hint="default" w:ascii="Times New Roman" w:hAnsi="Times New Roman" w:cs="Times New Roman"/>
        </w:rPr>
        <w:t>各指标得分情况如表3-2：</w:t>
      </w:r>
    </w:p>
    <w:p>
      <w:pPr>
        <w:pStyle w:val="31"/>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sz w:val="21"/>
          <w:szCs w:val="21"/>
        </w:rPr>
      </w:pPr>
      <w:r>
        <w:rPr>
          <w:rFonts w:hint="default" w:ascii="Times New Roman" w:hAnsi="Times New Roman" w:eastAsia="仿宋_GB2312" w:cs="Times New Roman"/>
          <w:sz w:val="24"/>
          <w:szCs w:val="24"/>
        </w:rPr>
        <w:t>表3-2 项目决策指标得分情况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tblCellMar>
            <w:top w:w="0" w:type="dxa"/>
            <w:left w:w="108" w:type="dxa"/>
            <w:bottom w:w="0" w:type="dxa"/>
            <w:right w:w="108" w:type="dxa"/>
          </w:tblCellMar>
        </w:tblPrEx>
        <w:trPr>
          <w:trHeight w:val="23" w:hRule="atLeast"/>
          <w:tblHeader/>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A1 </w:t>
            </w:r>
            <w:r>
              <w:rPr>
                <w:rFonts w:hint="eastAsia" w:ascii="仿宋_GB2312" w:hAnsi="Times New Roman" w:eastAsia="仿宋_GB2312" w:cs="仿宋_GB2312"/>
                <w:b/>
                <w:bCs/>
                <w:i w:val="0"/>
                <w:iCs w:val="0"/>
                <w:color w:val="000000"/>
                <w:kern w:val="0"/>
                <w:sz w:val="22"/>
                <w:szCs w:val="22"/>
                <w:u w:val="none"/>
                <w:lang w:val="en-US" w:eastAsia="zh-CN" w:bidi="ar"/>
              </w:rPr>
              <w:t>项目立项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A2</w:t>
            </w:r>
            <w:r>
              <w:rPr>
                <w:rFonts w:hint="eastAsia" w:ascii="仿宋_GB2312" w:hAnsi="Times New Roman" w:eastAsia="仿宋_GB2312" w:cs="仿宋_GB2312"/>
                <w:b/>
                <w:bCs/>
                <w:i w:val="0"/>
                <w:iCs w:val="0"/>
                <w:color w:val="000000"/>
                <w:kern w:val="0"/>
                <w:sz w:val="22"/>
                <w:szCs w:val="22"/>
                <w:u w:val="none"/>
                <w:lang w:val="en-US" w:eastAsia="zh-CN" w:bidi="ar"/>
              </w:rPr>
              <w:t>绩效目标</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85.00%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A3</w:t>
            </w:r>
            <w:r>
              <w:rPr>
                <w:rFonts w:hint="eastAsia" w:ascii="仿宋_GB2312" w:hAnsi="Times New Roman" w:eastAsia="仿宋_GB2312" w:cs="仿宋_GB2312"/>
                <w:b/>
                <w:bCs/>
                <w:i w:val="0"/>
                <w:iCs w:val="0"/>
                <w:color w:val="000000"/>
                <w:kern w:val="0"/>
                <w:sz w:val="22"/>
                <w:szCs w:val="22"/>
                <w:u w:val="none"/>
                <w:lang w:val="en-US" w:eastAsia="zh-CN" w:bidi="ar"/>
              </w:rPr>
              <w:t>资金安排</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14.10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94.00%</w:t>
            </w:r>
          </w:p>
        </w:tc>
      </w:tr>
    </w:tbl>
    <w:p>
      <w:pPr>
        <w:pStyle w:val="6"/>
        <w:tabs>
          <w:tab w:val="left" w:pos="6948"/>
        </w:tabs>
        <w:spacing w:before="120" w:after="60"/>
        <w:ind w:firstLine="562"/>
        <w:rPr>
          <w:rFonts w:hint="default" w:ascii="Times New Roman" w:hAnsi="Times New Roman" w:eastAsia="仿宋_GB2312" w:cs="Times New Roman"/>
          <w:lang w:val="en-US" w:eastAsia="zh-CN"/>
        </w:rPr>
      </w:pPr>
      <w:r>
        <w:rPr>
          <w:rFonts w:hint="eastAsia" w:ascii="Times New Roman" w:hAnsi="Times New Roman" w:cs="Times New Roman"/>
          <w:lang w:val="en-US" w:eastAsia="zh-CN"/>
        </w:rPr>
        <w:t>该项目立项依据较为充分，立项过程按文件规定执行；项目均设置绩效目标，绩效目标合理，且将绩效目标分解为具体的绩效指标，项目预期产出和效果均符合正常水平；项目预算编制合理，预算内容与项目实际内容均相匹配，预算测算额度合理、科学。但该项目绩效指标设置总体较为笼统、模糊，不够清晰明确</w:t>
      </w:r>
      <w:r>
        <w:rPr>
          <w:rFonts w:hint="eastAsia" w:cs="Times New Roman"/>
          <w:lang w:val="en-US" w:eastAsia="zh-CN"/>
        </w:rPr>
        <w:t>。</w:t>
      </w:r>
    </w:p>
    <w:p>
      <w:pPr>
        <w:pStyle w:val="52"/>
        <w:bidi w:val="0"/>
        <w:rPr>
          <w:rFonts w:hint="default" w:ascii="Times New Roman" w:hAnsi="Times New Roman" w:cs="Times New Roman"/>
          <w:b/>
          <w:bCs/>
        </w:rPr>
      </w:pPr>
      <w:bookmarkStart w:id="247" w:name="_Toc14678"/>
      <w:bookmarkStart w:id="248" w:name="_Toc28835"/>
      <w:bookmarkStart w:id="249" w:name="_Toc23264925"/>
      <w:bookmarkStart w:id="250" w:name="_Toc18423"/>
      <w:bookmarkStart w:id="251" w:name="_Toc31513"/>
      <w:bookmarkStart w:id="252" w:name="_Toc23267051"/>
      <w:bookmarkStart w:id="253" w:name="_Toc19191"/>
      <w:bookmarkStart w:id="254" w:name="_Toc23266440"/>
      <w:bookmarkStart w:id="255" w:name="_Toc86"/>
      <w:bookmarkStart w:id="256" w:name="_Toc29399"/>
      <w:r>
        <w:rPr>
          <w:rFonts w:hint="default" w:ascii="Times New Roman" w:hAnsi="Times New Roman" w:cs="Times New Roman"/>
          <w:b/>
          <w:bCs/>
        </w:rPr>
        <w:t>2.项目管理</w:t>
      </w:r>
      <w:bookmarkEnd w:id="247"/>
      <w:bookmarkEnd w:id="248"/>
      <w:bookmarkEnd w:id="249"/>
      <w:bookmarkEnd w:id="250"/>
      <w:bookmarkEnd w:id="251"/>
      <w:bookmarkEnd w:id="252"/>
      <w:bookmarkEnd w:id="253"/>
      <w:bookmarkEnd w:id="254"/>
      <w:bookmarkEnd w:id="255"/>
      <w:bookmarkEnd w:id="256"/>
    </w:p>
    <w:p>
      <w:pPr>
        <w:pStyle w:val="31"/>
        <w:keepNext w:val="0"/>
        <w:keepLines w:val="0"/>
        <w:pageBreakBefore w:val="0"/>
        <w:widowControl w:val="0"/>
        <w:kinsoku/>
        <w:wordWrap/>
        <w:overflowPunct/>
        <w:topLinePunct w:val="0"/>
        <w:autoSpaceDE/>
        <w:autoSpaceDN/>
        <w:bidi w:val="0"/>
        <w:adjustRightInd/>
        <w:snapToGrid/>
        <w:spacing w:line="500" w:lineRule="exact"/>
        <w:ind w:firstLine="561"/>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val="0"/>
          <w:kern w:val="2"/>
          <w:sz w:val="32"/>
          <w:szCs w:val="32"/>
          <w:lang w:val="en-US" w:eastAsia="zh-CN" w:bidi="ar-SA"/>
        </w:rPr>
        <w:t>项目管理指标包含2个二级指标10个三级指标，权重为25分，该项得分2</w:t>
      </w:r>
      <w:r>
        <w:rPr>
          <w:rFonts w:hint="eastAsia" w:eastAsia="仿宋" w:cs="Times New Roman"/>
          <w:b w:val="0"/>
          <w:kern w:val="2"/>
          <w:sz w:val="32"/>
          <w:szCs w:val="32"/>
          <w:lang w:val="en-US" w:eastAsia="zh-CN" w:bidi="ar-SA"/>
        </w:rPr>
        <w:t>1</w:t>
      </w:r>
      <w:r>
        <w:rPr>
          <w:rFonts w:hint="default" w:ascii="Times New Roman" w:hAnsi="Times New Roman" w:eastAsia="仿宋" w:cs="Times New Roman"/>
          <w:b w:val="0"/>
          <w:kern w:val="2"/>
          <w:sz w:val="32"/>
          <w:szCs w:val="32"/>
          <w:lang w:val="en-US" w:eastAsia="zh-CN" w:bidi="ar-SA"/>
        </w:rPr>
        <w:t>.</w:t>
      </w:r>
      <w:r>
        <w:rPr>
          <w:rFonts w:hint="eastAsia" w:eastAsia="仿宋" w:cs="Times New Roman"/>
          <w:b w:val="0"/>
          <w:kern w:val="2"/>
          <w:sz w:val="32"/>
          <w:szCs w:val="32"/>
          <w:lang w:val="en-US" w:eastAsia="zh-CN" w:bidi="ar-SA"/>
        </w:rPr>
        <w:t>49</w:t>
      </w:r>
      <w:r>
        <w:rPr>
          <w:rFonts w:hint="default" w:ascii="Times New Roman" w:hAnsi="Times New Roman" w:eastAsia="仿宋" w:cs="Times New Roman"/>
          <w:b w:val="0"/>
          <w:kern w:val="2"/>
          <w:sz w:val="32"/>
          <w:szCs w:val="32"/>
          <w:lang w:val="en-US" w:eastAsia="zh-CN" w:bidi="ar-SA"/>
        </w:rPr>
        <w:t>分，得分率</w:t>
      </w:r>
      <w:r>
        <w:rPr>
          <w:rFonts w:hint="eastAsia" w:eastAsia="仿宋" w:cs="Times New Roman"/>
          <w:b w:val="0"/>
          <w:kern w:val="2"/>
          <w:sz w:val="32"/>
          <w:szCs w:val="32"/>
          <w:lang w:val="en-US" w:eastAsia="zh-CN" w:bidi="ar-SA"/>
        </w:rPr>
        <w:t>85.96</w:t>
      </w:r>
      <w:r>
        <w:rPr>
          <w:rFonts w:hint="default" w:ascii="Times New Roman" w:hAnsi="Times New Roman" w:eastAsia="仿宋" w:cs="Times New Roman"/>
          <w:b w:val="0"/>
          <w:kern w:val="2"/>
          <w:sz w:val="32"/>
          <w:szCs w:val="32"/>
          <w:lang w:val="en-US" w:eastAsia="zh-CN" w:bidi="ar-SA"/>
        </w:rPr>
        <w:t>%。主要扣分指标为资金到位及时率</w:t>
      </w:r>
      <w:r>
        <w:rPr>
          <w:rFonts w:hint="eastAsia" w:eastAsia="仿宋" w:cs="Times New Roman"/>
          <w:b w:val="0"/>
          <w:kern w:val="2"/>
          <w:sz w:val="32"/>
          <w:szCs w:val="32"/>
          <w:lang w:val="en-US" w:eastAsia="zh-CN" w:bidi="ar-SA"/>
        </w:rPr>
        <w:t>、财务监控有效性、</w:t>
      </w:r>
      <w:r>
        <w:rPr>
          <w:rFonts w:hint="default" w:ascii="Times New Roman" w:hAnsi="Times New Roman" w:eastAsia="仿宋" w:cs="Times New Roman"/>
          <w:b w:val="0"/>
          <w:kern w:val="2"/>
          <w:sz w:val="32"/>
          <w:szCs w:val="32"/>
          <w:lang w:val="en-US" w:eastAsia="zh-CN" w:bidi="ar-SA"/>
        </w:rPr>
        <w:t>利益联结机制有效性</w:t>
      </w:r>
      <w:r>
        <w:rPr>
          <w:rFonts w:hint="eastAsia" w:eastAsia="仿宋" w:cs="Times New Roman"/>
          <w:b w:val="0"/>
          <w:kern w:val="2"/>
          <w:sz w:val="32"/>
          <w:szCs w:val="32"/>
          <w:lang w:val="en-US" w:eastAsia="zh-CN" w:bidi="ar-SA"/>
        </w:rPr>
        <w:t>、信息公开和公告公示制度执行有效性。</w:t>
      </w:r>
      <w:r>
        <w:rPr>
          <w:rFonts w:hint="default" w:ascii="Times New Roman" w:hAnsi="Times New Roman" w:eastAsia="仿宋" w:cs="Times New Roman"/>
          <w:b w:val="0"/>
          <w:kern w:val="2"/>
          <w:sz w:val="32"/>
          <w:szCs w:val="32"/>
          <w:lang w:val="en-US" w:eastAsia="zh-CN" w:bidi="ar-SA"/>
        </w:rPr>
        <w:t>各指标得分情况如表3-3：</w:t>
      </w:r>
    </w:p>
    <w:p>
      <w:pPr>
        <w:pStyle w:val="31"/>
        <w:keepNext w:val="0"/>
        <w:keepLines w:val="0"/>
        <w:pageBreakBefore w:val="0"/>
        <w:widowControl w:val="0"/>
        <w:kinsoku/>
        <w:wordWrap/>
        <w:overflowPunct/>
        <w:topLinePunct w:val="0"/>
        <w:autoSpaceDE/>
        <w:autoSpaceDN/>
        <w:bidi w:val="0"/>
        <w:adjustRightInd/>
        <w:snapToGrid/>
        <w:spacing w:before="60" w:after="60"/>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表3-3 项目管理指标得分情况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576"/>
        <w:gridCol w:w="1189"/>
        <w:gridCol w:w="1179"/>
        <w:gridCol w:w="1581"/>
      </w:tblGrid>
      <w:tr>
        <w:tblPrEx>
          <w:shd w:val="clear" w:color="auto" w:fill="auto"/>
          <w:tblCellMar>
            <w:top w:w="0" w:type="dxa"/>
            <w:left w:w="108" w:type="dxa"/>
            <w:bottom w:w="0" w:type="dxa"/>
            <w:right w:w="108" w:type="dxa"/>
          </w:tblCellMar>
        </w:tblPrEx>
        <w:trPr>
          <w:trHeight w:val="23" w:hRule="atLeast"/>
          <w:tblHeader/>
        </w:trPr>
        <w:tc>
          <w:tcPr>
            <w:tcW w:w="268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697"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691"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27"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B1</w:t>
            </w:r>
            <w:r>
              <w:rPr>
                <w:rFonts w:hint="eastAsia" w:ascii="仿宋_GB2312" w:hAnsi="Times New Roman" w:eastAsia="仿宋_GB2312" w:cs="仿宋_GB2312"/>
                <w:b/>
                <w:bCs/>
                <w:i w:val="0"/>
                <w:iCs w:val="0"/>
                <w:color w:val="000000"/>
                <w:kern w:val="0"/>
                <w:sz w:val="22"/>
                <w:szCs w:val="22"/>
                <w:u w:val="none"/>
                <w:lang w:val="en-US" w:eastAsia="zh-CN" w:bidi="ar"/>
              </w:rPr>
              <w:t>资金管理</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10.99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91.58%</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99.50%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资金拨付率</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66.67%</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B2</w:t>
            </w:r>
            <w:r>
              <w:rPr>
                <w:rFonts w:hint="eastAsia" w:ascii="仿宋_GB2312" w:hAnsi="Times New Roman" w:eastAsia="仿宋_GB2312" w:cs="仿宋_GB2312"/>
                <w:b/>
                <w:bCs/>
                <w:i w:val="0"/>
                <w:iCs w:val="0"/>
                <w:color w:val="000000"/>
                <w:kern w:val="0"/>
                <w:sz w:val="22"/>
                <w:szCs w:val="22"/>
                <w:u w:val="none"/>
                <w:lang w:val="en-US" w:eastAsia="zh-CN" w:bidi="ar"/>
              </w:rPr>
              <w:t>项目管理</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13</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10.50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80.77%</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69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23" w:hRule="atLeast"/>
        </w:trPr>
        <w:tc>
          <w:tcPr>
            <w:tcW w:w="268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21.49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85.96%</w:t>
            </w:r>
          </w:p>
        </w:tc>
      </w:tr>
    </w:tbl>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eastAsia="仿宋" w:cs="Times New Roman"/>
          <w:b w:val="0"/>
          <w:bCs/>
          <w:sz w:val="32"/>
          <w:szCs w:val="32"/>
          <w:lang w:val="en-US" w:eastAsia="zh-CN"/>
        </w:rPr>
      </w:pPr>
      <w:r>
        <w:rPr>
          <w:rFonts w:hint="eastAsia" w:eastAsia="仿宋" w:cs="Times New Roman"/>
          <w:b w:val="0"/>
          <w:bCs/>
          <w:sz w:val="32"/>
          <w:szCs w:val="32"/>
          <w:lang w:val="en-US" w:eastAsia="zh-CN"/>
        </w:rPr>
        <w:t>该项目资金拨付情况较好。项目实际到位资金1517.72万元，截至2020年12月31日，资金已全部拨付（预留3%工程质保金），资金拨付率为100%。项目财务管理制度健全、资金使用合规。资金支出符合国家财经法规和财务管理制度，项目支出符合项目预算批复用途及合同规定用途。项目库建设及管理、政府采购较为规范。淮滨县建立有2020年脱贫攻坚项目库和项目库管理制度，入库项目均经过充分论证，入库项目内容完整；政府采购均按照相关限额标准采用合适采购方式，采购合同内容全面，合同签订过程中审批程序、签订形式规范，严格依据合同条例执行合同管理。项目管理实施规范。项目管理遵守相关法律法规及管理规定，调整及支出调整手续完备，实施方案、项目合同书、监理报告、验收报告、报账材料、监督检查报告、扶贫资产台账、资产移交手续等资料齐全等。</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sz w:val="32"/>
          <w:szCs w:val="32"/>
          <w:lang w:val="en-US" w:eastAsia="zh-CN"/>
        </w:rPr>
      </w:pPr>
      <w:r>
        <w:rPr>
          <w:rFonts w:hint="eastAsia" w:eastAsia="仿宋" w:cs="Times New Roman"/>
          <w:b w:val="0"/>
          <w:bCs/>
          <w:sz w:val="32"/>
          <w:szCs w:val="32"/>
          <w:lang w:val="en-US" w:eastAsia="zh-CN"/>
        </w:rPr>
        <w:t>但该项目财务监控有效性有待提高。截止评价结束，该项目未出具有审计报告，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p>
    <w:p>
      <w:pPr>
        <w:pStyle w:val="52"/>
        <w:bidi w:val="0"/>
        <w:rPr>
          <w:rFonts w:hint="default" w:ascii="Times New Roman" w:hAnsi="Times New Roman" w:eastAsia="仿宋" w:cs="Times New Roman"/>
          <w:szCs w:val="32"/>
        </w:rPr>
      </w:pPr>
      <w:bookmarkStart w:id="257" w:name="_Toc31021"/>
      <w:bookmarkStart w:id="258" w:name="_Toc20382"/>
      <w:bookmarkStart w:id="259" w:name="_Toc23266441"/>
      <w:bookmarkStart w:id="260" w:name="_Toc23264926"/>
      <w:bookmarkStart w:id="261" w:name="_Toc23267052"/>
      <w:bookmarkStart w:id="262" w:name="_Toc11432"/>
      <w:bookmarkStart w:id="263" w:name="_Toc16619"/>
      <w:bookmarkStart w:id="264" w:name="_Toc5970"/>
      <w:bookmarkStart w:id="265" w:name="_Toc3988"/>
      <w:bookmarkStart w:id="266" w:name="_Toc16175"/>
      <w:r>
        <w:rPr>
          <w:rFonts w:hint="default" w:ascii="Times New Roman" w:hAnsi="Times New Roman" w:cs="Times New Roman"/>
          <w:b/>
          <w:bCs/>
        </w:rPr>
        <w:t>3.项目产出</w:t>
      </w:r>
      <w:bookmarkEnd w:id="257"/>
      <w:bookmarkEnd w:id="258"/>
      <w:bookmarkEnd w:id="259"/>
      <w:bookmarkEnd w:id="260"/>
      <w:bookmarkEnd w:id="261"/>
      <w:bookmarkEnd w:id="262"/>
      <w:bookmarkEnd w:id="263"/>
      <w:bookmarkEnd w:id="264"/>
      <w:bookmarkEnd w:id="265"/>
      <w:bookmarkEnd w:id="266"/>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b/>
          <w:color w:val="000000"/>
          <w:sz w:val="21"/>
          <w:szCs w:val="21"/>
        </w:rPr>
      </w:pPr>
      <w:r>
        <w:rPr>
          <w:rFonts w:hint="default" w:ascii="Times New Roman" w:hAnsi="Times New Roman" w:eastAsia="仿宋" w:cs="Times New Roman"/>
          <w:color w:val="000000"/>
          <w:sz w:val="32"/>
          <w:szCs w:val="32"/>
        </w:rPr>
        <w:t>项目产出指标包含</w:t>
      </w:r>
      <w:r>
        <w:rPr>
          <w:rFonts w:hint="default" w:ascii="Times New Roman" w:hAnsi="Times New Roman" w:eastAsia="仿宋" w:cs="Times New Roman"/>
          <w:color w:val="000000"/>
          <w:sz w:val="32"/>
          <w:szCs w:val="32"/>
          <w:lang w:val="en-US" w:eastAsia="zh-CN"/>
        </w:rPr>
        <w:t>4</w:t>
      </w:r>
      <w:r>
        <w:rPr>
          <w:rFonts w:hint="default" w:ascii="Times New Roman" w:hAnsi="Times New Roman" w:eastAsia="仿宋" w:cs="Times New Roman"/>
          <w:color w:val="000000"/>
          <w:sz w:val="32"/>
          <w:szCs w:val="32"/>
        </w:rPr>
        <w:t>个二级指标</w:t>
      </w:r>
      <w:r>
        <w:rPr>
          <w:rFonts w:hint="eastAsia" w:cs="Times New Roman"/>
          <w:color w:val="000000"/>
          <w:sz w:val="32"/>
          <w:szCs w:val="32"/>
          <w:lang w:val="en-US" w:eastAsia="zh-CN"/>
        </w:rPr>
        <w:t>6</w:t>
      </w:r>
      <w:r>
        <w:rPr>
          <w:rFonts w:hint="default" w:ascii="Times New Roman" w:hAnsi="Times New Roman" w:eastAsia="仿宋" w:cs="Times New Roman"/>
          <w:color w:val="000000"/>
          <w:sz w:val="32"/>
          <w:szCs w:val="32"/>
        </w:rPr>
        <w:t>个三级指标，权重为</w:t>
      </w:r>
      <w:r>
        <w:rPr>
          <w:rFonts w:hint="default" w:ascii="Times New Roman" w:hAnsi="Times New Roman" w:eastAsia="仿宋" w:cs="Times New Roman"/>
          <w:color w:val="000000"/>
          <w:sz w:val="32"/>
          <w:szCs w:val="32"/>
          <w:lang w:val="en-US" w:eastAsia="zh-CN"/>
        </w:rPr>
        <w:t>30</w:t>
      </w:r>
      <w:r>
        <w:rPr>
          <w:rFonts w:hint="default" w:ascii="Times New Roman" w:hAnsi="Times New Roman" w:eastAsia="仿宋" w:cs="Times New Roman"/>
          <w:color w:val="000000"/>
          <w:sz w:val="32"/>
          <w:szCs w:val="32"/>
        </w:rPr>
        <w:t>分，该项得分</w:t>
      </w:r>
      <w:r>
        <w:rPr>
          <w:rFonts w:hint="eastAsia" w:cs="Times New Roman"/>
          <w:color w:val="000000" w:themeColor="text1"/>
          <w:sz w:val="32"/>
          <w:szCs w:val="32"/>
          <w:lang w:val="en-US" w:eastAsia="zh-CN"/>
          <w14:textFill>
            <w14:solidFill>
              <w14:schemeClr w14:val="tx1"/>
            </w14:solidFill>
          </w14:textFill>
        </w:rPr>
        <w:t>30</w:t>
      </w:r>
      <w:r>
        <w:rPr>
          <w:rFonts w:hint="default" w:ascii="Times New Roman" w:hAnsi="Times New Roman" w:eastAsia="仿宋" w:cs="Times New Roman"/>
          <w:color w:val="000000"/>
          <w:sz w:val="32"/>
          <w:szCs w:val="32"/>
        </w:rPr>
        <w:t>分，得分率</w:t>
      </w:r>
      <w:r>
        <w:rPr>
          <w:rFonts w:hint="eastAsia"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color w:val="000000"/>
          <w:sz w:val="32"/>
          <w:szCs w:val="32"/>
        </w:rPr>
        <w:t>。各指标得分情况如表3-4：</w:t>
      </w:r>
    </w:p>
    <w:p>
      <w:pPr>
        <w:pStyle w:val="6"/>
        <w:keepNext w:val="0"/>
        <w:keepLines w:val="0"/>
        <w:pageBreakBefore w:val="0"/>
        <w:widowControl w:val="0"/>
        <w:tabs>
          <w:tab w:val="left" w:pos="6948"/>
        </w:tabs>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cs="Times New Roman"/>
          <w:b/>
          <w:color w:val="000000"/>
          <w:sz w:val="21"/>
          <w:szCs w:val="21"/>
        </w:rPr>
      </w:pPr>
      <w:r>
        <w:rPr>
          <w:rFonts w:hint="default" w:ascii="Times New Roman" w:hAnsi="Times New Roman" w:eastAsia="仿宋_GB2312" w:cs="Times New Roman"/>
          <w:b/>
          <w:color w:val="000000"/>
          <w:sz w:val="24"/>
          <w:szCs w:val="24"/>
        </w:rPr>
        <w:t>表3-4 项目产出指标得分情况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204"/>
        <w:gridCol w:w="1281"/>
        <w:gridCol w:w="1398"/>
        <w:gridCol w:w="1642"/>
      </w:tblGrid>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51"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82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6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C1</w:t>
            </w:r>
            <w:r>
              <w:rPr>
                <w:rFonts w:hint="eastAsia" w:ascii="仿宋_GB2312" w:hAnsi="Times New Roman" w:eastAsia="仿宋_GB2312" w:cs="仿宋_GB2312"/>
                <w:b/>
                <w:bCs/>
                <w:i w:val="0"/>
                <w:iCs w:val="0"/>
                <w:color w:val="000000"/>
                <w:kern w:val="0"/>
                <w:sz w:val="22"/>
                <w:szCs w:val="22"/>
                <w:u w:val="none"/>
                <w:lang w:val="en-US" w:eastAsia="zh-CN" w:bidi="ar"/>
              </w:rPr>
              <w:t>产出数量</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新建双孢菇深加工车间、研发中心</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项目建设面积</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生产设备配备</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C2</w:t>
            </w:r>
            <w:r>
              <w:rPr>
                <w:rFonts w:hint="eastAsia" w:ascii="仿宋_GB2312" w:hAnsi="Times New Roman" w:eastAsia="仿宋_GB2312" w:cs="仿宋_GB2312"/>
                <w:b/>
                <w:bCs/>
                <w:i w:val="0"/>
                <w:iCs w:val="0"/>
                <w:color w:val="000000"/>
                <w:kern w:val="0"/>
                <w:sz w:val="22"/>
                <w:szCs w:val="22"/>
                <w:u w:val="none"/>
                <w:lang w:val="en-US" w:eastAsia="zh-CN" w:bidi="ar"/>
              </w:rPr>
              <w:t>产出质量</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C3</w:t>
            </w:r>
            <w:r>
              <w:rPr>
                <w:rFonts w:hint="eastAsia" w:ascii="仿宋_GB2312" w:hAnsi="Times New Roman" w:eastAsia="仿宋_GB2312" w:cs="仿宋_GB2312"/>
                <w:b/>
                <w:bCs/>
                <w:i w:val="0"/>
                <w:iCs w:val="0"/>
                <w:color w:val="000000"/>
                <w:kern w:val="0"/>
                <w:sz w:val="22"/>
                <w:szCs w:val="22"/>
                <w:u w:val="none"/>
                <w:lang w:val="en-US" w:eastAsia="zh-CN" w:bidi="ar"/>
              </w:rPr>
              <w:t>产出时效</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C4</w:t>
            </w:r>
            <w:r>
              <w:rPr>
                <w:rFonts w:hint="eastAsia" w:ascii="仿宋_GB2312" w:hAnsi="Times New Roman" w:eastAsia="仿宋_GB2312" w:cs="仿宋_GB2312"/>
                <w:b/>
                <w:bCs/>
                <w:i w:val="0"/>
                <w:iCs w:val="0"/>
                <w:color w:val="000000"/>
                <w:kern w:val="0"/>
                <w:sz w:val="22"/>
                <w:szCs w:val="22"/>
                <w:u w:val="none"/>
                <w:lang w:val="en-US" w:eastAsia="zh-CN" w:bidi="ar"/>
              </w:rPr>
              <w:t>产出成本</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8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30.00 </w:t>
            </w:r>
          </w:p>
        </w:tc>
        <w:tc>
          <w:tcPr>
            <w:tcW w:w="9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bl>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color w:val="000000"/>
          <w:szCs w:val="21"/>
          <w:lang w:val="en-US" w:eastAsia="zh-CN"/>
        </w:rPr>
      </w:pPr>
      <w:r>
        <w:rPr>
          <w:rFonts w:hint="eastAsia" w:cs="Times New Roman"/>
          <w:color w:val="000000"/>
          <w:szCs w:val="21"/>
          <w:lang w:val="en-US" w:eastAsia="zh-CN"/>
        </w:rPr>
        <w:t>淮滨县2020年马集镇刘大园村食用菌产业深加工项目产出数量达标，项目新建双孢菇深加工车间2个，研发中心1个，项目建设面积6152㎡，生产设备配备标准达到4条/套。项目验收合格，工程设计及施工符合现行的国家有关建筑设计规范和行业标准。项目完工及时，于2020年10月开工，于2020年12月完工，按计划进度完成施工任务。项目成本节约率高，预期建设成本为1522.35万元，实际项目建设成本为1517.72万元，项目实际建设成本小于预期建设成本。</w:t>
      </w:r>
    </w:p>
    <w:p>
      <w:pPr>
        <w:pStyle w:val="52"/>
        <w:bidi w:val="0"/>
        <w:rPr>
          <w:rFonts w:hint="eastAsia" w:ascii="Times New Roman" w:hAnsi="Times New Roman" w:eastAsia="仿宋" w:cs="Times New Roman"/>
          <w:b/>
          <w:bCs/>
          <w:lang w:eastAsia="zh-CN"/>
        </w:rPr>
      </w:pPr>
      <w:bookmarkStart w:id="267" w:name="_Toc23267053"/>
      <w:bookmarkStart w:id="268" w:name="_Toc23264927"/>
      <w:bookmarkStart w:id="269" w:name="_Toc14144"/>
      <w:bookmarkStart w:id="270" w:name="_Toc18499"/>
      <w:bookmarkStart w:id="271" w:name="_Toc15403"/>
      <w:bookmarkStart w:id="272" w:name="_Toc14003"/>
      <w:bookmarkStart w:id="273" w:name="_Toc12091"/>
      <w:bookmarkStart w:id="274" w:name="_Toc15345"/>
      <w:bookmarkStart w:id="275" w:name="_Toc23266442"/>
      <w:bookmarkStart w:id="276" w:name="_Toc6774"/>
      <w:r>
        <w:rPr>
          <w:rFonts w:hint="default" w:ascii="Times New Roman" w:hAnsi="Times New Roman" w:cs="Times New Roman"/>
          <w:b/>
          <w:bCs/>
        </w:rPr>
        <w:t>4.项目效</w:t>
      </w:r>
      <w:bookmarkEnd w:id="267"/>
      <w:bookmarkEnd w:id="268"/>
      <w:bookmarkEnd w:id="269"/>
      <w:bookmarkEnd w:id="270"/>
      <w:bookmarkEnd w:id="271"/>
      <w:bookmarkEnd w:id="272"/>
      <w:bookmarkEnd w:id="273"/>
      <w:bookmarkEnd w:id="274"/>
      <w:bookmarkEnd w:id="275"/>
      <w:bookmarkEnd w:id="276"/>
      <w:r>
        <w:rPr>
          <w:rFonts w:hint="eastAsia" w:cs="Times New Roman"/>
          <w:b/>
          <w:bCs/>
          <w:lang w:val="en-US" w:eastAsia="zh-CN"/>
        </w:rPr>
        <w:t>益</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项目效</w:t>
      </w:r>
      <w:r>
        <w:rPr>
          <w:rFonts w:hint="eastAsia" w:cs="Times New Roman"/>
          <w:color w:val="000000"/>
          <w:szCs w:val="21"/>
          <w:lang w:val="en-US" w:eastAsia="zh-CN"/>
        </w:rPr>
        <w:t>益</w:t>
      </w:r>
      <w:r>
        <w:rPr>
          <w:rFonts w:hint="default" w:ascii="Times New Roman" w:hAnsi="Times New Roman" w:cs="Times New Roman"/>
          <w:color w:val="000000"/>
          <w:szCs w:val="21"/>
        </w:rPr>
        <w:t>指标包含</w:t>
      </w:r>
      <w:r>
        <w:rPr>
          <w:rFonts w:hint="eastAsia" w:cs="Times New Roman"/>
          <w:color w:val="000000"/>
          <w:szCs w:val="21"/>
          <w:lang w:val="en-US" w:eastAsia="zh-CN"/>
        </w:rPr>
        <w:t>4</w:t>
      </w:r>
      <w:r>
        <w:rPr>
          <w:rFonts w:hint="default" w:ascii="Times New Roman" w:hAnsi="Times New Roman" w:cs="Times New Roman"/>
          <w:color w:val="000000"/>
          <w:szCs w:val="21"/>
        </w:rPr>
        <w:t>个二级指标</w:t>
      </w:r>
      <w:r>
        <w:rPr>
          <w:rFonts w:hint="eastAsia" w:cs="Times New Roman"/>
          <w:color w:val="000000"/>
          <w:szCs w:val="21"/>
          <w:lang w:val="en-US" w:eastAsia="zh-CN"/>
        </w:rPr>
        <w:t>5</w:t>
      </w:r>
      <w:r>
        <w:rPr>
          <w:rFonts w:hint="default" w:ascii="Times New Roman" w:hAnsi="Times New Roman" w:cs="Times New Roman"/>
          <w:color w:val="000000"/>
          <w:szCs w:val="21"/>
        </w:rPr>
        <w:t>个三级指标，权重为</w:t>
      </w:r>
      <w:r>
        <w:rPr>
          <w:rFonts w:hint="default" w:ascii="Times New Roman" w:hAnsi="Times New Roman" w:cs="Times New Roman"/>
          <w:color w:val="000000"/>
          <w:szCs w:val="21"/>
          <w:lang w:val="en-US" w:eastAsia="zh-CN"/>
        </w:rPr>
        <w:t>30</w:t>
      </w:r>
      <w:r>
        <w:rPr>
          <w:rFonts w:hint="default" w:ascii="Times New Roman" w:hAnsi="Times New Roman" w:cs="Times New Roman"/>
          <w:color w:val="000000"/>
          <w:szCs w:val="21"/>
        </w:rPr>
        <w:t>分，该项得分</w:t>
      </w:r>
      <w:r>
        <w:rPr>
          <w:rFonts w:hint="eastAsia" w:cs="Times New Roman"/>
          <w:color w:val="000000"/>
          <w:szCs w:val="21"/>
          <w:lang w:val="en-US" w:eastAsia="zh-CN"/>
        </w:rPr>
        <w:t>28.20</w:t>
      </w:r>
      <w:r>
        <w:rPr>
          <w:rFonts w:hint="default" w:ascii="Times New Roman" w:hAnsi="Times New Roman" w:cs="Times New Roman"/>
          <w:color w:val="000000"/>
          <w:szCs w:val="21"/>
        </w:rPr>
        <w:t>分，得分率</w:t>
      </w:r>
      <w:r>
        <w:rPr>
          <w:rFonts w:hint="eastAsia" w:cs="Times New Roman"/>
          <w:color w:val="000000" w:themeColor="text1"/>
          <w:szCs w:val="21"/>
          <w:lang w:val="en-US" w:eastAsia="zh-CN"/>
          <w14:textFill>
            <w14:solidFill>
              <w14:schemeClr w14:val="tx1"/>
            </w14:solidFill>
          </w14:textFill>
        </w:rPr>
        <w:t>94</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szCs w:val="21"/>
        </w:rPr>
        <w:t>。主要扣分指标为受益贫困人口满意度</w:t>
      </w:r>
      <w:r>
        <w:rPr>
          <w:rFonts w:hint="eastAsia" w:cs="Times New Roman"/>
          <w:color w:val="000000"/>
          <w:szCs w:val="21"/>
          <w:lang w:eastAsia="zh-CN"/>
        </w:rPr>
        <w:t>。</w:t>
      </w:r>
      <w:r>
        <w:rPr>
          <w:rFonts w:hint="default" w:ascii="Times New Roman" w:hAnsi="Times New Roman" w:cs="Times New Roman"/>
          <w:color w:val="000000"/>
          <w:szCs w:val="21"/>
        </w:rPr>
        <w:t xml:space="preserve">各指标得分情况如表3-5： </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表3-5 项目效</w:t>
      </w:r>
      <w:r>
        <w:rPr>
          <w:rFonts w:hint="eastAsia" w:cs="Times New Roman"/>
          <w:sz w:val="24"/>
          <w:szCs w:val="24"/>
          <w:lang w:val="en-US" w:eastAsia="zh-CN"/>
        </w:rPr>
        <w:t>益</w:t>
      </w:r>
      <w:r>
        <w:rPr>
          <w:rFonts w:hint="default" w:ascii="Times New Roman" w:hAnsi="Times New Roman" w:eastAsia="仿宋_GB2312" w:cs="Times New Roman"/>
          <w:sz w:val="24"/>
          <w:szCs w:val="24"/>
        </w:rPr>
        <w:t>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D1</w:t>
            </w:r>
            <w:r>
              <w:rPr>
                <w:rFonts w:hint="eastAsia" w:ascii="仿宋_GB2312" w:hAnsi="Times New Roman" w:eastAsia="仿宋_GB2312" w:cs="仿宋_GB2312"/>
                <w:b/>
                <w:bCs/>
                <w:i w:val="0"/>
                <w:iCs w:val="0"/>
                <w:color w:val="000000"/>
                <w:kern w:val="0"/>
                <w:sz w:val="22"/>
                <w:szCs w:val="22"/>
                <w:u w:val="none"/>
                <w:lang w:val="en-US" w:eastAsia="zh-CN" w:bidi="ar"/>
              </w:rPr>
              <w:t>经济效益</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12.00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D2</w:t>
            </w:r>
            <w:r>
              <w:rPr>
                <w:rFonts w:hint="eastAsia" w:ascii="仿宋_GB2312" w:hAnsi="Times New Roman" w:eastAsia="仿宋_GB2312" w:cs="仿宋_GB2312"/>
                <w:b/>
                <w:bCs/>
                <w:i w:val="0"/>
                <w:iCs w:val="0"/>
                <w:color w:val="000000"/>
                <w:kern w:val="0"/>
                <w:sz w:val="22"/>
                <w:szCs w:val="22"/>
                <w:u w:val="none"/>
                <w:lang w:val="en-US" w:eastAsia="zh-CN" w:bidi="ar"/>
              </w:rPr>
              <w:t>社会效益</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D204</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D3</w:t>
            </w:r>
            <w:r>
              <w:rPr>
                <w:rFonts w:hint="eastAsia" w:ascii="仿宋_GB2312" w:hAnsi="Times New Roman" w:eastAsia="仿宋_GB2312" w:cs="仿宋_GB2312"/>
                <w:b/>
                <w:bCs/>
                <w:i w:val="0"/>
                <w:iCs w:val="0"/>
                <w:color w:val="000000"/>
                <w:kern w:val="0"/>
                <w:sz w:val="22"/>
                <w:szCs w:val="22"/>
                <w:u w:val="none"/>
                <w:lang w:val="en-US" w:eastAsia="zh-CN" w:bidi="ar"/>
              </w:rPr>
              <w:t>可持续影响</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D4</w:t>
            </w:r>
            <w:r>
              <w:rPr>
                <w:rFonts w:hint="eastAsia" w:ascii="仿宋_GB2312" w:hAnsi="Times New Roman" w:eastAsia="仿宋_GB2312" w:cs="仿宋_GB2312"/>
                <w:b/>
                <w:bCs/>
                <w:i w:val="0"/>
                <w:iCs w:val="0"/>
                <w:color w:val="000000"/>
                <w:kern w:val="0"/>
                <w:sz w:val="22"/>
                <w:szCs w:val="22"/>
                <w:u w:val="none"/>
                <w:lang w:val="en-US" w:eastAsia="zh-CN" w:bidi="ar"/>
              </w:rPr>
              <w:t>服务对象满意度</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4.20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28.20 </w:t>
            </w:r>
          </w:p>
        </w:tc>
        <w:tc>
          <w:tcPr>
            <w:tcW w:w="11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94.00%</w:t>
            </w:r>
          </w:p>
        </w:tc>
      </w:tr>
    </w:tbl>
    <w:p>
      <w:pPr>
        <w:pStyle w:val="6"/>
        <w:spacing w:line="560" w:lineRule="exact"/>
        <w:ind w:firstLine="640" w:firstLineChars="200"/>
        <w:rPr>
          <w:rFonts w:hint="default" w:cs="Times New Roman"/>
          <w:lang w:val="en-US" w:eastAsia="zh-CN"/>
        </w:rPr>
      </w:pPr>
      <w:r>
        <w:rPr>
          <w:rFonts w:hint="eastAsia" w:cs="Times New Roman"/>
          <w:lang w:val="en-US" w:eastAsia="zh-CN"/>
        </w:rPr>
        <w:t>该项目经济效益和社会效益较为显著。淮滨县2020年马集镇刘大园村食用菌产业深加工项目实施后，村集体经济预计年收入为122.2万元，带动贫困人口年收入预计达到60万元，当年未完成该绩效指标，原因为当年建设，次年见效；受益建档立卡贫困人口数为50人，吸纳贫困人口50人就业。项目带来可持续影响，2020年该项目实施后预计持续发挥作用年限达到目标值15年</w:t>
      </w:r>
      <w:r>
        <w:rPr>
          <w:rFonts w:hint="default" w:cs="Times New Roman"/>
          <w:lang w:val="en-US" w:eastAsia="zh-CN"/>
        </w:rPr>
        <w:t>。受益贫困人口满意度</w:t>
      </w:r>
      <w:r>
        <w:rPr>
          <w:rFonts w:hint="eastAsia" w:cs="Times New Roman"/>
          <w:lang w:val="en-US" w:eastAsia="zh-CN"/>
        </w:rPr>
        <w:t>较高，通过</w:t>
      </w:r>
      <w:r>
        <w:rPr>
          <w:rFonts w:hint="default" w:cs="Times New Roman"/>
          <w:lang w:val="en-US" w:eastAsia="zh-CN"/>
        </w:rPr>
        <w:t>对项目区受益贫困人口群众进行问卷调查，满意度达到90%</w:t>
      </w:r>
      <w:r>
        <w:rPr>
          <w:rFonts w:hint="eastAsia" w:cs="Times New Roman"/>
          <w:lang w:val="en-US" w:eastAsia="zh-CN"/>
        </w:rPr>
        <w:t>。</w:t>
      </w:r>
    </w:p>
    <w:p>
      <w:pPr>
        <w:pStyle w:val="4"/>
        <w:ind w:firstLine="640"/>
        <w:rPr>
          <w:rFonts w:hint="default" w:ascii="Times New Roman" w:hAnsi="Times New Roman" w:cs="Times New Roman"/>
          <w:b w:val="0"/>
          <w:szCs w:val="32"/>
          <w:highlight w:val="yellow"/>
        </w:rPr>
      </w:pPr>
      <w:bookmarkStart w:id="277" w:name="_Toc27661"/>
      <w:bookmarkStart w:id="278" w:name="_Toc30997"/>
      <w:bookmarkStart w:id="279" w:name="_Toc7121"/>
      <w:bookmarkStart w:id="280" w:name="_Toc23264928"/>
      <w:bookmarkStart w:id="281" w:name="_Toc1990"/>
      <w:bookmarkStart w:id="282" w:name="_Toc23266443"/>
      <w:bookmarkStart w:id="283" w:name="_Toc30943"/>
      <w:bookmarkStart w:id="284" w:name="_Toc4088"/>
      <w:bookmarkStart w:id="285" w:name="_Toc27138"/>
      <w:bookmarkStart w:id="286" w:name="_Toc7477"/>
      <w:bookmarkStart w:id="287" w:name="_Toc26426"/>
      <w:bookmarkStart w:id="288" w:name="_Toc26503"/>
      <w:bookmarkStart w:id="289" w:name="_Toc8668"/>
      <w:bookmarkStart w:id="290" w:name="_Toc1964"/>
      <w:bookmarkStart w:id="291" w:name="_Toc3616"/>
      <w:bookmarkStart w:id="292" w:name="_Toc28960"/>
      <w:bookmarkStart w:id="293" w:name="_Toc24315"/>
      <w:bookmarkStart w:id="294" w:name="_Toc23266449"/>
      <w:bookmarkStart w:id="295" w:name="_Toc21071"/>
      <w:bookmarkStart w:id="296" w:name="_Toc4985"/>
      <w:bookmarkStart w:id="297" w:name="_Toc23264937"/>
      <w:r>
        <w:rPr>
          <w:rFonts w:hint="default" w:ascii="Times New Roman" w:hAnsi="Times New Roman" w:cs="Times New Roman"/>
          <w:b/>
          <w:bCs w:val="0"/>
          <w:szCs w:val="32"/>
          <w:highlight w:val="none"/>
        </w:rPr>
        <w:t>四、项目主要成绩和经验做法</w:t>
      </w:r>
      <w:bookmarkEnd w:id="277"/>
      <w:bookmarkEnd w:id="278"/>
      <w:bookmarkEnd w:id="279"/>
      <w:bookmarkEnd w:id="280"/>
      <w:bookmarkEnd w:id="281"/>
      <w:bookmarkEnd w:id="282"/>
      <w:bookmarkEnd w:id="283"/>
      <w:bookmarkEnd w:id="284"/>
      <w:bookmarkEnd w:id="285"/>
      <w:bookmarkEnd w:id="286"/>
      <w:bookmarkEnd w:id="287"/>
      <w:bookmarkEnd w:id="288"/>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298" w:name="_Toc21989"/>
      <w:bookmarkStart w:id="299" w:name="_Toc18345"/>
      <w:bookmarkStart w:id="300" w:name="_Toc21035"/>
      <w:bookmarkStart w:id="301" w:name="_Toc17813"/>
      <w:bookmarkStart w:id="302" w:name="_Toc23264930"/>
      <w:bookmarkStart w:id="303" w:name="_Toc23266445"/>
      <w:r>
        <w:rPr>
          <w:rFonts w:hint="default" w:ascii="Times New Roman" w:hAnsi="Times New Roman" w:eastAsia="楷体" w:cstheme="majorBidi"/>
          <w:b/>
          <w:bCs/>
          <w:kern w:val="2"/>
          <w:sz w:val="32"/>
          <w:szCs w:val="22"/>
          <w:lang w:val="en-US" w:eastAsia="zh-CN" w:bidi="ar-SA"/>
        </w:rPr>
        <w:t>（</w:t>
      </w:r>
      <w:r>
        <w:rPr>
          <w:rFonts w:hint="eastAsia" w:ascii="Times New Roman" w:hAnsi="Times New Roman" w:eastAsia="楷体" w:cstheme="majorBidi"/>
          <w:b/>
          <w:bCs/>
          <w:kern w:val="2"/>
          <w:sz w:val="32"/>
          <w:szCs w:val="22"/>
          <w:lang w:val="en-US" w:eastAsia="zh-CN" w:bidi="ar-SA"/>
        </w:rPr>
        <w:t>一</w:t>
      </w:r>
      <w:r>
        <w:rPr>
          <w:rFonts w:hint="default" w:ascii="Times New Roman" w:hAnsi="Times New Roman" w:eastAsia="楷体" w:cstheme="majorBidi"/>
          <w:b/>
          <w:bCs/>
          <w:kern w:val="2"/>
          <w:sz w:val="32"/>
          <w:szCs w:val="22"/>
          <w:lang w:val="en-US" w:eastAsia="zh-CN" w:bidi="ar-SA"/>
        </w:rPr>
        <w:t>）</w:t>
      </w:r>
      <w:bookmarkEnd w:id="298"/>
      <w:bookmarkEnd w:id="299"/>
      <w:bookmarkEnd w:id="300"/>
      <w:r>
        <w:rPr>
          <w:rFonts w:hint="default" w:ascii="Times New Roman" w:hAnsi="Times New Roman" w:eastAsia="楷体" w:cstheme="majorBidi"/>
          <w:b/>
          <w:bCs/>
          <w:kern w:val="2"/>
          <w:sz w:val="32"/>
          <w:szCs w:val="22"/>
          <w:lang w:val="en-US" w:eastAsia="zh-CN" w:bidi="ar-SA"/>
        </w:rPr>
        <w:t>制定帮扶计划，推动扶贫工作有序开展</w:t>
      </w:r>
      <w:bookmarkEnd w:id="301"/>
    </w:p>
    <w:p>
      <w:pPr>
        <w:widowControl w:val="0"/>
        <w:bidi w:val="0"/>
        <w:spacing w:line="560" w:lineRule="exact"/>
        <w:ind w:firstLine="640" w:firstLineChars="200"/>
        <w:jc w:val="both"/>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color w:val="auto"/>
          <w:kern w:val="2"/>
          <w:sz w:val="32"/>
          <w:szCs w:val="32"/>
          <w:lang w:val="en-US" w:eastAsia="zh-CN" w:bidi="ar-SA"/>
        </w:rPr>
        <w:t>为推动扶贫工作有序开展，淮滨县对扶贫项目进行统筹管理。制定帮扶计划，设计扶贫项目实施方案，明确帮扶责任单位、帮扶人员等。项目建设采取产业扶贫和基础设施建设相结合的扶贫模式，多数项目得以有效推进。截至评价期末，淮滨县2020年马集镇刘大园村食用菌产业深加工项目项目完工及时、建设进度良好、计划补助资金发放完成、项目验收合格率达到100%。</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04" w:name="_Toc13027"/>
      <w:bookmarkStart w:id="305" w:name="_Toc12424"/>
      <w:bookmarkStart w:id="306" w:name="_Toc27031"/>
      <w:bookmarkStart w:id="307" w:name="_Toc7134"/>
      <w:bookmarkStart w:id="308" w:name="_Toc8715"/>
      <w:bookmarkStart w:id="309" w:name="_Toc30322"/>
      <w:r>
        <w:rPr>
          <w:rFonts w:hint="default"/>
          <w:lang w:val="en-US" w:eastAsia="zh-CN"/>
        </w:rPr>
        <w:t>（</w:t>
      </w:r>
      <w:r>
        <w:rPr>
          <w:rFonts w:hint="eastAsia"/>
          <w:lang w:val="en-US" w:eastAsia="zh-CN"/>
        </w:rPr>
        <w:t>二</w:t>
      </w:r>
      <w:r>
        <w:rPr>
          <w:rFonts w:hint="default"/>
          <w:lang w:val="en-US" w:eastAsia="zh-CN"/>
        </w:rPr>
        <w:t>）</w:t>
      </w:r>
      <w:bookmarkEnd w:id="304"/>
      <w:bookmarkEnd w:id="305"/>
      <w:bookmarkEnd w:id="306"/>
      <w:bookmarkEnd w:id="307"/>
      <w:bookmarkEnd w:id="308"/>
      <w:r>
        <w:rPr>
          <w:rFonts w:hint="default"/>
          <w:lang w:val="en-US" w:eastAsia="zh-CN"/>
        </w:rPr>
        <w:t>建立扶贫资金投入机制，带动受扶持贫困村村集体经济年收入</w:t>
      </w:r>
      <w:bookmarkEnd w:id="309"/>
    </w:p>
    <w:p>
      <w:pPr>
        <w:pStyle w:val="52"/>
        <w:bidi w:val="0"/>
        <w:rPr>
          <w:rFonts w:hint="eastAsia" w:cs="Times New Roman"/>
          <w:lang w:val="en-US" w:eastAsia="zh-CN"/>
        </w:rPr>
      </w:pPr>
      <w:r>
        <w:rPr>
          <w:rFonts w:hint="eastAsia" w:cs="Times New Roman"/>
          <w:lang w:val="en-US" w:eastAsia="zh-CN"/>
        </w:rPr>
        <w:t>淮滨县扶贫办</w:t>
      </w:r>
      <w:r>
        <w:rPr>
          <w:rFonts w:hint="default" w:ascii="Times New Roman" w:hAnsi="Times New Roman" w:cs="Times New Roman"/>
          <w:lang w:val="en-US" w:eastAsia="zh-CN"/>
        </w:rPr>
        <w:t>根据各村（含贫困户、贫困人口）致贫原因及脱贫需求，建立科学有效的扶贫资金投入机制，脱贫效果较为显著。</w:t>
      </w:r>
      <w:r>
        <w:rPr>
          <w:rFonts w:hint="eastAsia" w:cs="Times New Roman"/>
          <w:lang w:val="en-US" w:eastAsia="zh-CN"/>
        </w:rPr>
        <w:t>投入资金1517.72万元，用于建设马集镇刘大园村食用菌产业深加工项目。强化政策支持，出台相关产业扶贫指导文件，对扶贫产业给予资金、技术、项目支持。结合自然禀赋，因地制宜发展扶贫产业。项目实施后次年生效</w:t>
      </w:r>
      <w:r>
        <w:rPr>
          <w:rFonts w:hint="default" w:ascii="Times New Roman" w:hAnsi="Times New Roman" w:cs="Times New Roman"/>
          <w:lang w:val="en-US" w:eastAsia="zh-CN"/>
        </w:rPr>
        <w:t>，该项目受扶持贫困村村集体经济年收入</w:t>
      </w:r>
      <w:r>
        <w:rPr>
          <w:rFonts w:hint="eastAsia" w:cs="Times New Roman"/>
          <w:lang w:val="en-US" w:eastAsia="zh-CN"/>
        </w:rPr>
        <w:t>预计达到</w:t>
      </w:r>
      <w:r>
        <w:rPr>
          <w:rFonts w:hint="default" w:ascii="Times New Roman" w:hAnsi="Times New Roman" w:cs="Times New Roman"/>
          <w:lang w:val="en-US" w:eastAsia="zh-CN"/>
        </w:rPr>
        <w:t>6</w:t>
      </w:r>
      <w:r>
        <w:rPr>
          <w:rFonts w:hint="eastAsia" w:cs="Times New Roman"/>
          <w:lang w:val="en-US" w:eastAsia="zh-CN"/>
        </w:rPr>
        <w:t>0</w:t>
      </w:r>
      <w:r>
        <w:rPr>
          <w:rFonts w:hint="default" w:ascii="Times New Roman" w:hAnsi="Times New Roman" w:cs="Times New Roman"/>
          <w:lang w:val="en-US" w:eastAsia="zh-CN"/>
        </w:rPr>
        <w:t>万元</w:t>
      </w:r>
      <w:r>
        <w:rPr>
          <w:rFonts w:hint="eastAsia" w:cs="Times New Roman"/>
          <w:lang w:val="en-US" w:eastAsia="zh-CN"/>
        </w:rPr>
        <w:t>，</w:t>
      </w:r>
      <w:r>
        <w:rPr>
          <w:rFonts w:hint="default" w:ascii="Times New Roman" w:hAnsi="Times New Roman" w:cs="Times New Roman"/>
          <w:lang w:val="en-US" w:eastAsia="zh-CN"/>
        </w:rPr>
        <w:t>受益建档立卡贫困人口数</w:t>
      </w:r>
      <w:r>
        <w:rPr>
          <w:rFonts w:hint="eastAsia" w:cs="Times New Roman"/>
          <w:lang w:val="en-US" w:eastAsia="zh-CN"/>
        </w:rPr>
        <w:t>预计</w:t>
      </w:r>
      <w:r>
        <w:rPr>
          <w:rFonts w:hint="default" w:ascii="Times New Roman" w:hAnsi="Times New Roman" w:cs="Times New Roman"/>
          <w:lang w:val="en-US" w:eastAsia="zh-CN"/>
        </w:rPr>
        <w:t>达到目标值50人</w:t>
      </w:r>
      <w:r>
        <w:rPr>
          <w:rFonts w:hint="eastAsia" w:cs="Times New Roman"/>
          <w:lang w:val="en-US" w:eastAsia="zh-CN"/>
        </w:rPr>
        <w:t>。</w:t>
      </w:r>
    </w:p>
    <w:p>
      <w:pPr>
        <w:pStyle w:val="5"/>
        <w:bidi w:val="0"/>
        <w:rPr>
          <w:rFonts w:hint="eastAsia"/>
          <w:lang w:val="en-US" w:eastAsia="zh-CN"/>
        </w:rPr>
      </w:pPr>
      <w:bookmarkStart w:id="310" w:name="_Toc17026"/>
      <w:r>
        <w:rPr>
          <w:rFonts w:hint="eastAsia"/>
          <w:lang w:val="en-US" w:eastAsia="zh-CN"/>
        </w:rPr>
        <w:t>（三）强化管理，完善事前事中事后监管</w:t>
      </w:r>
      <w:bookmarkEnd w:id="310"/>
    </w:p>
    <w:p>
      <w:pPr>
        <w:pStyle w:val="52"/>
        <w:bidi w:val="0"/>
        <w:rPr>
          <w:rFonts w:hint="eastAsia" w:cs="Times New Roman"/>
          <w:lang w:val="en-US" w:eastAsia="zh-CN"/>
        </w:rPr>
      </w:pPr>
      <w:r>
        <w:rPr>
          <w:rFonts w:hint="eastAsia" w:cs="Times New Roman"/>
          <w:lang w:val="en-US" w:eastAsia="zh-CN"/>
        </w:rPr>
        <w:t>淮滨县农业农村局成立督导组，由班子成员带队分片对涉农资金整合项目的督导检查，督导从勘察设计、监理选定等把关口，将质量关口前移，挑选信誉好、技术强的监理单位进行施工监理，树立质量第一的意识。项目完工后由第三方检测机构进行竣工验收，凡验收不过关的项目，严肃追究相关责任人的责任并收回项目资金。</w:t>
      </w:r>
      <w:bookmarkEnd w:id="302"/>
      <w:bookmarkEnd w:id="303"/>
      <w:bookmarkStart w:id="311" w:name="_Toc19694"/>
      <w:bookmarkStart w:id="312" w:name="_Toc19712"/>
      <w:bookmarkStart w:id="313" w:name="_Toc30892"/>
      <w:bookmarkStart w:id="314" w:name="_Toc3672"/>
      <w:bookmarkStart w:id="315" w:name="_Toc14149"/>
    </w:p>
    <w:p>
      <w:pPr>
        <w:pStyle w:val="4"/>
        <w:bidi w:val="0"/>
        <w:rPr>
          <w:rFonts w:hint="default"/>
        </w:rPr>
      </w:pPr>
      <w:bookmarkStart w:id="316" w:name="_Toc15118"/>
      <w:r>
        <w:rPr>
          <w:rFonts w:hint="default"/>
        </w:rPr>
        <w:t>五、存在的主要问题</w:t>
      </w:r>
      <w:bookmarkEnd w:id="289"/>
      <w:bookmarkEnd w:id="290"/>
      <w:bookmarkEnd w:id="291"/>
      <w:bookmarkEnd w:id="292"/>
      <w:bookmarkEnd w:id="311"/>
      <w:bookmarkEnd w:id="312"/>
      <w:bookmarkEnd w:id="313"/>
      <w:bookmarkEnd w:id="314"/>
      <w:bookmarkEnd w:id="315"/>
      <w:bookmarkEnd w:id="316"/>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17" w:name="_Toc4387"/>
      <w:bookmarkStart w:id="318" w:name="_Toc19101"/>
      <w:bookmarkStart w:id="319" w:name="_Toc25037"/>
      <w:r>
        <w:rPr>
          <w:rFonts w:hint="eastAsia" w:ascii="Times New Roman" w:hAnsi="Times New Roman" w:eastAsia="楷体" w:cs="Times New Roman"/>
          <w:b/>
          <w:bCs/>
          <w:kern w:val="2"/>
          <w:sz w:val="32"/>
          <w:szCs w:val="32"/>
          <w:lang w:val="en-US" w:eastAsia="zh-CN" w:bidi="ar-SA"/>
        </w:rPr>
        <w:t>（一）项目绩效目标管理不足，预算与绩效管理一体化意识薄弱</w:t>
      </w:r>
      <w:bookmarkEnd w:id="317"/>
    </w:p>
    <w:p>
      <w:pPr>
        <w:pStyle w:val="6"/>
        <w:keepNext w:val="0"/>
        <w:keepLines w:val="0"/>
        <w:pageBreakBefore w:val="0"/>
        <w:widowControl w:val="0"/>
        <w:tabs>
          <w:tab w:val="left" w:pos="6948"/>
        </w:tabs>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cs="Times New Roman"/>
          <w:b w:val="0"/>
          <w:bCs w:val="0"/>
          <w:lang w:val="en-US" w:eastAsia="zh-CN"/>
        </w:rPr>
        <w:t>绩效目标是财政资金投入和支出的前置条件，“先有目标、再申报预算”是当前政府财政预算绩效管理的基本要求。全面实施预算绩效管理的核心，在于“预算与绩效管理一体化”，而绩效目标管理是“预算与绩效一体化”的起点。从20</w:t>
      </w:r>
      <w:r>
        <w:rPr>
          <w:rFonts w:hint="eastAsia" w:cs="Times New Roman"/>
          <w:b w:val="0"/>
          <w:bCs w:val="0"/>
          <w:lang w:val="en-US" w:eastAsia="zh-CN"/>
        </w:rPr>
        <w:t>20</w:t>
      </w:r>
      <w:r>
        <w:rPr>
          <w:rFonts w:hint="eastAsia" w:ascii="Times New Roman" w:hAnsi="Times New Roman" w:cs="Times New Roman"/>
          <w:b w:val="0"/>
          <w:bCs w:val="0"/>
          <w:lang w:val="en-US" w:eastAsia="zh-CN"/>
        </w:rPr>
        <w:t>年</w:t>
      </w:r>
      <w:r>
        <w:rPr>
          <w:rFonts w:hint="eastAsia" w:cs="Times New Roman"/>
          <w:b w:val="0"/>
          <w:bCs w:val="0"/>
          <w:lang w:val="en-US" w:eastAsia="zh-CN"/>
        </w:rPr>
        <w:t>淮滨县</w:t>
      </w:r>
      <w:r>
        <w:rPr>
          <w:rFonts w:hint="eastAsia" w:ascii="Times New Roman" w:hAnsi="Times New Roman" w:cs="Times New Roman"/>
          <w:b w:val="0"/>
          <w:bCs w:val="0"/>
          <w:lang w:val="en-US" w:eastAsia="zh-CN"/>
        </w:rPr>
        <w:t>脱贫攻坚专项扶贫资金项目绩效目标管理情况来看，绩效目标管理明显不足。在绩效目标管理开展形式上没有形成年度绩效目标表，对于当年度脱贫攻坚工作的引导和约束效果一般。项目绩效目标管理形式化，绩效目标表填报不完整，实施主体对于项目开展目标的认识不够准确清晰。</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20" w:name="_Toc3558"/>
      <w:r>
        <w:rPr>
          <w:rFonts w:hint="default"/>
          <w:lang w:val="en-US" w:eastAsia="zh-CN"/>
        </w:rPr>
        <w:t>（</w:t>
      </w:r>
      <w:r>
        <w:rPr>
          <w:rFonts w:hint="eastAsia"/>
          <w:lang w:val="en-US" w:eastAsia="zh-CN"/>
        </w:rPr>
        <w:t>二</w:t>
      </w:r>
      <w:r>
        <w:rPr>
          <w:rFonts w:hint="default"/>
          <w:lang w:val="en-US" w:eastAsia="zh-CN"/>
        </w:rPr>
        <w:t>）利益链接机制不够健全</w:t>
      </w:r>
      <w:bookmarkEnd w:id="318"/>
      <w:bookmarkEnd w:id="319"/>
      <w:r>
        <w:rPr>
          <w:rFonts w:hint="eastAsia"/>
          <w:lang w:val="en-US" w:eastAsia="zh-CN"/>
        </w:rPr>
        <w:t>，无法发挥指导作用</w:t>
      </w:r>
      <w:bookmarkEnd w:id="320"/>
    </w:p>
    <w:p>
      <w:pPr>
        <w:pStyle w:val="6"/>
        <w:tabs>
          <w:tab w:val="left" w:pos="6948"/>
        </w:tabs>
        <w:rPr>
          <w:rFonts w:hint="default" w:ascii="Times New Roman" w:hAnsi="Times New Roman" w:cs="Times New Roman"/>
          <w:b w:val="0"/>
          <w:bCs w:val="0"/>
          <w:lang w:val="en-US" w:eastAsia="zh-CN"/>
        </w:rPr>
      </w:pPr>
      <w:r>
        <w:rPr>
          <w:rFonts w:hint="eastAsia" w:cs="Times New Roman"/>
          <w:b w:val="0"/>
          <w:bCs w:val="0"/>
          <w:lang w:val="en-US" w:eastAsia="zh-CN"/>
        </w:rPr>
        <w:t>部分项目利益联结机制不够健全，部分项目利益联结机制与带贫减贫机制较为简单、粗糙，无法充分发挥对项目实施的指导作用。例如，项目利益联结机制包含联结主体、联结模式等方面，但是部分利益联结机制描述过于简单，如村集体经济年收入、带动贫困人口年收入情况和分配方式，没有具体说明</w:t>
      </w:r>
      <w:r>
        <w:rPr>
          <w:rFonts w:hint="default" w:ascii="Times New Roman" w:hAnsi="Times New Roman" w:cs="Times New Roman"/>
          <w:b w:val="0"/>
          <w:bCs w:val="0"/>
          <w:lang w:val="en-US" w:eastAsia="zh-CN"/>
        </w:rPr>
        <w:t>。</w:t>
      </w:r>
    </w:p>
    <w:p>
      <w:pPr>
        <w:pStyle w:val="5"/>
        <w:keepNext/>
        <w:keepLines/>
        <w:pageBreakBefore w:val="0"/>
        <w:widowControl w:val="0"/>
        <w:numPr>
          <w:ilvl w:val="0"/>
          <w:numId w:val="0"/>
        </w:numPr>
        <w:kinsoku/>
        <w:wordWrap/>
        <w:overflowPunct/>
        <w:topLinePunct w:val="0"/>
        <w:autoSpaceDE/>
        <w:autoSpaceDN/>
        <w:bidi w:val="0"/>
        <w:adjustRightInd/>
        <w:snapToGrid/>
        <w:spacing w:before="120" w:after="60"/>
        <w:ind w:firstLine="643" w:firstLineChars="200"/>
        <w:textAlignment w:val="auto"/>
        <w:rPr>
          <w:rFonts w:hint="default"/>
          <w:lang w:val="en-US" w:eastAsia="zh-CN"/>
        </w:rPr>
      </w:pPr>
      <w:bookmarkStart w:id="321" w:name="_Toc8198"/>
      <w:r>
        <w:rPr>
          <w:rFonts w:hint="eastAsia"/>
          <w:lang w:val="en-US" w:eastAsia="zh-CN"/>
        </w:rPr>
        <w:t>（三）</w:t>
      </w:r>
      <w:bookmarkStart w:id="322" w:name="_Toc23188"/>
      <w:bookmarkStart w:id="323" w:name="_Toc29349"/>
      <w:bookmarkStart w:id="324" w:name="_Toc11837"/>
      <w:bookmarkStart w:id="325" w:name="_Toc25284"/>
      <w:r>
        <w:rPr>
          <w:rFonts w:hint="default"/>
          <w:lang w:val="en-US" w:eastAsia="zh-CN"/>
        </w:rPr>
        <w:t>乡（镇）、村级公告公示落实不够规范，永久性公示牌设置缺失</w:t>
      </w:r>
      <w:bookmarkEnd w:id="3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部分乡（镇）、村级公告公示落实内容不够完整，乡（镇）、村级公告公示缺失。根据脱贫攻坚项目公告公示要求，乡（镇）、村级应设置脱贫攻坚专项公告公示牌，对相关内容进行公示。公示内容应包括：扶贫资金项目公告公示制度、扶贫资金项目安排计划、扶贫资金项目计划完成情况、脱贫攻坚项目库等内容。经评价组实地核查，部分乡（镇）、村级公告公示未就扶贫资金项目公告公示制度、脱贫攻坚项目库等进行公告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r>
        <w:rPr>
          <w:rFonts w:hint="eastAsia" w:ascii="Times New Roman" w:hAnsi="Times New Roman" w:eastAsia="仿宋" w:cs="Times New Roman"/>
          <w:sz w:val="32"/>
          <w:szCs w:val="32"/>
          <w:lang w:val="en-US" w:eastAsia="zh-CN"/>
        </w:rPr>
        <w:t>。</w:t>
      </w:r>
    </w:p>
    <w:bookmarkEnd w:id="322"/>
    <w:bookmarkEnd w:id="323"/>
    <w:bookmarkEnd w:id="324"/>
    <w:bookmarkEnd w:id="325"/>
    <w:p>
      <w:pPr>
        <w:pStyle w:val="4"/>
        <w:bidi w:val="0"/>
        <w:rPr>
          <w:rFonts w:hint="default" w:ascii="Times New Roman" w:hAnsi="Times New Roman" w:cs="Times New Roman"/>
        </w:rPr>
      </w:pPr>
      <w:bookmarkStart w:id="326" w:name="_Toc14572"/>
      <w:bookmarkStart w:id="327" w:name="_Toc19449"/>
      <w:bookmarkStart w:id="328" w:name="_Toc23264936"/>
      <w:bookmarkStart w:id="329" w:name="_Toc19617"/>
      <w:bookmarkStart w:id="330" w:name="_Toc26691"/>
      <w:bookmarkStart w:id="331" w:name="_Toc13360"/>
      <w:bookmarkStart w:id="332" w:name="_Toc23266448"/>
      <w:bookmarkStart w:id="333" w:name="_Toc30"/>
      <w:bookmarkStart w:id="334" w:name="_Toc9655"/>
      <w:bookmarkStart w:id="335" w:name="_Toc12935"/>
      <w:r>
        <w:rPr>
          <w:rFonts w:hint="default" w:ascii="Times New Roman" w:hAnsi="Times New Roman" w:cs="Times New Roman"/>
          <w:lang w:val="en-US" w:eastAsia="zh-CN"/>
        </w:rPr>
        <w:t>六、</w:t>
      </w:r>
      <w:r>
        <w:rPr>
          <w:rFonts w:hint="default" w:ascii="Times New Roman" w:hAnsi="Times New Roman" w:cs="Times New Roman"/>
        </w:rPr>
        <w:t>有关建议</w:t>
      </w:r>
      <w:bookmarkEnd w:id="326"/>
      <w:bookmarkEnd w:id="327"/>
      <w:bookmarkEnd w:id="328"/>
      <w:bookmarkEnd w:id="329"/>
      <w:bookmarkEnd w:id="330"/>
      <w:bookmarkEnd w:id="331"/>
      <w:bookmarkEnd w:id="332"/>
      <w:bookmarkEnd w:id="333"/>
      <w:bookmarkEnd w:id="334"/>
      <w:bookmarkEnd w:id="335"/>
    </w:p>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b w:val="0"/>
          <w:bCs/>
          <w:lang w:val="en-US" w:eastAsia="zh-CN"/>
        </w:rPr>
      </w:pPr>
      <w:r>
        <w:rPr>
          <w:rFonts w:hint="default" w:ascii="Times New Roman" w:hAnsi="Times New Roman" w:eastAsia="仿宋" w:cs="Times New Roman"/>
          <w:b/>
          <w:bCs/>
          <w:color w:val="000000"/>
          <w:kern w:val="2"/>
          <w:sz w:val="32"/>
          <w:szCs w:val="21"/>
          <w:lang w:val="en-US" w:eastAsia="zh-CN" w:bidi="ar-SA"/>
        </w:rPr>
        <w:t>一是</w:t>
      </w:r>
      <w:r>
        <w:rPr>
          <w:rFonts w:hint="eastAsia" w:ascii="楷体" w:hAnsi="楷体" w:cs="Times New Roman"/>
          <w:b/>
          <w:bCs/>
          <w:kern w:val="0"/>
          <w:sz w:val="32"/>
          <w:szCs w:val="32"/>
        </w:rPr>
        <w:t>强化绩效目标管理，推动预算与绩效管理一体化</w:t>
      </w:r>
      <w:r>
        <w:rPr>
          <w:rFonts w:hint="eastAsia" w:ascii="楷体" w:hAnsi="楷体" w:cs="Times New Roman"/>
          <w:b/>
          <w:bCs/>
          <w:kern w:val="0"/>
          <w:sz w:val="32"/>
          <w:szCs w:val="32"/>
          <w:lang w:eastAsia="zh-CN"/>
        </w:rPr>
        <w:t>。</w:t>
      </w:r>
      <w:r>
        <w:rPr>
          <w:rFonts w:hint="eastAsia" w:ascii="楷体" w:hAnsi="楷体" w:cs="Times New Roman"/>
          <w:b w:val="0"/>
          <w:bCs w:val="0"/>
          <w:kern w:val="0"/>
          <w:sz w:val="32"/>
          <w:szCs w:val="32"/>
        </w:rPr>
        <w:t>脱贫攻坚是全面建设小康社会和和谐社会的重要内容，是实现共同富裕的重要举措。对于</w:t>
      </w:r>
      <w:r>
        <w:rPr>
          <w:rFonts w:hint="eastAsia" w:ascii="楷体" w:hAnsi="楷体" w:cs="Times New Roman"/>
          <w:b w:val="0"/>
          <w:bCs w:val="0"/>
          <w:kern w:val="0"/>
          <w:sz w:val="32"/>
          <w:szCs w:val="32"/>
          <w:lang w:val="en-US" w:eastAsia="zh-CN"/>
        </w:rPr>
        <w:t>淮滨县</w:t>
      </w:r>
      <w:r>
        <w:rPr>
          <w:rFonts w:hint="eastAsia" w:ascii="楷体" w:hAnsi="楷体" w:cs="Times New Roman"/>
          <w:b w:val="0"/>
          <w:bCs w:val="0"/>
          <w:kern w:val="0"/>
          <w:sz w:val="32"/>
          <w:szCs w:val="32"/>
        </w:rPr>
        <w:t>脱贫攻坚扶贫资金项目实施的各级责任主体来说，要切实以《关于全面实施预算绩效管理的意见》（中发〔2018〕34号）和中央、省、市的扶贫工作规划部署和要求为指导，提高绩效目标管理意识，强化项目绩效目标管理工作，推动预算与绩效管理一体化，切实提高预算的科学性、规范性和有效性，增强预算透明度，提高财政资金分配效率。加强项目责任主体绩效目标管理意识</w:t>
      </w:r>
      <w:r>
        <w:rPr>
          <w:rFonts w:hint="eastAsia" w:ascii="楷体" w:hAnsi="楷体" w:cs="Times New Roman"/>
          <w:b w:val="0"/>
          <w:bCs w:val="0"/>
          <w:kern w:val="0"/>
          <w:sz w:val="32"/>
          <w:szCs w:val="32"/>
          <w:lang w:eastAsia="zh-CN"/>
        </w:rPr>
        <w:t>，</w:t>
      </w:r>
      <w:r>
        <w:rPr>
          <w:rFonts w:hint="eastAsia" w:ascii="楷体" w:hAnsi="楷体" w:cs="Times New Roman"/>
          <w:b w:val="0"/>
          <w:bCs w:val="0"/>
          <w:kern w:val="0"/>
          <w:sz w:val="32"/>
          <w:szCs w:val="32"/>
        </w:rPr>
        <w:t>完善项目入库管理制度</w:t>
      </w:r>
      <w:r>
        <w:rPr>
          <w:rFonts w:hint="eastAsia" w:ascii="楷体" w:hAnsi="楷体" w:cs="Times New Roman"/>
          <w:b w:val="0"/>
          <w:bCs w:val="0"/>
          <w:kern w:val="0"/>
          <w:sz w:val="32"/>
          <w:szCs w:val="32"/>
          <w:lang w:eastAsia="zh-CN"/>
        </w:rPr>
        <w:t>，</w:t>
      </w:r>
      <w:r>
        <w:rPr>
          <w:rFonts w:hint="eastAsia" w:ascii="楷体" w:hAnsi="楷体" w:cs="Times New Roman"/>
          <w:b w:val="0"/>
          <w:bCs w:val="0"/>
          <w:kern w:val="0"/>
          <w:sz w:val="32"/>
          <w:szCs w:val="32"/>
        </w:rPr>
        <w:t>将绩效目标审核作为进入项目库的必要环节，实现流程控制和审核留痕，保障绩效目标与预算资金同步申报、同步审核，将“谁分配资金，谁审核绩效目标”原则落到实处。</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eastAsia" w:ascii="Times New Roman" w:hAnsi="Times New Roman" w:cs="Times New Roman"/>
          <w:b/>
          <w:bCs/>
          <w:color w:val="000000"/>
          <w:kern w:val="2"/>
          <w:sz w:val="32"/>
          <w:szCs w:val="21"/>
          <w:lang w:val="en-US" w:eastAsia="zh-CN" w:bidi="ar-SA"/>
        </w:rPr>
      </w:pPr>
      <w:r>
        <w:rPr>
          <w:rFonts w:hint="eastAsia" w:cs="Times New Roman"/>
          <w:b/>
          <w:bCs/>
          <w:color w:val="000000"/>
          <w:kern w:val="2"/>
          <w:sz w:val="32"/>
          <w:szCs w:val="21"/>
          <w:lang w:val="en-US" w:eastAsia="zh-CN" w:bidi="ar-SA"/>
        </w:rPr>
        <w:t>二</w:t>
      </w:r>
      <w:r>
        <w:rPr>
          <w:rFonts w:hint="eastAsia" w:ascii="Times New Roman" w:hAnsi="Times New Roman" w:cs="Times New Roman"/>
          <w:b/>
          <w:bCs/>
          <w:color w:val="000000"/>
          <w:kern w:val="2"/>
          <w:sz w:val="32"/>
          <w:szCs w:val="21"/>
          <w:lang w:val="en-US" w:eastAsia="zh-CN" w:bidi="ar-SA"/>
        </w:rPr>
        <w:t>是完善项目联农带农和后续帮扶跟进机制。</w:t>
      </w:r>
      <w:r>
        <w:rPr>
          <w:rFonts w:hint="eastAsia" w:ascii="Times New Roman" w:hAnsi="Times New Roman" w:cs="Times New Roman"/>
          <w:b w:val="0"/>
          <w:bCs w:val="0"/>
          <w:color w:val="000000"/>
          <w:kern w:val="2"/>
          <w:sz w:val="32"/>
          <w:szCs w:val="21"/>
          <w:lang w:val="en-US" w:eastAsia="zh-CN" w:bidi="ar-SA"/>
        </w:rPr>
        <w:t>通过政策引导，根据受扶持村民自身条件与发展需求，与村民建立多形式的利益联结方式，如股份联结、订单联结、服务联结、劳务联结等形式，促进利益联结机制多样化，全面巩固脱贫攻坚成果，避免出现复贫、返贫现象。同时，建议各乡镇政府和村委完善扶持项目后期帮扶跟进措施，并增加浮动收益，保障实施效果。明确项目建设结束后，如何在一定期限内继续帮助受扶持村民持续收益等方式方法。可通过对扶持人口进行定期跟踪、反馈的方式，了解帮扶村有关设施投入使用、运营情况，以及村民实际生活情况，避免出现脱贫人口再次返贫等问题。</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eastAsia" w:cs="Times New Roman"/>
          <w:b/>
          <w:bCs/>
          <w:color w:val="000000"/>
          <w:kern w:val="2"/>
          <w:sz w:val="32"/>
          <w:szCs w:val="21"/>
          <w:lang w:val="en-US" w:eastAsia="zh-CN" w:bidi="ar-SA"/>
        </w:rPr>
        <w:t>三</w:t>
      </w:r>
      <w:r>
        <w:rPr>
          <w:rFonts w:hint="eastAsia" w:ascii="Times New Roman" w:hAnsi="Times New Roman" w:cs="Times New Roman"/>
          <w:b/>
          <w:bCs/>
          <w:color w:val="000000"/>
          <w:kern w:val="2"/>
          <w:sz w:val="32"/>
          <w:szCs w:val="21"/>
          <w:lang w:val="en-US" w:eastAsia="zh-CN" w:bidi="ar-SA"/>
        </w:rPr>
        <w:t>是提高乡（镇）、村公告公示制度完整性、规范性，加强宣传、讲解工作。</w:t>
      </w:r>
      <w:r>
        <w:rPr>
          <w:rFonts w:hint="eastAsia" w:ascii="Times New Roman" w:hAnsi="Times New Roman" w:cs="Times New Roman"/>
          <w:b w:val="0"/>
          <w:bCs w:val="0"/>
          <w:color w:val="000000"/>
          <w:kern w:val="2"/>
          <w:sz w:val="32"/>
          <w:szCs w:val="21"/>
          <w:lang w:val="en-US" w:eastAsia="zh-CN" w:bidi="ar-SA"/>
        </w:rPr>
        <w:t>建议</w:t>
      </w:r>
      <w:r>
        <w:rPr>
          <w:rFonts w:hint="eastAsia" w:cs="Times New Roman"/>
          <w:b w:val="0"/>
          <w:bCs w:val="0"/>
          <w:color w:val="000000"/>
          <w:kern w:val="2"/>
          <w:sz w:val="32"/>
          <w:szCs w:val="21"/>
          <w:lang w:val="en-US" w:eastAsia="zh-CN" w:bidi="ar-SA"/>
        </w:rPr>
        <w:t>淮滨</w:t>
      </w:r>
      <w:r>
        <w:rPr>
          <w:rFonts w:hint="eastAsia" w:ascii="Times New Roman" w:hAnsi="Times New Roman" w:cs="Times New Roman"/>
          <w:b w:val="0"/>
          <w:bCs w:val="0"/>
          <w:color w:val="000000"/>
          <w:kern w:val="2"/>
          <w:sz w:val="32"/>
          <w:szCs w:val="21"/>
          <w:lang w:val="en-US" w:eastAsia="zh-CN" w:bidi="ar-SA"/>
        </w:rPr>
        <w:t>县</w:t>
      </w:r>
      <w:r>
        <w:rPr>
          <w:rFonts w:hint="eastAsia" w:cs="Times New Roman"/>
          <w:b w:val="0"/>
          <w:bCs w:val="0"/>
          <w:color w:val="000000"/>
          <w:kern w:val="2"/>
          <w:sz w:val="32"/>
          <w:szCs w:val="21"/>
          <w:lang w:val="en-US" w:eastAsia="zh-CN" w:bidi="ar-SA"/>
        </w:rPr>
        <w:t>农业农村</w:t>
      </w:r>
      <w:r>
        <w:rPr>
          <w:rFonts w:hint="eastAsia" w:ascii="Times New Roman" w:hAnsi="Times New Roman" w:cs="Times New Roman"/>
          <w:b w:val="0"/>
          <w:bCs w:val="0"/>
          <w:color w:val="000000"/>
          <w:kern w:val="2"/>
          <w:sz w:val="32"/>
          <w:szCs w:val="21"/>
          <w:lang w:val="en-US" w:eastAsia="zh-CN" w:bidi="ar-SA"/>
        </w:rPr>
        <w:t>局定期派出工作人员对各乡（镇）、村脱贫攻坚项目负责人进行公告公示制度宣传，可通过集中培训或定期调研等形式，在每年项目申报前，针对扶贫项目公告公示制度的完整性、规范性等内容进行讲解，帮助项目申报单位答疑解惑，提高乡（镇）、村公告公示制度完整性、规范性，并由此促进项目建设实施的规范性与可行性</w:t>
      </w:r>
      <w:r>
        <w:rPr>
          <w:rFonts w:hint="eastAsia" w:cs="Times New Roman"/>
          <w:b w:val="0"/>
          <w:bCs w:val="0"/>
          <w:color w:val="000000"/>
          <w:kern w:val="2"/>
          <w:sz w:val="32"/>
          <w:szCs w:val="21"/>
          <w:lang w:val="en-US" w:eastAsia="zh-CN" w:bidi="ar-SA"/>
        </w:rPr>
        <w:t>。</w:t>
      </w:r>
    </w:p>
    <w:p>
      <w:pPr>
        <w:pStyle w:val="6"/>
        <w:tabs>
          <w:tab w:val="left" w:pos="6948"/>
        </w:tabs>
        <w:spacing w:before="120" w:after="60"/>
        <w:outlineLvl w:val="0"/>
        <w:rPr>
          <w:rFonts w:hint="default" w:ascii="Times New Roman" w:hAnsi="Times New Roman" w:cs="Times New Roman"/>
        </w:rPr>
      </w:pPr>
      <w:bookmarkStart w:id="336" w:name="_Toc12201"/>
      <w:bookmarkStart w:id="337" w:name="_Toc19808"/>
      <w:bookmarkStart w:id="338" w:name="_Toc9169"/>
      <w:bookmarkStart w:id="339" w:name="_Toc31088"/>
      <w:bookmarkStart w:id="340" w:name="_Toc3059"/>
      <w:bookmarkStart w:id="341" w:name="_Toc24811"/>
      <w:bookmarkStart w:id="342" w:name="_Toc24730"/>
      <w:bookmarkStart w:id="343" w:name="_Toc23332"/>
      <w:bookmarkStart w:id="344" w:name="_Toc11115"/>
      <w:r>
        <w:rPr>
          <w:rFonts w:hint="eastAsia" w:eastAsia="黑体" w:cs="Times New Roman"/>
          <w:b/>
          <w:bCs/>
          <w:kern w:val="44"/>
          <w:sz w:val="32"/>
          <w:szCs w:val="44"/>
          <w:lang w:val="en-US" w:eastAsia="zh-CN" w:bidi="ar-SA"/>
        </w:rPr>
        <w:t>七</w:t>
      </w:r>
      <w:r>
        <w:rPr>
          <w:rFonts w:hint="default" w:ascii="Times New Roman" w:hAnsi="Times New Roman" w:eastAsia="黑体" w:cs="Times New Roman"/>
          <w:b/>
          <w:bCs/>
          <w:kern w:val="44"/>
          <w:sz w:val="32"/>
          <w:szCs w:val="44"/>
          <w:lang w:val="en-US" w:eastAsia="zh-CN" w:bidi="ar-SA"/>
        </w:rPr>
        <w:t>、绩效评价结果应用建议</w:t>
      </w:r>
      <w:bookmarkEnd w:id="336"/>
      <w:bookmarkEnd w:id="337"/>
      <w:bookmarkEnd w:id="338"/>
      <w:bookmarkEnd w:id="339"/>
      <w:bookmarkEnd w:id="340"/>
      <w:bookmarkEnd w:id="341"/>
      <w:bookmarkEnd w:id="342"/>
      <w:bookmarkEnd w:id="343"/>
      <w:bookmarkEnd w:id="344"/>
    </w:p>
    <w:p>
      <w:pPr>
        <w:pStyle w:val="6"/>
        <w:bidi w:val="0"/>
        <w:rPr>
          <w:rFonts w:hint="default" w:ascii="Times New Roman" w:hAnsi="Times New Roman" w:cs="Times New Roman"/>
        </w:rPr>
      </w:pPr>
      <w:r>
        <w:rPr>
          <w:rFonts w:hint="default" w:ascii="Times New Roman" w:hAnsi="Times New Roman" w:cs="Times New Roman"/>
        </w:rPr>
        <w:t>（一）把绩效评价结果作为财政部门每年安排部门预算的重要依据，为预算编制提供参考，加强项目预算准确性，尽快实现预算与绩效管理一体化。</w:t>
      </w:r>
    </w:p>
    <w:p>
      <w:pPr>
        <w:pStyle w:val="6"/>
        <w:bidi w:val="0"/>
        <w:rPr>
          <w:rFonts w:hint="default" w:ascii="Times New Roman" w:hAnsi="Times New Roman" w:cs="Times New Roman"/>
        </w:rPr>
      </w:pPr>
      <w:r>
        <w:rPr>
          <w:rFonts w:hint="default" w:ascii="Times New Roman" w:hAnsi="Times New Roman" w:cs="Times New Roman"/>
        </w:rPr>
        <w:t>（二）利用绩效监督结果，促进主管部门增强责任和效益观念，提高财政资金支出决策水平、管理水平和资金使用效果，完善长效管理制度</w:t>
      </w:r>
      <w:r>
        <w:rPr>
          <w:rFonts w:hint="default" w:ascii="Times New Roman" w:hAnsi="Times New Roman" w:cs="Times New Roman"/>
          <w:lang w:eastAsia="zh-CN"/>
        </w:rPr>
        <w:t>。</w:t>
      </w:r>
      <w:r>
        <w:rPr>
          <w:rFonts w:hint="default" w:ascii="Times New Roman" w:hAnsi="Times New Roman" w:cs="Times New Roman"/>
        </w:rPr>
        <w:t>硬化绩效约束</w:t>
      </w:r>
      <w:r>
        <w:rPr>
          <w:rFonts w:hint="default" w:ascii="Times New Roman" w:hAnsi="Times New Roman" w:cs="Times New Roman"/>
          <w:lang w:eastAsia="zh-CN"/>
        </w:rPr>
        <w:t>，</w:t>
      </w:r>
      <w:r>
        <w:rPr>
          <w:rFonts w:hint="default" w:ascii="Times New Roman" w:hAnsi="Times New Roman" w:cs="Times New Roman"/>
        </w:rPr>
        <w:t>在提高预算绩效约束力方面，深入贯彻绩效评价结果，按照规定作为改进管理和编制以后年度预算的依据，落实责任，实现绩效约束提升项目产出和效益的目的。</w:t>
      </w:r>
    </w:p>
    <w:p>
      <w:pPr>
        <w:pStyle w:val="6"/>
        <w:bidi w:val="0"/>
        <w:rPr>
          <w:rFonts w:hint="default" w:ascii="Times New Roman" w:hAnsi="Times New Roman" w:cs="Times New Roman"/>
        </w:rPr>
      </w:pPr>
      <w:r>
        <w:rPr>
          <w:rFonts w:hint="default" w:ascii="Times New Roman" w:hAnsi="Times New Roman" w:cs="Times New Roman"/>
        </w:rPr>
        <w:t>（三）公开年度预算安排和评价结果，搭建社会公众参与绩效管理的途径和平台，自觉接受社会各界监督，完善压力传导机制，落实主体责任。</w:t>
      </w:r>
    </w:p>
    <w:p>
      <w:pPr>
        <w:pStyle w:val="6"/>
        <w:bidi w:val="0"/>
        <w:rPr>
          <w:rFonts w:hint="default" w:ascii="Times New Roman" w:hAnsi="Times New Roman" w:cs="Times New Roman"/>
        </w:rPr>
      </w:pPr>
      <w:bookmarkStart w:id="345" w:name="_Toc13331"/>
      <w:bookmarkStart w:id="346" w:name="_Toc11235"/>
      <w:r>
        <w:rPr>
          <w:rFonts w:hint="default" w:ascii="Times New Roman" w:hAnsi="Times New Roman" w:cs="Times New Roman"/>
        </w:rPr>
        <w:t>（四）在落实主体责任过程中逐渐加强对预算绩效管理的组织领导，切实转变思想观念，牢固树立绩效意识，完善相关政策约束，加强预算绩效管理力量，充实预算绩效管理人员，督促指导有关政策措施落实。针对预算执行率较低的问题，落实主体责任，合理分析原因并进行整改完善，总结经验教训且在下年度预算安排中应用执行。</w:t>
      </w:r>
      <w:bookmarkEnd w:id="345"/>
      <w:bookmarkEnd w:id="346"/>
    </w:p>
    <w:p>
      <w:pPr>
        <w:pStyle w:val="6"/>
        <w:tabs>
          <w:tab w:val="left" w:pos="6948"/>
        </w:tabs>
        <w:spacing w:before="120" w:after="60"/>
        <w:outlineLvl w:val="0"/>
        <w:rPr>
          <w:rFonts w:hint="default" w:ascii="Times New Roman" w:hAnsi="Times New Roman" w:eastAsia="黑体" w:cs="Times New Roman"/>
          <w:b/>
          <w:bCs/>
          <w:kern w:val="44"/>
          <w:sz w:val="32"/>
          <w:szCs w:val="44"/>
          <w:lang w:val="en-US" w:eastAsia="zh-CN" w:bidi="ar-SA"/>
        </w:rPr>
      </w:pPr>
      <w:bookmarkStart w:id="347" w:name="_Toc30560"/>
      <w:bookmarkStart w:id="348" w:name="_Toc6639"/>
      <w:bookmarkStart w:id="349" w:name="_Toc3589"/>
      <w:bookmarkStart w:id="350" w:name="_Toc18989"/>
      <w:bookmarkStart w:id="351" w:name="_Toc17071"/>
      <w:bookmarkStart w:id="352" w:name="_Toc13276"/>
      <w:r>
        <w:rPr>
          <w:rFonts w:hint="eastAsia" w:eastAsia="黑体" w:cs="Times New Roman"/>
          <w:b/>
          <w:bCs/>
          <w:kern w:val="44"/>
          <w:sz w:val="32"/>
          <w:szCs w:val="44"/>
          <w:lang w:val="en-US" w:eastAsia="zh-CN" w:bidi="ar-SA"/>
        </w:rPr>
        <w:t>八</w:t>
      </w:r>
      <w:r>
        <w:rPr>
          <w:rFonts w:hint="default" w:ascii="Times New Roman" w:hAnsi="Times New Roman" w:eastAsia="黑体" w:cs="Times New Roman"/>
          <w:b/>
          <w:bCs/>
          <w:kern w:val="44"/>
          <w:sz w:val="32"/>
          <w:szCs w:val="44"/>
          <w:lang w:val="en-US" w:eastAsia="zh-CN" w:bidi="ar-SA"/>
        </w:rPr>
        <w:t>、其他需要说明的问题</w:t>
      </w:r>
      <w:bookmarkEnd w:id="293"/>
      <w:bookmarkEnd w:id="294"/>
      <w:bookmarkEnd w:id="295"/>
      <w:bookmarkEnd w:id="296"/>
      <w:bookmarkEnd w:id="297"/>
      <w:bookmarkEnd w:id="347"/>
      <w:bookmarkEnd w:id="348"/>
      <w:bookmarkEnd w:id="349"/>
      <w:bookmarkEnd w:id="350"/>
      <w:bookmarkEnd w:id="351"/>
      <w:bookmarkEnd w:id="352"/>
    </w:p>
    <w:p>
      <w:pPr>
        <w:pStyle w:val="6"/>
        <w:tabs>
          <w:tab w:val="left" w:pos="6948"/>
        </w:tabs>
        <w:spacing w:before="120" w:after="60"/>
        <w:rPr>
          <w:rFonts w:hint="default" w:ascii="Times New Roman" w:hAnsi="Times New Roman" w:cs="Times New Roman"/>
          <w:lang w:val="en-US" w:eastAsia="zh-CN"/>
        </w:rPr>
      </w:pPr>
      <w:r>
        <w:rPr>
          <w:rFonts w:hint="default" w:ascii="Times New Roman" w:hAnsi="Times New Roman" w:cs="Times New Roman"/>
          <w:lang w:val="en-US" w:eastAsia="zh-CN"/>
        </w:rPr>
        <w:t>无。</w:t>
      </w:r>
    </w:p>
    <w:p>
      <w:pPr>
        <w:pStyle w:val="6"/>
        <w:tabs>
          <w:tab w:val="left" w:pos="6948"/>
        </w:tabs>
        <w:spacing w:before="120" w:after="60"/>
        <w:rPr>
          <w:rFonts w:hint="eastAsia" w:ascii="Times New Roman" w:hAnsi="Times New Roman" w:cs="Times New Roman"/>
          <w:lang w:val="en-US" w:eastAsia="zh-CN"/>
        </w:rPr>
        <w:sectPr>
          <w:footerReference r:id="rId7" w:type="default"/>
          <w:pgSz w:w="11906" w:h="16838"/>
          <w:pgMar w:top="1440" w:right="1797" w:bottom="1440" w:left="1797" w:header="851" w:footer="992" w:gutter="0"/>
          <w:pgNumType w:fmt="decimal" w:start="1"/>
          <w:cols w:space="425" w:num="1"/>
          <w:docGrid w:linePitch="312" w:charSpace="0"/>
        </w:sectPr>
      </w:pPr>
      <w:r>
        <w:rPr>
          <w:rFonts w:hint="eastAsia" w:ascii="Times New Roman" w:hAnsi="Times New Roman" w:cs="Times New Roman"/>
          <w:lang w:val="en-US" w:eastAsia="zh-CN"/>
        </w:rPr>
        <w:t>附件 综合评分表</w:t>
      </w:r>
    </w:p>
    <w:p>
      <w:pPr>
        <w:pStyle w:val="6"/>
        <w:tabs>
          <w:tab w:val="left" w:pos="6948"/>
        </w:tabs>
        <w:spacing w:before="120" w:after="60"/>
        <w:outlineLvl w:val="0"/>
        <w:rPr>
          <w:rFonts w:hint="eastAsia" w:eastAsia="黑体" w:cs="Times New Roman"/>
          <w:b/>
          <w:bCs/>
          <w:kern w:val="44"/>
          <w:sz w:val="32"/>
          <w:szCs w:val="44"/>
          <w:lang w:val="en-US" w:eastAsia="zh-CN" w:bidi="ar-SA"/>
        </w:rPr>
      </w:pPr>
      <w:bookmarkStart w:id="353" w:name="_Toc24187"/>
      <w:r>
        <w:rPr>
          <w:rFonts w:hint="eastAsia" w:eastAsia="黑体" w:cs="Times New Roman"/>
          <w:b/>
          <w:bCs/>
          <w:kern w:val="44"/>
          <w:sz w:val="32"/>
          <w:szCs w:val="44"/>
          <w:lang w:val="en-US" w:eastAsia="zh-CN" w:bidi="ar-SA"/>
        </w:rPr>
        <w:t>附件一 综合评分表</w:t>
      </w:r>
      <w:bookmarkEnd w:id="353"/>
    </w:p>
    <w:tbl>
      <w:tblPr>
        <w:tblStyle w:val="19"/>
        <w:tblW w:w="5000" w:type="pct"/>
        <w:tblInd w:w="0" w:type="dxa"/>
        <w:shd w:val="clear" w:color="auto" w:fill="auto"/>
        <w:tblLayout w:type="fixed"/>
        <w:tblCellMar>
          <w:top w:w="0" w:type="dxa"/>
          <w:left w:w="108" w:type="dxa"/>
          <w:bottom w:w="0" w:type="dxa"/>
          <w:right w:w="108" w:type="dxa"/>
        </w:tblCellMar>
      </w:tblPr>
      <w:tblGrid>
        <w:gridCol w:w="716"/>
        <w:gridCol w:w="859"/>
        <w:gridCol w:w="764"/>
        <w:gridCol w:w="722"/>
        <w:gridCol w:w="1350"/>
        <w:gridCol w:w="982"/>
        <w:gridCol w:w="2468"/>
        <w:gridCol w:w="4432"/>
        <w:gridCol w:w="777"/>
        <w:gridCol w:w="1104"/>
      </w:tblGrid>
      <w:tr>
        <w:tblPrEx>
          <w:shd w:val="clear" w:color="auto" w:fill="auto"/>
        </w:tblPrEx>
        <w:trPr>
          <w:trHeight w:val="23" w:hRule="atLeast"/>
        </w:trPr>
        <w:tc>
          <w:tcPr>
            <w:tcW w:w="252"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30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6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25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476"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指标解释</w:t>
            </w:r>
          </w:p>
        </w:tc>
        <w:tc>
          <w:tcPr>
            <w:tcW w:w="346"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目标值</w:t>
            </w:r>
          </w:p>
        </w:tc>
        <w:tc>
          <w:tcPr>
            <w:tcW w:w="870"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评分标准</w:t>
            </w:r>
          </w:p>
        </w:tc>
        <w:tc>
          <w:tcPr>
            <w:tcW w:w="156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评分过程</w:t>
            </w:r>
          </w:p>
        </w:tc>
        <w:tc>
          <w:tcPr>
            <w:tcW w:w="27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389"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w:t>
            </w:r>
            <w:r>
              <w:rPr>
                <w:rFonts w:hint="eastAsia" w:ascii="仿宋_GB2312" w:hAnsi="Times New Roman" w:eastAsia="仿宋_GB2312" w:cs="仿宋_GB2312"/>
                <w:i w:val="0"/>
                <w:iCs w:val="0"/>
                <w:color w:val="000000"/>
                <w:kern w:val="0"/>
                <w:sz w:val="22"/>
                <w:szCs w:val="22"/>
                <w:u w:val="none"/>
                <w:lang w:val="en-US" w:eastAsia="zh-CN" w:bidi="ar"/>
              </w:rPr>
              <w:t>项目决策（</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r>
              <w:rPr>
                <w:rFonts w:hint="eastAsia" w:ascii="仿宋_GB2312" w:hAnsi="Times New Roman" w:eastAsia="仿宋_GB2312" w:cs="仿宋_GB2312"/>
                <w:i w:val="0"/>
                <w:iCs w:val="0"/>
                <w:color w:val="000000"/>
                <w:kern w:val="0"/>
                <w:sz w:val="22"/>
                <w:szCs w:val="22"/>
                <w:u w:val="none"/>
                <w:lang w:val="en-US" w:eastAsia="zh-CN" w:bidi="ar"/>
              </w:rPr>
              <w:t>项目立项（</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项目立项符合法律法规、相关政策、发展规划以及部门职责，用以反映和考核项目立项依据情况。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充分</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①项目立项符合国家法律法规、省市国民经济</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十三五发展规划</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；②项目立项符合国家、省市相关政策要求；③项目立项与淮滨县农业农村局部门职责范围相符，属于部门履职所需；④项目属于公共财政支持范围，符合中央、地方事权支出责任划分原则。以上各项各占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年马集镇刘大园村食用菌产业深加工项目立项符合国家法律法规及河南省、信阳市</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发展规划，该要素得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权重分；②淮滨县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年马集镇刘大园村食用菌产业深加工项目立项均符合国家、省市相关政策要求，该要素得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权重分；③淮滨县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年马集镇刘大园村食用菌产业深加工项目立项均在淮滨县农业农村局及各行业主管单位职责范围之内，属于部门履职所需，该要素得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权重分；④项目均属于公共财政支持范围，符合中央、地方事权支出责任划分原则，该要素得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权重分；⑤项目与相关部门同类项目均无重复，该要素得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项目的申请、设立过程符合相关要求，用以反映和考核项目立项的规范情况。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①项目按照规定的程序申请设立；②审批文件、材料符合相关要求；③事前已经过必要的可行性研究、专家论证、风险评估、集体决策，</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四议</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（即村党支部会提议、村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会商议、党员大会审议、村民代表会议或村民会议决议）和</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两公开</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（即决议公开、实施结果公开）等。其中①②各占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根据淮滨县农业农村局提供资料，经评价组实地核查：①项目立项经过规定程序申请，入库手续完备；得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权重分；②项目审批文件符合河南省关于扶贫项目申报的相关要求，得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权重分；③项目立项前经过行业主管部门组织相关专家进行论证，出具有可行性研究报告，村级申报四议两公开程序规范，得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r>
              <w:rPr>
                <w:rFonts w:hint="eastAsia" w:ascii="仿宋_GB2312" w:hAnsi="Times New Roman" w:eastAsia="仿宋_GB2312" w:cs="仿宋_GB2312"/>
                <w:i w:val="0"/>
                <w:iCs w:val="0"/>
                <w:color w:val="000000"/>
                <w:kern w:val="0"/>
                <w:sz w:val="22"/>
                <w:szCs w:val="22"/>
                <w:u w:val="none"/>
                <w:lang w:val="en-US" w:eastAsia="zh-CN" w:bidi="ar"/>
              </w:rPr>
              <w:t>绩效目标（</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项目所设定的绩效目标符合实际、切实可行，用以反映和考核项目绩效目标与项目实施的相符情况。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①项目有绩效目标；②项目绩效目标与实际工作内容具有相关性；③项目预期产出和效果符合正常的水平。具备要素①，得到指标分值的</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；如不具备，该指标分值为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。具备要素②③，分别得到指标分值的</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根据淮滨县农业农村局提供资料，经评价组实地核查：①该项目设置有绩效目标，得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权重分；②该项目绩效目标与实际工作内容具有较强的相关性，得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权重分；③该项目预期产出和效果均符合正常水平，得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依据绩效目标设定的绩效指标清晰、细化、可衡量等，用以反映和考核项目绩效目标的明细化情况。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明确</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①将项目绩效目标细化分解为具体的绩效指标；②通过清晰、可衡量的指标值予以体现；③与项目目标任务数或计划数相对应。其中①占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权重分，②③各占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根据淮滨县农业农村局提供资料，经评价组实地核查：①该项目将绩效目标分解为具体的绩效指标，得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权重分；②但绩效指标设置总体较为笼统、模糊，不够清晰完整，不得分；③该项目绩效目标设置与计划任务数匹配，该要素得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r>
              <w:rPr>
                <w:rFonts w:hint="eastAsia" w:ascii="仿宋_GB2312" w:hAnsi="Times New Roman" w:eastAsia="仿宋_GB2312" w:cs="仿宋_GB2312"/>
                <w:i w:val="0"/>
                <w:iCs w:val="0"/>
                <w:color w:val="000000"/>
                <w:kern w:val="0"/>
                <w:sz w:val="22"/>
                <w:szCs w:val="22"/>
                <w:u w:val="none"/>
                <w:lang w:val="en-US" w:eastAsia="zh-CN" w:bidi="ar"/>
              </w:rPr>
              <w:t>资金安排（</w:t>
            </w: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项目预算编制经过科学论证、有明确标准，资金额度与年度目标相适应，用以反映和考核项目预算编制的科学性、合理性情况。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①项目预算内容与项目实际内容匹配；②预算额度测算依据充分。以上要素各占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根据淮滨县农业农村局提供资料，经评价组实地核查：该项目预算内容与项目实际内容均相匹配，得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权重分；②项目预算额度测算依据充分。综上所述，依据评分标准，该项指标得满分权重分。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25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r>
              <w:rPr>
                <w:rFonts w:hint="eastAsia" w:ascii="仿宋_GB2312" w:hAnsi="Times New Roman" w:eastAsia="仿宋_GB2312" w:cs="仿宋_GB2312"/>
                <w:i w:val="0"/>
                <w:iCs w:val="0"/>
                <w:color w:val="000000"/>
                <w:kern w:val="0"/>
                <w:sz w:val="22"/>
                <w:szCs w:val="22"/>
                <w:u w:val="none"/>
                <w:lang w:val="en-US" w:eastAsia="zh-CN" w:bidi="ar"/>
              </w:rPr>
              <w:t>资金管理（</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实际到位资金与预算资金的比率，用以反映和考核专项资金的到位情况。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财政批复资金）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，且未对项目开展造成不良影响，得分等于指标分值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资金到位率；资金到位率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，且对项目开展造成不良影响，得分等于</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年马集镇刘大园村食用菌产业深加工项目预算资金</w:t>
            </w:r>
            <w:r>
              <w:rPr>
                <w:rFonts w:hint="default" w:ascii="Times New Roman" w:hAnsi="Times New Roman" w:eastAsia="仿宋_GB2312" w:cs="Times New Roman"/>
                <w:i w:val="0"/>
                <w:iCs w:val="0"/>
                <w:color w:val="000000"/>
                <w:kern w:val="0"/>
                <w:sz w:val="22"/>
                <w:szCs w:val="22"/>
                <w:u w:val="none"/>
                <w:lang w:val="en-US" w:eastAsia="zh-CN" w:bidi="ar"/>
              </w:rPr>
              <w:t>1522.35</w:t>
            </w:r>
            <w:r>
              <w:rPr>
                <w:rFonts w:hint="eastAsia" w:ascii="仿宋_GB2312" w:hAnsi="宋体" w:eastAsia="仿宋_GB2312" w:cs="仿宋_GB2312"/>
                <w:i w:val="0"/>
                <w:iCs w:val="0"/>
                <w:color w:val="000000"/>
                <w:kern w:val="0"/>
                <w:sz w:val="22"/>
                <w:szCs w:val="22"/>
                <w:u w:val="none"/>
                <w:lang w:val="en-US" w:eastAsia="zh-CN" w:bidi="ar"/>
              </w:rPr>
              <w:t>万元，实际到位资金</w:t>
            </w:r>
            <w:r>
              <w:rPr>
                <w:rFonts w:hint="default" w:ascii="Times New Roman" w:hAnsi="Times New Roman" w:eastAsia="仿宋_GB2312" w:cs="Times New Roman"/>
                <w:i w:val="0"/>
                <w:iCs w:val="0"/>
                <w:color w:val="000000"/>
                <w:kern w:val="0"/>
                <w:sz w:val="22"/>
                <w:szCs w:val="22"/>
                <w:u w:val="none"/>
                <w:lang w:val="en-US" w:eastAsia="zh-CN" w:bidi="ar"/>
              </w:rPr>
              <w:t>1517.72</w:t>
            </w:r>
            <w:r>
              <w:rPr>
                <w:rFonts w:hint="eastAsia" w:ascii="仿宋_GB2312" w:hAnsi="宋体" w:eastAsia="仿宋_GB2312" w:cs="仿宋_GB2312"/>
                <w:i w:val="0"/>
                <w:iCs w:val="0"/>
                <w:color w:val="000000"/>
                <w:kern w:val="0"/>
                <w:sz w:val="22"/>
                <w:szCs w:val="22"/>
                <w:u w:val="none"/>
                <w:lang w:val="en-US" w:eastAsia="zh-CN" w:bidi="ar"/>
              </w:rPr>
              <w:t>万元，资金到位率为</w:t>
            </w:r>
            <w:r>
              <w:rPr>
                <w:rFonts w:hint="default" w:ascii="Times New Roman" w:hAnsi="Times New Roman" w:eastAsia="仿宋_GB2312" w:cs="Times New Roman"/>
                <w:i w:val="0"/>
                <w:iCs w:val="0"/>
                <w:color w:val="000000"/>
                <w:kern w:val="0"/>
                <w:sz w:val="22"/>
                <w:szCs w:val="22"/>
                <w:u w:val="none"/>
                <w:lang w:val="en-US" w:eastAsia="zh-CN" w:bidi="ar"/>
              </w:rPr>
              <w:t>99.70%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99.70%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99.70%</w:t>
            </w:r>
          </w:p>
        </w:tc>
      </w:tr>
      <w:tr>
        <w:tblPrEx>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资金拨付率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项目预算资金按照计划执行，用以反映或考核项目预算执行情况。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资金拨付率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（实际支出资金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。①实际支出资金：一定时期（本年度或项目期）内项目实际拨付的资金；②实际到位资金：一定时期（本年度或项目期）内实际落实到具体项目的资金。得分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预算执行率。</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年马集镇刘大园村食用菌产业深加工项目实际到位资金</w:t>
            </w:r>
            <w:r>
              <w:rPr>
                <w:rFonts w:hint="default" w:ascii="Times New Roman" w:hAnsi="Times New Roman" w:eastAsia="仿宋_GB2312" w:cs="Times New Roman"/>
                <w:i w:val="0"/>
                <w:iCs w:val="0"/>
                <w:color w:val="000000"/>
                <w:kern w:val="0"/>
                <w:sz w:val="22"/>
                <w:szCs w:val="22"/>
                <w:u w:val="none"/>
                <w:lang w:val="en-US" w:eastAsia="zh-CN" w:bidi="ar"/>
              </w:rPr>
              <w:t>99.70%</w:t>
            </w:r>
            <w:r>
              <w:rPr>
                <w:rFonts w:hint="eastAsia" w:ascii="仿宋_GB2312" w:hAnsi="宋体" w:eastAsia="仿宋_GB2312" w:cs="仿宋_GB2312"/>
                <w:i w:val="0"/>
                <w:iCs w:val="0"/>
                <w:color w:val="000000"/>
                <w:kern w:val="0"/>
                <w:sz w:val="22"/>
                <w:szCs w:val="22"/>
                <w:u w:val="none"/>
                <w:lang w:val="en-US" w:eastAsia="zh-CN" w:bidi="ar"/>
              </w:rPr>
              <w:t>万元，截至</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31</w:t>
            </w:r>
            <w:r>
              <w:rPr>
                <w:rFonts w:hint="eastAsia" w:ascii="仿宋_GB2312" w:hAnsi="宋体" w:eastAsia="仿宋_GB2312" w:cs="仿宋_GB2312"/>
                <w:i w:val="0"/>
                <w:iCs w:val="0"/>
                <w:color w:val="000000"/>
                <w:kern w:val="0"/>
                <w:sz w:val="22"/>
                <w:szCs w:val="22"/>
                <w:u w:val="none"/>
                <w:lang w:val="en-US" w:eastAsia="zh-CN" w:bidi="ar"/>
              </w:rPr>
              <w:t>日，资金已全部拨付（预留</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工程质保金），资金拨付率为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项目财务制度健全，用以反映和考核财务管理制度对资金规范、安全运行的保障情况。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健全</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①已制定或具有相应的项目资金管理办法；②项目资金管理办法符合相关财务会计制度的规定。以上要素各占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根据淮滨县农业农村局提供资料，经评价组实地核查：①淮滨县有相应的财政扶贫资金管理办法，对预算安排与项目分配，资金支出与下达范围等方面进行了明确规定，得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权重分；②项目资金管理办法符合相关会计制度的规定与要求，得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项目资金使用符合相关的财务管理制度规定，用以反映和考核项目资金的规范运行情况。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合规</w:t>
            </w:r>
          </w:p>
        </w:tc>
        <w:tc>
          <w:tcPr>
            <w:tcW w:w="87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①符合国家财经法规和财务管理制度以及有关专项资金管理办法的规定；</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②资金的拨付有完整的审批程序和手续；</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③项目开支符合政府采购管理要求；</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④符合项目预算批复或合同规定的用途；</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⑤不存在截留、挤占、挪用、虚列支出等情况。</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具备一个得分要素，得到指标分值的</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。但如缺少要素④或⑤指标得分为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年马集镇刘大园村食用菌产业深加工项目资金支出符合国家财经法规和财务管理制度，得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权重分；②项目资金拨付有完善的审批程序，报账资料齐全，得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权重分；③项目开支符合政府采购要求，得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权重分；④项目支出符合项目预算批复用途及合同规定用途，得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权重分；⑤不存在截留、挤占、挪用，得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项目实施单位为保障资金的安全、规范运行而采取了必要的监控措施，用以反映和考核项目实施单位对资金运行的控制情况。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①制定或具有相应的扶贫资金财政监督检查和审计制度建设；②组织开展财政监督检查和审计，出具检查和审计成果；③对于检查发现的问题整改到位；以上要素各占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根据淮滨县农业农村局提供资料，经评价组实地核查：①截止评价结束，有相应的扶贫资金财政监督检查和审计制度建设，故该指标得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权重分；②该项目未出具有审计报告，得</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权重分；③对于检查发现的问题整改到位，故指标</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66.67%</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13</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考察与项目库直接相关的管理规范，用以项目管理的规范情况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8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建立项目库；②项目库管理制度健全，项目动态调整、滚动管理机制；③具备入库项目经过充分论证、择优遴选、突出支持重点；④核查入库项目内容完整，描述准确。应包括项目名称、项目类型、建设性质、实施地点、时间进度、责任单位、建设任务、资金规模和筹资方式、受益对象、绩效目标、群众参与和带贫减贫机制等；⑤入库项目范围合理，两不愁三保障无关的项目原则上不允许纳入脱贫攻坚项目库（如县乡道路，大中型水利工程，大中型污水处理设施等）。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权重分，符合得分；实施项目中发现一例非入库项目，扣除</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根据淮滨县农业农村局提供资料，经评价组实地核查：①淮滨县建立有</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年脱贫攻坚项目库，得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权重分；②淮滨县建立有项目库管理制度，包含有动态调整、滚动管理机制，得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权重分；③项目入库均经过充分论证，得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权重分；④入库项目内容完整，描述准确，包括项目名称、项目类型、建设性质、实施地点等内容，得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权重分；⑤入库项目范围合理，无超出范围、无负面清单项目，得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25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考察项目采购流程合规，合同签订内容、签订流程等相关内容规范、合理。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采购活动按照政府采购相关限额标准采用合适采购方式；②合同内容全面，对实施期限、实施内容、双方职责等内容进行了明确规定；③合同签订过程中审批程序、签订形式规范，及时完成合同的签订，严格依据合同条例执行合同管理。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年马集镇刘大园村食用菌产业深加工项目政府采购均按照相关限额标准采用合适采购方式，得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权重分；②合同内容全面，对实施期限、实施内容、双方职责等方面进行了明确规定，得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权重分；③合同签订过程中审批程序、签订形式规范，及时完成合同的签订，严格依据合同条例执行合同管理，得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评价组织实施符合相关业务管理规定，用以反映和考核业务管理制度的有效执行情况。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遵守相关法律法规和相关管理规定；②项目调整及支出调整手续完备；③项目建设实施方案、项目合同书、施工日志、监理报告、验收报告、技术鉴定、报账材料、监督检查审计报告、台账等资料齐全并及时归档；④项目实施的人员条件、场地设备、信息支撑等落实到位。以上要素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根据淮滨县农业农村局提供资料，经评价组实地核查：①淮滨县农业农村局对项目管理遵守相关法律法规及管理规定，得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权重分；②项目调整及支出调整手续完备，得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权重分；③项目建设实施方案、项目合同书、监理报告、验收报告、报账材料、监督检查报告、扶贫资产台账、资产移交手续等资料齐全，得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权重分；④项目实施的人员条件、场地设备、信息支撑等落实到位。综上所述，该该项指标得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考察项目利益联结机制合理可行与执行效果，用以反映和考核利益联结机制的有效性。</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①项目实施方案中包含有利益联结机制相关内容；②项目利益联结机制包含利益联结主体、联结模式，描述清晰、完整、可行性较高。以上各要素各占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权重分，①若不符合，该项指标不得分，②中缺任一要素扣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根据淮滨县农业农村局提供资料，经评价组实地核查：①项目实施方案中包含利益联结机制相关内容，得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利益联结机制包含联结主体、联结模式等方面，但是部分利益联结机制描述过于简单，如村集体经济年收入、带动贫困人口年收入情况和分配方式没有具体说明，故该要素不得分。综上所述，该指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考察淮滨县扶贫资金信息公开和公告公示制度建设与执行情况。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87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①县级信息公开和公告公示制度建设和执行；其中出台了公告公示相关制度占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权重分，公告公示内容完整（</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央、省、市、县级财政专项扶贫资金分配结果、精准扶贫贷款安排使用情况、行业扶贫相关财政资金使用情况、脱贫攻坚规划、县级脱贫攻坚项目库、年度扶贫资金项目计划安排情况、年度扶贫资金项目计划完成情况、项目实施情况、受理方式和举报办理结果</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中需公告公示内容</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②乡村信息公开和公告公示制度建设规范：用固定公告公示专栏（公告公示牌）进行公告公示且无明显新粘贴且无法提供以前公告公示相关证明材料的占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公示公告内容完整占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权重分（要有县里扶贫资金项目公告公示制度（或实施细则）、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年扶贫资金项目安排计划、</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年扶贫资金项目计划完成情况、</w:t>
            </w:r>
            <w:r>
              <w:rPr>
                <w:rFonts w:hint="default" w:ascii="Times New Roman" w:hAnsi="Times New Roman" w:eastAsia="仿宋_GB2312" w:cs="Times New Roman"/>
                <w:i w:val="0"/>
                <w:iCs w:val="0"/>
                <w:color w:val="000000"/>
                <w:kern w:val="0"/>
                <w:sz w:val="22"/>
                <w:szCs w:val="22"/>
                <w:u w:val="none"/>
                <w:lang w:val="en-US" w:eastAsia="zh-CN" w:bidi="ar"/>
              </w:rPr>
              <w:t>2019-2020</w:t>
            </w:r>
            <w:r>
              <w:rPr>
                <w:rFonts w:hint="eastAsia" w:ascii="仿宋_GB2312" w:hAnsi="宋体" w:eastAsia="仿宋_GB2312" w:cs="仿宋_GB2312"/>
                <w:i w:val="0"/>
                <w:iCs w:val="0"/>
                <w:color w:val="000000"/>
                <w:kern w:val="0"/>
                <w:sz w:val="22"/>
                <w:szCs w:val="22"/>
                <w:u w:val="none"/>
                <w:lang w:val="en-US" w:eastAsia="zh-CN" w:bidi="ar"/>
              </w:rPr>
              <w:t>年脱贫攻坚项目库</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项）。以上各要素符合得分，不符合相应扣分。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根据淮滨县农业农村局提供资料，经评价组实地核查：①《关于完善扶贫资金项目公告公示制度的指导意见》的通知》对项目公告公示作了明确要求，得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权重分；项目公告公示均留有影像资料，公告公示内容完整，得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权重分；②乡村信息公开和公告公示制度建设规范：用固定公告公示专栏（公告公示牌）进行公告公示且无明显新粘贴且无法提供以前公告公示相关证明材料，该要素得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权重分；公示内容不够完整，该要素不得分。综上，本项指标得</w:t>
            </w:r>
            <w:r>
              <w:rPr>
                <w:rFonts w:hint="default" w:ascii="Times New Roman" w:hAnsi="Times New Roman" w:eastAsia="仿宋_GB2312" w:cs="Times New Roman"/>
                <w:i w:val="0"/>
                <w:iCs w:val="0"/>
                <w:color w:val="000000"/>
                <w:kern w:val="0"/>
                <w:sz w:val="22"/>
                <w:szCs w:val="22"/>
                <w:u w:val="none"/>
                <w:lang w:val="en-US" w:eastAsia="zh-CN" w:bidi="ar"/>
              </w:rPr>
              <w:t>75%</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23"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w:t>
            </w:r>
            <w:r>
              <w:rPr>
                <w:rFonts w:hint="eastAsia" w:ascii="仿宋_GB2312" w:hAnsi="Times New Roman" w:eastAsia="仿宋_GB2312" w:cs="仿宋_GB2312"/>
                <w:i w:val="0"/>
                <w:iCs w:val="0"/>
                <w:color w:val="000000"/>
                <w:kern w:val="0"/>
                <w:sz w:val="22"/>
                <w:szCs w:val="22"/>
                <w:u w:val="none"/>
                <w:lang w:val="en-US" w:eastAsia="zh-CN" w:bidi="ar"/>
              </w:rPr>
              <w:t>产出（</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r>
              <w:rPr>
                <w:rFonts w:hint="eastAsia" w:ascii="仿宋_GB2312" w:hAnsi="Times New Roman" w:eastAsia="仿宋_GB2312" w:cs="仿宋_GB2312"/>
                <w:i w:val="0"/>
                <w:iCs w:val="0"/>
                <w:color w:val="000000"/>
                <w:kern w:val="0"/>
                <w:sz w:val="22"/>
                <w:szCs w:val="22"/>
                <w:u w:val="none"/>
                <w:lang w:val="en-US" w:eastAsia="zh-CN" w:bidi="ar"/>
              </w:rPr>
              <w:t>产出数量（</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新建双孢菇深加工车间、研发中心</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年马集镇刘大园村食用菌产业深加工项目新建双孢菇深加工车间、研发中心完成情况。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栋</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新建双孢菇深加工车间、研发中心完成率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（实际新建双孢菇深加工车间、研发中心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计划新建双孢菇深加工车间、研发中心）</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，马集镇刘大园村食用菌产业深加工项目建设项目完成率达到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年淮滨县计划新建双孢菇深加工车间</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栋、研发中心</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栋，实际新建双孢菇深加工车间</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栋、研发中心</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栋，完成率为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项目建设面积</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年马集镇刘大园村食用菌产业深加工项目建设面积完成情况。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6152</w:t>
            </w:r>
            <w:r>
              <w:rPr>
                <w:rFonts w:hint="eastAsia" w:ascii="仿宋_GB2312" w:hAnsi="Times New Roman" w:eastAsia="仿宋_GB2312" w:cs="仿宋_GB2312"/>
                <w:i w:val="0"/>
                <w:iCs w:val="0"/>
                <w:color w:val="000000"/>
                <w:kern w:val="0"/>
                <w:sz w:val="22"/>
                <w:szCs w:val="22"/>
                <w:u w:val="none"/>
                <w:lang w:val="en-US" w:eastAsia="zh-CN" w:bidi="ar"/>
              </w:rPr>
              <w:t>平方米</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项目建设面积完成率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（实际项目建设面积</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计划项目建设面积）</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，马集镇刘大园村食用菌产业深加工项目完成率达到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年马集镇刘大园村食用菌产业深加工项目计划建设面积为</w:t>
            </w:r>
            <w:r>
              <w:rPr>
                <w:rFonts w:hint="default" w:ascii="Times New Roman" w:hAnsi="Times New Roman" w:eastAsia="仿宋_GB2312" w:cs="Times New Roman"/>
                <w:i w:val="0"/>
                <w:iCs w:val="0"/>
                <w:color w:val="000000"/>
                <w:kern w:val="0"/>
                <w:sz w:val="22"/>
                <w:szCs w:val="22"/>
                <w:u w:val="none"/>
                <w:lang w:val="en-US" w:eastAsia="zh-CN" w:bidi="ar"/>
              </w:rPr>
              <w:t>6152</w:t>
            </w:r>
            <w:r>
              <w:rPr>
                <w:rFonts w:hint="eastAsia" w:ascii="仿宋_GB2312" w:hAnsi="宋体" w:eastAsia="仿宋_GB2312" w:cs="仿宋_GB2312"/>
                <w:i w:val="0"/>
                <w:iCs w:val="0"/>
                <w:color w:val="000000"/>
                <w:kern w:val="0"/>
                <w:sz w:val="22"/>
                <w:szCs w:val="22"/>
                <w:u w:val="none"/>
                <w:lang w:val="en-US" w:eastAsia="zh-CN" w:bidi="ar"/>
              </w:rPr>
              <w:t>平方米，实际建设面积为</w:t>
            </w:r>
            <w:r>
              <w:rPr>
                <w:rFonts w:hint="default" w:ascii="Times New Roman" w:hAnsi="Times New Roman" w:eastAsia="仿宋_GB2312" w:cs="Times New Roman"/>
                <w:i w:val="0"/>
                <w:iCs w:val="0"/>
                <w:color w:val="000000"/>
                <w:kern w:val="0"/>
                <w:sz w:val="22"/>
                <w:szCs w:val="22"/>
                <w:u w:val="none"/>
                <w:lang w:val="en-US" w:eastAsia="zh-CN" w:bidi="ar"/>
              </w:rPr>
              <w:t>6152</w:t>
            </w:r>
            <w:r>
              <w:rPr>
                <w:rFonts w:hint="eastAsia" w:ascii="仿宋_GB2312" w:hAnsi="宋体" w:eastAsia="仿宋_GB2312" w:cs="仿宋_GB2312"/>
                <w:i w:val="0"/>
                <w:iCs w:val="0"/>
                <w:color w:val="000000"/>
                <w:kern w:val="0"/>
                <w:sz w:val="22"/>
                <w:szCs w:val="22"/>
                <w:u w:val="none"/>
                <w:lang w:val="en-US" w:eastAsia="zh-CN" w:bidi="ar"/>
              </w:rPr>
              <w:t>平方米，完成率为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生产设备配备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年马集镇刘大园村食用菌产业深加工项目生产设备配备情况。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r>
              <w:rPr>
                <w:rFonts w:hint="eastAsia" w:ascii="仿宋_GB2312" w:hAnsi="Times New Roman" w:eastAsia="仿宋_GB2312" w:cs="仿宋_GB2312"/>
                <w:i w:val="0"/>
                <w:iCs w:val="0"/>
                <w:color w:val="000000"/>
                <w:kern w:val="0"/>
                <w:sz w:val="22"/>
                <w:szCs w:val="22"/>
                <w:u w:val="none"/>
                <w:lang w:val="en-US" w:eastAsia="zh-CN" w:bidi="ar"/>
              </w:rPr>
              <w:t>条</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套</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生产设备配备率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（实际生产设备配备数量标准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计划生产设备配备数量标准）</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年马集镇刘大园村食用菌产业深加工项目计划生产设备配备数量标准为</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条</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套，实际生产设备配备数量标准为</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条</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套，完成率为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r>
              <w:rPr>
                <w:rFonts w:hint="eastAsia" w:ascii="仿宋_GB2312" w:hAnsi="Times New Roman" w:eastAsia="仿宋_GB2312" w:cs="仿宋_GB2312"/>
                <w:i w:val="0"/>
                <w:iCs w:val="0"/>
                <w:color w:val="000000"/>
                <w:kern w:val="0"/>
                <w:sz w:val="22"/>
                <w:szCs w:val="22"/>
                <w:u w:val="none"/>
                <w:lang w:val="en-US" w:eastAsia="zh-CN" w:bidi="ar"/>
              </w:rPr>
              <w:t>产出质量（</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年马集镇刘大园村食用菌产业深加工项目验收合格情况。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r>
              <w:rPr>
                <w:rFonts w:hint="eastAsia" w:ascii="仿宋_GB2312" w:hAnsi="Times New Roman" w:eastAsia="仿宋_GB2312" w:cs="仿宋_GB2312"/>
                <w:i w:val="0"/>
                <w:iCs w:val="0"/>
                <w:color w:val="000000"/>
                <w:kern w:val="0"/>
                <w:sz w:val="22"/>
                <w:szCs w:val="22"/>
                <w:u w:val="none"/>
                <w:lang w:val="en-US" w:eastAsia="zh-CN" w:bidi="ar"/>
              </w:rPr>
              <w:t>产出时效（</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年马集镇刘大园村食用菌产业深加工项目完工时间与计划完工时间的比较，用以反映和考核项目完工及时程度。</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项目实际完工时间与计划完工时间对比，符合完工时间得满分，否则不得分。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根据项目单位提供的项目合同、工程复验表和基础数据表等相关材料；项目工期为</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月，项目已按计划进度完成施工任务，完工及时率</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。综上所述，该项指标得满分。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r>
              <w:rPr>
                <w:rFonts w:hint="eastAsia" w:ascii="仿宋_GB2312" w:hAnsi="Times New Roman" w:eastAsia="仿宋_GB2312" w:cs="仿宋_GB2312"/>
                <w:i w:val="0"/>
                <w:iCs w:val="0"/>
                <w:color w:val="000000"/>
                <w:kern w:val="0"/>
                <w:sz w:val="22"/>
                <w:szCs w:val="22"/>
                <w:u w:val="none"/>
                <w:lang w:val="en-US" w:eastAsia="zh-CN" w:bidi="ar"/>
              </w:rPr>
              <w:t>产出成本（</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≤1522.35</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8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实际项目建设成本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预期项目建设成本，得满分，否则每偏离预期建设成本</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根据项目单位提供的实施方案，工作总结和基础数据表等相关材料；预期项目建设成本为</w:t>
            </w:r>
            <w:r>
              <w:rPr>
                <w:rFonts w:hint="default" w:ascii="Times New Roman" w:hAnsi="Times New Roman" w:eastAsia="仿宋_GB2312" w:cs="Times New Roman"/>
                <w:i w:val="0"/>
                <w:iCs w:val="0"/>
                <w:color w:val="000000"/>
                <w:kern w:val="0"/>
                <w:sz w:val="22"/>
                <w:szCs w:val="22"/>
                <w:u w:val="none"/>
                <w:lang w:val="en-US" w:eastAsia="zh-CN" w:bidi="ar"/>
              </w:rPr>
              <w:t>1522.35</w:t>
            </w:r>
            <w:r>
              <w:rPr>
                <w:rFonts w:hint="eastAsia" w:ascii="仿宋_GB2312" w:hAnsi="宋体" w:eastAsia="仿宋_GB2312" w:cs="仿宋_GB2312"/>
                <w:i w:val="0"/>
                <w:iCs w:val="0"/>
                <w:color w:val="000000"/>
                <w:kern w:val="0"/>
                <w:sz w:val="22"/>
                <w:szCs w:val="22"/>
                <w:u w:val="none"/>
                <w:lang w:val="en-US" w:eastAsia="zh-CN" w:bidi="ar"/>
              </w:rPr>
              <w:t>万元，实际项目建设成本为</w:t>
            </w:r>
            <w:r>
              <w:rPr>
                <w:rFonts w:hint="default" w:ascii="Times New Roman" w:hAnsi="Times New Roman" w:eastAsia="仿宋_GB2312" w:cs="Times New Roman"/>
                <w:i w:val="0"/>
                <w:iCs w:val="0"/>
                <w:color w:val="000000"/>
                <w:kern w:val="0"/>
                <w:sz w:val="22"/>
                <w:szCs w:val="22"/>
                <w:u w:val="none"/>
                <w:lang w:val="en-US" w:eastAsia="zh-CN" w:bidi="ar"/>
              </w:rPr>
              <w:t>1517.72</w:t>
            </w:r>
            <w:r>
              <w:rPr>
                <w:rFonts w:hint="eastAsia" w:ascii="仿宋_GB2312" w:hAnsi="宋体" w:eastAsia="仿宋_GB2312" w:cs="仿宋_GB2312"/>
                <w:i w:val="0"/>
                <w:iCs w:val="0"/>
                <w:color w:val="000000"/>
                <w:kern w:val="0"/>
                <w:sz w:val="22"/>
                <w:szCs w:val="22"/>
                <w:u w:val="none"/>
                <w:lang w:val="en-US" w:eastAsia="zh-CN" w:bidi="ar"/>
              </w:rPr>
              <w:t>万元，实际项目建设成本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预期项目建设成本，成本节约情况较好成本节约情况较好，得满权重分。综上，该指标得满分。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仿宋_GB2312" w:hAnsi="Times New Roman" w:eastAsia="仿宋_GB2312" w:cs="仿宋_GB2312"/>
                <w:i w:val="0"/>
                <w:iCs w:val="0"/>
                <w:color w:val="000000"/>
                <w:kern w:val="0"/>
                <w:sz w:val="22"/>
                <w:szCs w:val="22"/>
                <w:u w:val="none"/>
                <w:lang w:val="en-US" w:eastAsia="zh-CN" w:bidi="ar"/>
              </w:rPr>
              <w:t>项目效果（</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w:t>
            </w:r>
            <w:r>
              <w:rPr>
                <w:rFonts w:hint="eastAsia" w:ascii="仿宋_GB2312" w:hAnsi="Times New Roman" w:eastAsia="仿宋_GB2312" w:cs="仿宋_GB2312"/>
                <w:i w:val="0"/>
                <w:iCs w:val="0"/>
                <w:color w:val="000000"/>
                <w:kern w:val="0"/>
                <w:sz w:val="22"/>
                <w:szCs w:val="22"/>
                <w:u w:val="none"/>
                <w:lang w:val="en-US" w:eastAsia="zh-CN" w:bidi="ar"/>
              </w:rPr>
              <w:t>经济效益（</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考察项目实施后，村集体经济年收入情况。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项目实施后，村集体经济年收入达到</w:t>
            </w:r>
            <w:r>
              <w:rPr>
                <w:rFonts w:hint="default" w:ascii="Times New Roman" w:hAnsi="Times New Roman" w:eastAsia="仿宋_GB2312" w:cs="Times New Roman"/>
                <w:i w:val="0"/>
                <w:iCs w:val="0"/>
                <w:color w:val="000000"/>
                <w:kern w:val="0"/>
                <w:sz w:val="22"/>
                <w:szCs w:val="22"/>
                <w:u w:val="none"/>
                <w:lang w:val="en-US" w:eastAsia="zh-CN" w:bidi="ar"/>
              </w:rPr>
              <w:t>122.2</w:t>
            </w:r>
            <w:r>
              <w:rPr>
                <w:rFonts w:hint="eastAsia" w:ascii="仿宋_GB2312" w:hAnsi="宋体" w:eastAsia="仿宋_GB2312" w:cs="仿宋_GB2312"/>
                <w:i w:val="0"/>
                <w:iCs w:val="0"/>
                <w:color w:val="000000"/>
                <w:kern w:val="0"/>
                <w:sz w:val="22"/>
                <w:szCs w:val="22"/>
                <w:u w:val="none"/>
                <w:lang w:val="en-US" w:eastAsia="zh-CN" w:bidi="ar"/>
              </w:rPr>
              <w:t>万元，得满分权重分；否则不得分。</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根据项目单位提供的实施方案，工作总结和基础数据表等相关材料；项目实施后，村集体经济年收入预计达到</w:t>
            </w:r>
            <w:r>
              <w:rPr>
                <w:rFonts w:hint="default" w:ascii="Times New Roman" w:hAnsi="Times New Roman" w:eastAsia="仿宋_GB2312" w:cs="Times New Roman"/>
                <w:i w:val="0"/>
                <w:iCs w:val="0"/>
                <w:color w:val="000000"/>
                <w:kern w:val="0"/>
                <w:sz w:val="22"/>
                <w:szCs w:val="22"/>
                <w:u w:val="none"/>
                <w:lang w:val="en-US" w:eastAsia="zh-CN" w:bidi="ar"/>
              </w:rPr>
              <w:t>122.2</w:t>
            </w:r>
            <w:r>
              <w:rPr>
                <w:rFonts w:hint="eastAsia" w:ascii="仿宋_GB2312" w:hAnsi="宋体" w:eastAsia="仿宋_GB2312" w:cs="仿宋_GB2312"/>
                <w:i w:val="0"/>
                <w:iCs w:val="0"/>
                <w:color w:val="000000"/>
                <w:kern w:val="0"/>
                <w:sz w:val="22"/>
                <w:szCs w:val="22"/>
                <w:u w:val="none"/>
                <w:lang w:val="en-US" w:eastAsia="zh-CN" w:bidi="ar"/>
              </w:rPr>
              <w:t>万元，经济效益显著。综上所述，该项指标得满分权重分。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考察项目实施后，带动贫困人口年收入情况。</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项目实施后，带动贫困人口年收入达到</w:t>
            </w:r>
            <w:r>
              <w:rPr>
                <w:rFonts w:hint="default" w:ascii="Times New Roman" w:hAnsi="Times New Roman" w:eastAsia="仿宋_GB2312" w:cs="Times New Roman"/>
                <w:i w:val="0"/>
                <w:iCs w:val="0"/>
                <w:color w:val="000000"/>
                <w:kern w:val="0"/>
                <w:sz w:val="22"/>
                <w:szCs w:val="22"/>
                <w:u w:val="none"/>
                <w:lang w:val="en-US" w:eastAsia="zh-CN" w:bidi="ar"/>
              </w:rPr>
              <w:t>60</w:t>
            </w:r>
            <w:r>
              <w:rPr>
                <w:rFonts w:hint="eastAsia" w:ascii="仿宋_GB2312" w:hAnsi="宋体" w:eastAsia="仿宋_GB2312" w:cs="仿宋_GB2312"/>
                <w:i w:val="0"/>
                <w:iCs w:val="0"/>
                <w:color w:val="000000"/>
                <w:kern w:val="0"/>
                <w:sz w:val="22"/>
                <w:szCs w:val="22"/>
                <w:u w:val="none"/>
                <w:lang w:val="en-US" w:eastAsia="zh-CN" w:bidi="ar"/>
              </w:rPr>
              <w:t>万元，得满分，否则不得分。</w:t>
            </w:r>
          </w:p>
        </w:tc>
        <w:tc>
          <w:tcPr>
            <w:tcW w:w="156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根据项目单位提供的实施方案，工作总结和基础数据表等相关材料；项目实施后，带动贫困人口年收入预计达到</w:t>
            </w:r>
            <w:r>
              <w:rPr>
                <w:rFonts w:hint="default" w:ascii="Times New Roman" w:hAnsi="Times New Roman" w:eastAsia="仿宋_GB2312" w:cs="Times New Roman"/>
                <w:i w:val="0"/>
                <w:iCs w:val="0"/>
                <w:color w:val="000000"/>
                <w:kern w:val="0"/>
                <w:sz w:val="22"/>
                <w:szCs w:val="22"/>
                <w:u w:val="none"/>
                <w:lang w:val="en-US" w:eastAsia="zh-CN" w:bidi="ar"/>
              </w:rPr>
              <w:t>60</w:t>
            </w:r>
            <w:r>
              <w:rPr>
                <w:rFonts w:hint="eastAsia" w:ascii="仿宋_GB2312" w:hAnsi="宋体" w:eastAsia="仿宋_GB2312" w:cs="仿宋_GB2312"/>
                <w:i w:val="0"/>
                <w:iCs w:val="0"/>
                <w:color w:val="000000"/>
                <w:kern w:val="0"/>
                <w:sz w:val="22"/>
                <w:szCs w:val="22"/>
                <w:u w:val="none"/>
                <w:lang w:val="en-US" w:eastAsia="zh-CN" w:bidi="ar"/>
              </w:rPr>
              <w:t>万元，带来较好的经济效益，得满分。综上所述，该项指标得满分权重分。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r>
              <w:rPr>
                <w:rFonts w:hint="eastAsia" w:ascii="仿宋_GB2312" w:hAnsi="Times New Roman" w:eastAsia="仿宋_GB2312" w:cs="仿宋_GB2312"/>
                <w:i w:val="0"/>
                <w:iCs w:val="0"/>
                <w:color w:val="000000"/>
                <w:kern w:val="0"/>
                <w:sz w:val="22"/>
                <w:szCs w:val="22"/>
                <w:u w:val="none"/>
                <w:lang w:val="en-US" w:eastAsia="zh-CN" w:bidi="ar"/>
              </w:rPr>
              <w:t>社会效益（</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D204</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考察项目实施后，受益建档立卡贫困人口数。</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r>
              <w:rPr>
                <w:rFonts w:hint="eastAsia" w:ascii="仿宋_GB2312" w:hAnsi="Times New Roman" w:eastAsia="仿宋_GB2312" w:cs="仿宋_GB2312"/>
                <w:i w:val="0"/>
                <w:iCs w:val="0"/>
                <w:color w:val="000000"/>
                <w:kern w:val="0"/>
                <w:sz w:val="22"/>
                <w:szCs w:val="22"/>
                <w:u w:val="none"/>
                <w:lang w:val="en-US" w:eastAsia="zh-CN" w:bidi="ar"/>
              </w:rPr>
              <w:t>人</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人，得满分；否则每低于目标值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根据项目单位提供的实施方案，工作总结和基础数据表等相关材料；项目实施后，吸纳贫困人口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人就业，受益建档立卡贫困人口数为</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人，达到目标值，得满分。综上所述，依据评分标准，该项指标得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w:t>
            </w:r>
            <w:r>
              <w:rPr>
                <w:rFonts w:hint="eastAsia" w:ascii="仿宋_GB2312" w:hAnsi="Times New Roman" w:eastAsia="仿宋_GB2312" w:cs="仿宋_GB2312"/>
                <w:i w:val="0"/>
                <w:iCs w:val="0"/>
                <w:color w:val="000000"/>
                <w:kern w:val="0"/>
                <w:sz w:val="22"/>
                <w:szCs w:val="22"/>
                <w:u w:val="none"/>
                <w:lang w:val="en-US" w:eastAsia="zh-CN" w:bidi="ar"/>
              </w:rPr>
              <w:t>可持续影响（</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考察该项目实施预计持续发挥作用。</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年</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该项目持续发挥作用年限达到目标值得满分权重分，否则不得分。</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年该项目实施预计持续发挥作用为</w:t>
            </w:r>
            <w:r>
              <w:rPr>
                <w:rFonts w:hint="default" w:ascii="Times New Roman" w:hAnsi="Times New Roman" w:eastAsia="仿宋_GB2312" w:cs="Times New Roman"/>
                <w:i w:val="0"/>
                <w:iCs w:val="0"/>
                <w:color w:val="000000"/>
                <w:kern w:val="0"/>
                <w:sz w:val="22"/>
                <w:szCs w:val="22"/>
                <w:u w:val="none"/>
                <w:lang w:val="en-US" w:eastAsia="zh-CN" w:bidi="ar"/>
              </w:rPr>
              <w:t>15</w:t>
            </w:r>
            <w:r>
              <w:rPr>
                <w:rFonts w:hint="eastAsia" w:ascii="仿宋_GB2312" w:hAnsi="宋体" w:eastAsia="仿宋_GB2312" w:cs="仿宋_GB2312"/>
                <w:i w:val="0"/>
                <w:iCs w:val="0"/>
                <w:color w:val="000000"/>
                <w:kern w:val="0"/>
                <w:sz w:val="22"/>
                <w:szCs w:val="22"/>
                <w:u w:val="none"/>
                <w:lang w:val="en-US" w:eastAsia="zh-CN" w:bidi="ar"/>
              </w:rPr>
              <w:t>年，持续发挥作用年限达到目标值。综上所述，依据评分标准，该项指标得满分权重分。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w:t>
            </w:r>
            <w:r>
              <w:rPr>
                <w:rFonts w:hint="eastAsia" w:ascii="仿宋_GB2312" w:hAnsi="Times New Roman" w:eastAsia="仿宋_GB2312" w:cs="仿宋_GB2312"/>
                <w:i w:val="0"/>
                <w:iCs w:val="0"/>
                <w:color w:val="000000"/>
                <w:kern w:val="0"/>
                <w:sz w:val="22"/>
                <w:szCs w:val="22"/>
                <w:u w:val="none"/>
                <w:lang w:val="en-US" w:eastAsia="zh-CN" w:bidi="ar"/>
              </w:rPr>
              <w:t>服务对象满意度（</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考察项目区受益贫困人口对淮滨县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年马集镇刘大园村食用菌产业深加工项目的满意度。</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对项目区受益贫困人口进行问卷调查，满意度达到目标值得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年对项目区受益贫困人口群众进行问卷调查，满意度达到</w:t>
            </w:r>
            <w:r>
              <w:rPr>
                <w:rFonts w:hint="default" w:ascii="Times New Roman" w:hAnsi="Times New Roman" w:eastAsia="仿宋_GB2312" w:cs="Times New Roman"/>
                <w:i w:val="0"/>
                <w:iCs w:val="0"/>
                <w:color w:val="000000"/>
                <w:kern w:val="0"/>
                <w:sz w:val="22"/>
                <w:szCs w:val="22"/>
                <w:u w:val="none"/>
                <w:lang w:val="en-US" w:eastAsia="zh-CN" w:bidi="ar"/>
              </w:rPr>
              <w:t>90%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w:t>
            </w:r>
            <w:r>
              <w:rPr>
                <w:rFonts w:hint="default" w:ascii="Times New Roman" w:hAnsi="Times New Roman" w:eastAsia="仿宋_GB2312" w:cs="Times New Roman"/>
                <w:i w:val="0"/>
                <w:iCs w:val="0"/>
                <w:color w:val="000000"/>
                <w:kern w:val="0"/>
                <w:sz w:val="22"/>
                <w:szCs w:val="22"/>
                <w:u w:val="none"/>
                <w:lang w:val="en-US" w:eastAsia="zh-CN" w:bidi="ar"/>
              </w:rPr>
              <w:t>70%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4.20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23"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8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93.79 </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i w:val="0"/>
                <w:iCs w:val="0"/>
                <w:color w:val="000000"/>
                <w:sz w:val="22"/>
                <w:szCs w:val="22"/>
                <w:u w:val="none"/>
              </w:rPr>
            </w:pPr>
          </w:p>
        </w:tc>
      </w:tr>
    </w:tbl>
    <w:p>
      <w:pPr>
        <w:pStyle w:val="6"/>
        <w:tabs>
          <w:tab w:val="left" w:pos="6948"/>
        </w:tabs>
        <w:spacing w:before="120" w:after="60"/>
        <w:outlineLvl w:val="0"/>
        <w:rPr>
          <w:rFonts w:hint="default" w:eastAsia="黑体" w:cs="Times New Roman"/>
          <w:b/>
          <w:bCs/>
          <w:kern w:val="44"/>
          <w:sz w:val="32"/>
          <w:szCs w:val="44"/>
          <w:lang w:val="en-US" w:eastAsia="zh-CN" w:bidi="ar-SA"/>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8</w:t>
                    </w:r>
                    <w:r>
                      <w:fldChar w:fldCharType="end"/>
                    </w:r>
                  </w:p>
                </w:txbxContent>
              </v:textbox>
            </v:shape>
          </w:pict>
        </mc:Fallback>
      </mc:AlternateContent>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pPr>
      <w:r>
        <w:rPr>
          <w:rStyle w:val="25"/>
        </w:rPr>
        <w:footnoteRef/>
      </w:r>
      <w:r>
        <w:t xml:space="preserve"> </w:t>
      </w:r>
      <w:r>
        <w:rPr>
          <w:rFonts w:hint="default" w:ascii="Times New Roman" w:hAnsi="Times New Roman" w:eastAsia="仿宋_GB2312" w:cs="Times New Roman"/>
        </w:rPr>
        <w:t>根据《河南省财政扶贫资金绩效评价管理办法》（</w:t>
      </w:r>
      <w:r>
        <w:rPr>
          <w:rFonts w:hint="default" w:ascii="Times New Roman" w:hAnsi="Times New Roman" w:eastAsia="仿宋_GB2312" w:cs="Times New Roman"/>
          <w:lang w:val="en-US" w:eastAsia="zh-CN"/>
        </w:rPr>
        <w:t>豫财农</w:t>
      </w: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82</w:t>
      </w:r>
      <w:r>
        <w:rPr>
          <w:rFonts w:hint="default" w:ascii="Times New Roman" w:hAnsi="Times New Roman" w:eastAsia="仿宋_GB2312" w:cs="Times New Roman"/>
        </w:rPr>
        <w:t>号）规定，等级一般划分为四档：90（含）-100分为优、80（含）-90分为良、60（含）-80分为中、60分以下为差。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10"/>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1551"/>
    <w:rsid w:val="003E3919"/>
    <w:rsid w:val="00434E1C"/>
    <w:rsid w:val="00467A20"/>
    <w:rsid w:val="004A510A"/>
    <w:rsid w:val="008F44A9"/>
    <w:rsid w:val="00A453C5"/>
    <w:rsid w:val="00AA18B2"/>
    <w:rsid w:val="00DA6A5C"/>
    <w:rsid w:val="00F146C7"/>
    <w:rsid w:val="01182F09"/>
    <w:rsid w:val="013A08C9"/>
    <w:rsid w:val="01462233"/>
    <w:rsid w:val="01504A4B"/>
    <w:rsid w:val="01540E44"/>
    <w:rsid w:val="016E521A"/>
    <w:rsid w:val="017D00AA"/>
    <w:rsid w:val="01931523"/>
    <w:rsid w:val="01A2681A"/>
    <w:rsid w:val="01A7329D"/>
    <w:rsid w:val="01B05D9E"/>
    <w:rsid w:val="01EC0546"/>
    <w:rsid w:val="01F73F4C"/>
    <w:rsid w:val="01FE7CEE"/>
    <w:rsid w:val="02000C9C"/>
    <w:rsid w:val="02112D77"/>
    <w:rsid w:val="02190EF1"/>
    <w:rsid w:val="023B4130"/>
    <w:rsid w:val="024F6799"/>
    <w:rsid w:val="028E7503"/>
    <w:rsid w:val="02AD0C4A"/>
    <w:rsid w:val="02D80697"/>
    <w:rsid w:val="02E06D0E"/>
    <w:rsid w:val="03076355"/>
    <w:rsid w:val="031D15D6"/>
    <w:rsid w:val="03233C2E"/>
    <w:rsid w:val="032B5687"/>
    <w:rsid w:val="032F6D03"/>
    <w:rsid w:val="0344219D"/>
    <w:rsid w:val="03461137"/>
    <w:rsid w:val="03496E0A"/>
    <w:rsid w:val="038035C9"/>
    <w:rsid w:val="038B5D84"/>
    <w:rsid w:val="039921B1"/>
    <w:rsid w:val="03B12F49"/>
    <w:rsid w:val="03B3628E"/>
    <w:rsid w:val="03EA1C88"/>
    <w:rsid w:val="03EB02A6"/>
    <w:rsid w:val="04045290"/>
    <w:rsid w:val="041B106D"/>
    <w:rsid w:val="04776ADC"/>
    <w:rsid w:val="04930E94"/>
    <w:rsid w:val="049F4E80"/>
    <w:rsid w:val="04B96045"/>
    <w:rsid w:val="04CD2D82"/>
    <w:rsid w:val="04F759D3"/>
    <w:rsid w:val="05150363"/>
    <w:rsid w:val="05684F5F"/>
    <w:rsid w:val="057D06C3"/>
    <w:rsid w:val="05814096"/>
    <w:rsid w:val="05890ACA"/>
    <w:rsid w:val="05B90650"/>
    <w:rsid w:val="05BB426A"/>
    <w:rsid w:val="05EF4864"/>
    <w:rsid w:val="06252CAC"/>
    <w:rsid w:val="062F7FBD"/>
    <w:rsid w:val="064F06A8"/>
    <w:rsid w:val="066124C9"/>
    <w:rsid w:val="066D0DA2"/>
    <w:rsid w:val="066D7CF2"/>
    <w:rsid w:val="06AD2C63"/>
    <w:rsid w:val="06B17729"/>
    <w:rsid w:val="06DF16C4"/>
    <w:rsid w:val="06F32850"/>
    <w:rsid w:val="0704531A"/>
    <w:rsid w:val="070A002C"/>
    <w:rsid w:val="07433E7C"/>
    <w:rsid w:val="07515B1D"/>
    <w:rsid w:val="07565F6D"/>
    <w:rsid w:val="075D1CE7"/>
    <w:rsid w:val="076C4E72"/>
    <w:rsid w:val="07733FB6"/>
    <w:rsid w:val="077F24C4"/>
    <w:rsid w:val="077F5FE8"/>
    <w:rsid w:val="079E2B9A"/>
    <w:rsid w:val="07A914D5"/>
    <w:rsid w:val="07B57631"/>
    <w:rsid w:val="07B65800"/>
    <w:rsid w:val="07C319BE"/>
    <w:rsid w:val="07C324F8"/>
    <w:rsid w:val="08450525"/>
    <w:rsid w:val="08452F8D"/>
    <w:rsid w:val="08593EB5"/>
    <w:rsid w:val="086075CB"/>
    <w:rsid w:val="08865E81"/>
    <w:rsid w:val="08DF44D4"/>
    <w:rsid w:val="0923713D"/>
    <w:rsid w:val="09290B67"/>
    <w:rsid w:val="092C2127"/>
    <w:rsid w:val="094211CF"/>
    <w:rsid w:val="09530DF8"/>
    <w:rsid w:val="097D71C8"/>
    <w:rsid w:val="09A56388"/>
    <w:rsid w:val="09C91F8F"/>
    <w:rsid w:val="09DD047F"/>
    <w:rsid w:val="09DD79F6"/>
    <w:rsid w:val="09E158C2"/>
    <w:rsid w:val="09E84669"/>
    <w:rsid w:val="09F34915"/>
    <w:rsid w:val="0A183E10"/>
    <w:rsid w:val="0A1C7368"/>
    <w:rsid w:val="0A4E3E4A"/>
    <w:rsid w:val="0A5159B9"/>
    <w:rsid w:val="0AA72593"/>
    <w:rsid w:val="0AA737D2"/>
    <w:rsid w:val="0AB43ABB"/>
    <w:rsid w:val="0AE57A89"/>
    <w:rsid w:val="0AEE0C76"/>
    <w:rsid w:val="0AF22747"/>
    <w:rsid w:val="0AF91E56"/>
    <w:rsid w:val="0B42572F"/>
    <w:rsid w:val="0B6F3488"/>
    <w:rsid w:val="0B72488C"/>
    <w:rsid w:val="0B897192"/>
    <w:rsid w:val="0BA02B02"/>
    <w:rsid w:val="0C290F30"/>
    <w:rsid w:val="0C2C2363"/>
    <w:rsid w:val="0C312B32"/>
    <w:rsid w:val="0C370339"/>
    <w:rsid w:val="0C6C3757"/>
    <w:rsid w:val="0C79111B"/>
    <w:rsid w:val="0C9738CA"/>
    <w:rsid w:val="0CA850E3"/>
    <w:rsid w:val="0CD55C05"/>
    <w:rsid w:val="0CD563D8"/>
    <w:rsid w:val="0CFC477B"/>
    <w:rsid w:val="0D1726F2"/>
    <w:rsid w:val="0D33202A"/>
    <w:rsid w:val="0D3D683E"/>
    <w:rsid w:val="0D421B39"/>
    <w:rsid w:val="0D4D34A6"/>
    <w:rsid w:val="0D560CA3"/>
    <w:rsid w:val="0D5D1BFA"/>
    <w:rsid w:val="0D8A28E7"/>
    <w:rsid w:val="0DAE39DD"/>
    <w:rsid w:val="0DCE7C0B"/>
    <w:rsid w:val="0DFF1430"/>
    <w:rsid w:val="0E3379FF"/>
    <w:rsid w:val="0E400298"/>
    <w:rsid w:val="0E513220"/>
    <w:rsid w:val="0E5E4E7E"/>
    <w:rsid w:val="0E670BB5"/>
    <w:rsid w:val="0E6A0B2E"/>
    <w:rsid w:val="0E782678"/>
    <w:rsid w:val="0EA20B5E"/>
    <w:rsid w:val="0EA63B8B"/>
    <w:rsid w:val="0EAA1E0E"/>
    <w:rsid w:val="0F1F1717"/>
    <w:rsid w:val="0F41383F"/>
    <w:rsid w:val="0F477465"/>
    <w:rsid w:val="0F5A1F41"/>
    <w:rsid w:val="0F5D69F1"/>
    <w:rsid w:val="0F61795A"/>
    <w:rsid w:val="0F7D27D3"/>
    <w:rsid w:val="0F9200C5"/>
    <w:rsid w:val="0F9E69B2"/>
    <w:rsid w:val="0FA0012A"/>
    <w:rsid w:val="100A4A15"/>
    <w:rsid w:val="107A0A24"/>
    <w:rsid w:val="10884726"/>
    <w:rsid w:val="109004C0"/>
    <w:rsid w:val="10B87A58"/>
    <w:rsid w:val="11071E58"/>
    <w:rsid w:val="112F5369"/>
    <w:rsid w:val="1155423D"/>
    <w:rsid w:val="118976FA"/>
    <w:rsid w:val="118F3D5C"/>
    <w:rsid w:val="11C02C09"/>
    <w:rsid w:val="11C83770"/>
    <w:rsid w:val="121A2823"/>
    <w:rsid w:val="126478CA"/>
    <w:rsid w:val="1273044A"/>
    <w:rsid w:val="1294192D"/>
    <w:rsid w:val="12990E79"/>
    <w:rsid w:val="12B845FC"/>
    <w:rsid w:val="13264FC5"/>
    <w:rsid w:val="133969C5"/>
    <w:rsid w:val="135529E1"/>
    <w:rsid w:val="13AF6B86"/>
    <w:rsid w:val="13C27948"/>
    <w:rsid w:val="13CB4C94"/>
    <w:rsid w:val="13CE7E2D"/>
    <w:rsid w:val="13DE3A2D"/>
    <w:rsid w:val="14203A15"/>
    <w:rsid w:val="14301FC5"/>
    <w:rsid w:val="143802CD"/>
    <w:rsid w:val="145F1410"/>
    <w:rsid w:val="14764DCF"/>
    <w:rsid w:val="14860599"/>
    <w:rsid w:val="14B567CE"/>
    <w:rsid w:val="14BD76E3"/>
    <w:rsid w:val="14D00FE8"/>
    <w:rsid w:val="14D5288B"/>
    <w:rsid w:val="14E80E55"/>
    <w:rsid w:val="14EC0E70"/>
    <w:rsid w:val="14F2638B"/>
    <w:rsid w:val="150C01A1"/>
    <w:rsid w:val="15711326"/>
    <w:rsid w:val="159964C7"/>
    <w:rsid w:val="15B93746"/>
    <w:rsid w:val="15CA7249"/>
    <w:rsid w:val="15EF34AD"/>
    <w:rsid w:val="16362164"/>
    <w:rsid w:val="16400307"/>
    <w:rsid w:val="16507A8E"/>
    <w:rsid w:val="165F674C"/>
    <w:rsid w:val="1664071E"/>
    <w:rsid w:val="168F4D6D"/>
    <w:rsid w:val="16C30F65"/>
    <w:rsid w:val="16CB4B00"/>
    <w:rsid w:val="16FF498A"/>
    <w:rsid w:val="17310733"/>
    <w:rsid w:val="173F683A"/>
    <w:rsid w:val="1756460D"/>
    <w:rsid w:val="17646A38"/>
    <w:rsid w:val="177410E6"/>
    <w:rsid w:val="177A1353"/>
    <w:rsid w:val="179C2E1D"/>
    <w:rsid w:val="17AD431B"/>
    <w:rsid w:val="17EF5067"/>
    <w:rsid w:val="17FF0B5A"/>
    <w:rsid w:val="180313CC"/>
    <w:rsid w:val="18082C70"/>
    <w:rsid w:val="1809110D"/>
    <w:rsid w:val="1813041D"/>
    <w:rsid w:val="1829167C"/>
    <w:rsid w:val="18570C8C"/>
    <w:rsid w:val="18710A0B"/>
    <w:rsid w:val="188F1CEE"/>
    <w:rsid w:val="18BA03B4"/>
    <w:rsid w:val="18D26A72"/>
    <w:rsid w:val="190E35A4"/>
    <w:rsid w:val="194C56E7"/>
    <w:rsid w:val="19530257"/>
    <w:rsid w:val="19553BC9"/>
    <w:rsid w:val="19597892"/>
    <w:rsid w:val="19942E0D"/>
    <w:rsid w:val="19A462C3"/>
    <w:rsid w:val="19B3534D"/>
    <w:rsid w:val="19C11D24"/>
    <w:rsid w:val="19EB3D51"/>
    <w:rsid w:val="1A071BE3"/>
    <w:rsid w:val="1A0C537F"/>
    <w:rsid w:val="1A1C46BE"/>
    <w:rsid w:val="1A594F75"/>
    <w:rsid w:val="1A6166F1"/>
    <w:rsid w:val="1A626526"/>
    <w:rsid w:val="1A6929DA"/>
    <w:rsid w:val="1A6F0BA6"/>
    <w:rsid w:val="1A7019F1"/>
    <w:rsid w:val="1A8F5E4E"/>
    <w:rsid w:val="1A9642BB"/>
    <w:rsid w:val="1A9E4CD5"/>
    <w:rsid w:val="1AC36090"/>
    <w:rsid w:val="1AD32313"/>
    <w:rsid w:val="1B330A41"/>
    <w:rsid w:val="1B3D543B"/>
    <w:rsid w:val="1B5863CA"/>
    <w:rsid w:val="1B807A9A"/>
    <w:rsid w:val="1B913C7A"/>
    <w:rsid w:val="1BAC375A"/>
    <w:rsid w:val="1BEE3298"/>
    <w:rsid w:val="1BF6082D"/>
    <w:rsid w:val="1C0A3C74"/>
    <w:rsid w:val="1C4C1ECF"/>
    <w:rsid w:val="1C814CC9"/>
    <w:rsid w:val="1C9B3A61"/>
    <w:rsid w:val="1CCC312A"/>
    <w:rsid w:val="1CFF3888"/>
    <w:rsid w:val="1D016B59"/>
    <w:rsid w:val="1D240F0B"/>
    <w:rsid w:val="1D2C6C08"/>
    <w:rsid w:val="1D305371"/>
    <w:rsid w:val="1D3A5B3A"/>
    <w:rsid w:val="1D6133BB"/>
    <w:rsid w:val="1D7F5960"/>
    <w:rsid w:val="1DBB4C81"/>
    <w:rsid w:val="1DD71D58"/>
    <w:rsid w:val="1DEC4FBC"/>
    <w:rsid w:val="1DF6248A"/>
    <w:rsid w:val="1E1E5E00"/>
    <w:rsid w:val="1E3145B2"/>
    <w:rsid w:val="1E637501"/>
    <w:rsid w:val="1E944D36"/>
    <w:rsid w:val="1E972809"/>
    <w:rsid w:val="1EB66FCA"/>
    <w:rsid w:val="1EB86320"/>
    <w:rsid w:val="1EC17CEA"/>
    <w:rsid w:val="1EEC42D8"/>
    <w:rsid w:val="1F067F95"/>
    <w:rsid w:val="1F2B3840"/>
    <w:rsid w:val="1F48238F"/>
    <w:rsid w:val="1F504744"/>
    <w:rsid w:val="1F631E41"/>
    <w:rsid w:val="1F6E0ABF"/>
    <w:rsid w:val="1F9172D5"/>
    <w:rsid w:val="1FCC114A"/>
    <w:rsid w:val="1FDB52AC"/>
    <w:rsid w:val="1FFB5A71"/>
    <w:rsid w:val="200052BB"/>
    <w:rsid w:val="204E10FB"/>
    <w:rsid w:val="20514F91"/>
    <w:rsid w:val="205D0FA8"/>
    <w:rsid w:val="208B4F9A"/>
    <w:rsid w:val="209478E6"/>
    <w:rsid w:val="209F237B"/>
    <w:rsid w:val="20A52FD3"/>
    <w:rsid w:val="20C71671"/>
    <w:rsid w:val="20D10269"/>
    <w:rsid w:val="214A5C08"/>
    <w:rsid w:val="2155010C"/>
    <w:rsid w:val="215A2C99"/>
    <w:rsid w:val="216C4870"/>
    <w:rsid w:val="21916F3F"/>
    <w:rsid w:val="21940779"/>
    <w:rsid w:val="21B55854"/>
    <w:rsid w:val="21B77B49"/>
    <w:rsid w:val="21B83ECB"/>
    <w:rsid w:val="21C860B8"/>
    <w:rsid w:val="21D33C42"/>
    <w:rsid w:val="21E30563"/>
    <w:rsid w:val="22196338"/>
    <w:rsid w:val="2262440F"/>
    <w:rsid w:val="228F2EED"/>
    <w:rsid w:val="229521DB"/>
    <w:rsid w:val="22DC2FE7"/>
    <w:rsid w:val="22F23B35"/>
    <w:rsid w:val="230A38DF"/>
    <w:rsid w:val="230B2830"/>
    <w:rsid w:val="23402107"/>
    <w:rsid w:val="23487F53"/>
    <w:rsid w:val="234E7A8D"/>
    <w:rsid w:val="23B50AAA"/>
    <w:rsid w:val="23B6589D"/>
    <w:rsid w:val="23BF7F35"/>
    <w:rsid w:val="23E01CF2"/>
    <w:rsid w:val="23E022BE"/>
    <w:rsid w:val="23F12340"/>
    <w:rsid w:val="24184423"/>
    <w:rsid w:val="2465770B"/>
    <w:rsid w:val="24792A56"/>
    <w:rsid w:val="248E3961"/>
    <w:rsid w:val="24BC3E3B"/>
    <w:rsid w:val="251A6824"/>
    <w:rsid w:val="25447CD0"/>
    <w:rsid w:val="255C70D0"/>
    <w:rsid w:val="257A1D8B"/>
    <w:rsid w:val="25A43D0E"/>
    <w:rsid w:val="25B91F7A"/>
    <w:rsid w:val="25E83930"/>
    <w:rsid w:val="26060DF8"/>
    <w:rsid w:val="26116812"/>
    <w:rsid w:val="261D53FE"/>
    <w:rsid w:val="2653673E"/>
    <w:rsid w:val="26847B9B"/>
    <w:rsid w:val="268900FA"/>
    <w:rsid w:val="26B45E70"/>
    <w:rsid w:val="26CA5C43"/>
    <w:rsid w:val="26CD142C"/>
    <w:rsid w:val="26D86833"/>
    <w:rsid w:val="26E27DF5"/>
    <w:rsid w:val="26E408C3"/>
    <w:rsid w:val="26F93054"/>
    <w:rsid w:val="270E4569"/>
    <w:rsid w:val="271C1125"/>
    <w:rsid w:val="27895AD5"/>
    <w:rsid w:val="278F776E"/>
    <w:rsid w:val="27937E64"/>
    <w:rsid w:val="2794600C"/>
    <w:rsid w:val="27BF0B4A"/>
    <w:rsid w:val="27C727DC"/>
    <w:rsid w:val="27ED6E5D"/>
    <w:rsid w:val="27F827F0"/>
    <w:rsid w:val="281254A1"/>
    <w:rsid w:val="2843047B"/>
    <w:rsid w:val="28E37DE1"/>
    <w:rsid w:val="28F12A01"/>
    <w:rsid w:val="29482F2F"/>
    <w:rsid w:val="296D6374"/>
    <w:rsid w:val="29B23C13"/>
    <w:rsid w:val="29BD3841"/>
    <w:rsid w:val="29C62FCD"/>
    <w:rsid w:val="2A1820B8"/>
    <w:rsid w:val="2A195104"/>
    <w:rsid w:val="2A48775D"/>
    <w:rsid w:val="2A494938"/>
    <w:rsid w:val="2A5A4C30"/>
    <w:rsid w:val="2A5A73F8"/>
    <w:rsid w:val="2A72766C"/>
    <w:rsid w:val="2A83614F"/>
    <w:rsid w:val="2A98584E"/>
    <w:rsid w:val="2ABB2C0F"/>
    <w:rsid w:val="2AE72265"/>
    <w:rsid w:val="2AF03938"/>
    <w:rsid w:val="2B265450"/>
    <w:rsid w:val="2B852BED"/>
    <w:rsid w:val="2BAE2296"/>
    <w:rsid w:val="2BD26FB1"/>
    <w:rsid w:val="2BDF289C"/>
    <w:rsid w:val="2C1F79CB"/>
    <w:rsid w:val="2C3840E5"/>
    <w:rsid w:val="2C3916CB"/>
    <w:rsid w:val="2C971183"/>
    <w:rsid w:val="2CBB1383"/>
    <w:rsid w:val="2CCE1D4C"/>
    <w:rsid w:val="2CCF7AD0"/>
    <w:rsid w:val="2CF24E53"/>
    <w:rsid w:val="2D0624F0"/>
    <w:rsid w:val="2D0E5564"/>
    <w:rsid w:val="2D1174F7"/>
    <w:rsid w:val="2D277212"/>
    <w:rsid w:val="2D690620"/>
    <w:rsid w:val="2D7331C8"/>
    <w:rsid w:val="2D752F3E"/>
    <w:rsid w:val="2D882FC4"/>
    <w:rsid w:val="2DBF76A5"/>
    <w:rsid w:val="2DC07666"/>
    <w:rsid w:val="2DC2528C"/>
    <w:rsid w:val="2DC25790"/>
    <w:rsid w:val="2DC773DC"/>
    <w:rsid w:val="2DCE432A"/>
    <w:rsid w:val="2DD623C0"/>
    <w:rsid w:val="2DE65A42"/>
    <w:rsid w:val="2DFB7A6B"/>
    <w:rsid w:val="2E134F41"/>
    <w:rsid w:val="2E2254A4"/>
    <w:rsid w:val="2E262BA4"/>
    <w:rsid w:val="2E2C5CE7"/>
    <w:rsid w:val="2E330E23"/>
    <w:rsid w:val="2E545779"/>
    <w:rsid w:val="2EA87F95"/>
    <w:rsid w:val="2EBB0ABD"/>
    <w:rsid w:val="2ECB2A9D"/>
    <w:rsid w:val="2EDF2B1A"/>
    <w:rsid w:val="2F072DDA"/>
    <w:rsid w:val="2F2400EF"/>
    <w:rsid w:val="2F4F00D5"/>
    <w:rsid w:val="2F5579C1"/>
    <w:rsid w:val="2F667BCF"/>
    <w:rsid w:val="2F955697"/>
    <w:rsid w:val="2FAB04F1"/>
    <w:rsid w:val="2FC078D7"/>
    <w:rsid w:val="2FD362B1"/>
    <w:rsid w:val="2FD8091C"/>
    <w:rsid w:val="2FE415DA"/>
    <w:rsid w:val="2FFA7BA9"/>
    <w:rsid w:val="305741CD"/>
    <w:rsid w:val="30782F9F"/>
    <w:rsid w:val="30846672"/>
    <w:rsid w:val="309A31E0"/>
    <w:rsid w:val="30A249A9"/>
    <w:rsid w:val="30A97BD0"/>
    <w:rsid w:val="30AC6F78"/>
    <w:rsid w:val="30C53ABC"/>
    <w:rsid w:val="30CC6B28"/>
    <w:rsid w:val="310F7756"/>
    <w:rsid w:val="314F2451"/>
    <w:rsid w:val="315F65DB"/>
    <w:rsid w:val="3163035A"/>
    <w:rsid w:val="31656C0C"/>
    <w:rsid w:val="317A4981"/>
    <w:rsid w:val="317D7FB6"/>
    <w:rsid w:val="318B4055"/>
    <w:rsid w:val="31A65A9C"/>
    <w:rsid w:val="31A841AC"/>
    <w:rsid w:val="31B875D5"/>
    <w:rsid w:val="31D92B3A"/>
    <w:rsid w:val="31EF59F9"/>
    <w:rsid w:val="327B6E7E"/>
    <w:rsid w:val="32847E67"/>
    <w:rsid w:val="328948BB"/>
    <w:rsid w:val="328C565F"/>
    <w:rsid w:val="329F6C08"/>
    <w:rsid w:val="32C865F1"/>
    <w:rsid w:val="32D616F0"/>
    <w:rsid w:val="32EE64EA"/>
    <w:rsid w:val="32F61AE5"/>
    <w:rsid w:val="334F348E"/>
    <w:rsid w:val="336B6E9F"/>
    <w:rsid w:val="338646AC"/>
    <w:rsid w:val="338E5D63"/>
    <w:rsid w:val="33A23852"/>
    <w:rsid w:val="33D5153E"/>
    <w:rsid w:val="33E3499D"/>
    <w:rsid w:val="33FD7B40"/>
    <w:rsid w:val="34076729"/>
    <w:rsid w:val="34161745"/>
    <w:rsid w:val="34564581"/>
    <w:rsid w:val="346B0233"/>
    <w:rsid w:val="349659AE"/>
    <w:rsid w:val="34A24960"/>
    <w:rsid w:val="34B2163B"/>
    <w:rsid w:val="34C23BB7"/>
    <w:rsid w:val="34D96097"/>
    <w:rsid w:val="34E56AAB"/>
    <w:rsid w:val="34EC3934"/>
    <w:rsid w:val="34EF1CD7"/>
    <w:rsid w:val="35036044"/>
    <w:rsid w:val="351A6043"/>
    <w:rsid w:val="353608E8"/>
    <w:rsid w:val="35387BD1"/>
    <w:rsid w:val="354633AA"/>
    <w:rsid w:val="3569408C"/>
    <w:rsid w:val="35820315"/>
    <w:rsid w:val="35867252"/>
    <w:rsid w:val="35A101E5"/>
    <w:rsid w:val="35C74256"/>
    <w:rsid w:val="35DD1F8B"/>
    <w:rsid w:val="35E274F1"/>
    <w:rsid w:val="35FB10CA"/>
    <w:rsid w:val="36080E5B"/>
    <w:rsid w:val="36150EBA"/>
    <w:rsid w:val="36176D3C"/>
    <w:rsid w:val="364423D2"/>
    <w:rsid w:val="364B38D1"/>
    <w:rsid w:val="364B5ED3"/>
    <w:rsid w:val="36671C56"/>
    <w:rsid w:val="3698135C"/>
    <w:rsid w:val="36A32606"/>
    <w:rsid w:val="36AF60D5"/>
    <w:rsid w:val="36C26DFD"/>
    <w:rsid w:val="36D743BF"/>
    <w:rsid w:val="36EA4470"/>
    <w:rsid w:val="36F51385"/>
    <w:rsid w:val="370362EE"/>
    <w:rsid w:val="371A5D7B"/>
    <w:rsid w:val="37216C4A"/>
    <w:rsid w:val="37351EFA"/>
    <w:rsid w:val="374A0FE4"/>
    <w:rsid w:val="37512229"/>
    <w:rsid w:val="375B2CA4"/>
    <w:rsid w:val="3763045A"/>
    <w:rsid w:val="37642FA4"/>
    <w:rsid w:val="37655492"/>
    <w:rsid w:val="37736F7A"/>
    <w:rsid w:val="37A34A13"/>
    <w:rsid w:val="37A83FBD"/>
    <w:rsid w:val="37BB3FCF"/>
    <w:rsid w:val="37BD5026"/>
    <w:rsid w:val="37C23280"/>
    <w:rsid w:val="37C64774"/>
    <w:rsid w:val="37DA4631"/>
    <w:rsid w:val="37E82D9E"/>
    <w:rsid w:val="37ED44C7"/>
    <w:rsid w:val="386A4562"/>
    <w:rsid w:val="386C586D"/>
    <w:rsid w:val="38733B79"/>
    <w:rsid w:val="38941622"/>
    <w:rsid w:val="38A82369"/>
    <w:rsid w:val="38C63F2C"/>
    <w:rsid w:val="38C92652"/>
    <w:rsid w:val="38E16B3A"/>
    <w:rsid w:val="391238C4"/>
    <w:rsid w:val="39192799"/>
    <w:rsid w:val="39261FF9"/>
    <w:rsid w:val="393E710C"/>
    <w:rsid w:val="39984E82"/>
    <w:rsid w:val="39BB48D5"/>
    <w:rsid w:val="39D10AE3"/>
    <w:rsid w:val="39F76AD7"/>
    <w:rsid w:val="39F97E21"/>
    <w:rsid w:val="3A2D219C"/>
    <w:rsid w:val="3A665353"/>
    <w:rsid w:val="3AD231F5"/>
    <w:rsid w:val="3AD619E6"/>
    <w:rsid w:val="3AD61C7C"/>
    <w:rsid w:val="3AD71D1F"/>
    <w:rsid w:val="3AE42123"/>
    <w:rsid w:val="3B296D47"/>
    <w:rsid w:val="3B3636BF"/>
    <w:rsid w:val="3B3831A3"/>
    <w:rsid w:val="3B41084E"/>
    <w:rsid w:val="3B596EC8"/>
    <w:rsid w:val="3B775C50"/>
    <w:rsid w:val="3B994F7E"/>
    <w:rsid w:val="3BB32566"/>
    <w:rsid w:val="3BC37FA1"/>
    <w:rsid w:val="3C075CFD"/>
    <w:rsid w:val="3C887131"/>
    <w:rsid w:val="3C9B2186"/>
    <w:rsid w:val="3CB25B38"/>
    <w:rsid w:val="3CC4277C"/>
    <w:rsid w:val="3CC459C0"/>
    <w:rsid w:val="3D0B1620"/>
    <w:rsid w:val="3D122009"/>
    <w:rsid w:val="3D16290A"/>
    <w:rsid w:val="3D4226BA"/>
    <w:rsid w:val="3D5B7D17"/>
    <w:rsid w:val="3D7D4A1E"/>
    <w:rsid w:val="3D842A76"/>
    <w:rsid w:val="3D9A61AA"/>
    <w:rsid w:val="3DBA2669"/>
    <w:rsid w:val="3DCC109A"/>
    <w:rsid w:val="3DF42F70"/>
    <w:rsid w:val="3E051C81"/>
    <w:rsid w:val="3E4337F7"/>
    <w:rsid w:val="3E5E43B3"/>
    <w:rsid w:val="3EE3428C"/>
    <w:rsid w:val="3F013529"/>
    <w:rsid w:val="3F243D7D"/>
    <w:rsid w:val="3F3F4600"/>
    <w:rsid w:val="3F460129"/>
    <w:rsid w:val="3F7D385B"/>
    <w:rsid w:val="3FFB2354"/>
    <w:rsid w:val="40111645"/>
    <w:rsid w:val="4028733D"/>
    <w:rsid w:val="40476962"/>
    <w:rsid w:val="405F5B54"/>
    <w:rsid w:val="408D4195"/>
    <w:rsid w:val="40921178"/>
    <w:rsid w:val="40A73B9C"/>
    <w:rsid w:val="40B87496"/>
    <w:rsid w:val="41011811"/>
    <w:rsid w:val="410D5599"/>
    <w:rsid w:val="412039C4"/>
    <w:rsid w:val="41444BF0"/>
    <w:rsid w:val="414A7CB0"/>
    <w:rsid w:val="4166050E"/>
    <w:rsid w:val="41816021"/>
    <w:rsid w:val="41EF2888"/>
    <w:rsid w:val="420F1792"/>
    <w:rsid w:val="42342D81"/>
    <w:rsid w:val="42835BD3"/>
    <w:rsid w:val="42AF57D0"/>
    <w:rsid w:val="42B36353"/>
    <w:rsid w:val="42BC1B85"/>
    <w:rsid w:val="43072352"/>
    <w:rsid w:val="431804B3"/>
    <w:rsid w:val="43354680"/>
    <w:rsid w:val="433806C6"/>
    <w:rsid w:val="4364072D"/>
    <w:rsid w:val="439E6D19"/>
    <w:rsid w:val="43A34082"/>
    <w:rsid w:val="43AA3157"/>
    <w:rsid w:val="43AE5C97"/>
    <w:rsid w:val="43D23C1A"/>
    <w:rsid w:val="43D67898"/>
    <w:rsid w:val="43D9557A"/>
    <w:rsid w:val="43DF5EE6"/>
    <w:rsid w:val="4468691A"/>
    <w:rsid w:val="44A11576"/>
    <w:rsid w:val="44DD1600"/>
    <w:rsid w:val="44E47BED"/>
    <w:rsid w:val="44EE0712"/>
    <w:rsid w:val="45381444"/>
    <w:rsid w:val="45482F3B"/>
    <w:rsid w:val="45507683"/>
    <w:rsid w:val="455634BD"/>
    <w:rsid w:val="45741138"/>
    <w:rsid w:val="45941EF0"/>
    <w:rsid w:val="45AD1ED7"/>
    <w:rsid w:val="45E53152"/>
    <w:rsid w:val="45F9325E"/>
    <w:rsid w:val="45FB728C"/>
    <w:rsid w:val="45FC6198"/>
    <w:rsid w:val="460D7EAC"/>
    <w:rsid w:val="461314CF"/>
    <w:rsid w:val="461D47C3"/>
    <w:rsid w:val="461D51B4"/>
    <w:rsid w:val="46312B66"/>
    <w:rsid w:val="46661400"/>
    <w:rsid w:val="469E720B"/>
    <w:rsid w:val="46BD311B"/>
    <w:rsid w:val="46CF26B3"/>
    <w:rsid w:val="4702385C"/>
    <w:rsid w:val="474D75BC"/>
    <w:rsid w:val="475054D1"/>
    <w:rsid w:val="476A0952"/>
    <w:rsid w:val="478D4576"/>
    <w:rsid w:val="47C62F5F"/>
    <w:rsid w:val="47DB03C1"/>
    <w:rsid w:val="47E0602B"/>
    <w:rsid w:val="47F45F98"/>
    <w:rsid w:val="48202184"/>
    <w:rsid w:val="48751B5C"/>
    <w:rsid w:val="48CF3929"/>
    <w:rsid w:val="48D324EE"/>
    <w:rsid w:val="48EE245D"/>
    <w:rsid w:val="48EE526F"/>
    <w:rsid w:val="490165F6"/>
    <w:rsid w:val="49041C0E"/>
    <w:rsid w:val="49073753"/>
    <w:rsid w:val="491660AD"/>
    <w:rsid w:val="491D4063"/>
    <w:rsid w:val="49276EF3"/>
    <w:rsid w:val="49336474"/>
    <w:rsid w:val="49990AAC"/>
    <w:rsid w:val="499A17A2"/>
    <w:rsid w:val="49BB5973"/>
    <w:rsid w:val="49BB6432"/>
    <w:rsid w:val="49BF1270"/>
    <w:rsid w:val="4A0F2B99"/>
    <w:rsid w:val="4A5A354D"/>
    <w:rsid w:val="4A721CFC"/>
    <w:rsid w:val="4A7F0A88"/>
    <w:rsid w:val="4A8F414A"/>
    <w:rsid w:val="4AC52BCD"/>
    <w:rsid w:val="4ADA2EEC"/>
    <w:rsid w:val="4AE604C5"/>
    <w:rsid w:val="4B664A4D"/>
    <w:rsid w:val="4B700099"/>
    <w:rsid w:val="4B8260C4"/>
    <w:rsid w:val="4BD347BC"/>
    <w:rsid w:val="4BE13106"/>
    <w:rsid w:val="4BE40B2D"/>
    <w:rsid w:val="4BF11029"/>
    <w:rsid w:val="4C7B77A2"/>
    <w:rsid w:val="4C8A0332"/>
    <w:rsid w:val="4CAD3CF8"/>
    <w:rsid w:val="4CBE448C"/>
    <w:rsid w:val="4CC70B54"/>
    <w:rsid w:val="4D1A1A0E"/>
    <w:rsid w:val="4D232041"/>
    <w:rsid w:val="4D370C0C"/>
    <w:rsid w:val="4D690FEF"/>
    <w:rsid w:val="4DA6680E"/>
    <w:rsid w:val="4DF03E0D"/>
    <w:rsid w:val="4E0A50B3"/>
    <w:rsid w:val="4E18350E"/>
    <w:rsid w:val="4E382194"/>
    <w:rsid w:val="4E3D0826"/>
    <w:rsid w:val="4E3D4F02"/>
    <w:rsid w:val="4E513F2B"/>
    <w:rsid w:val="4E6515FF"/>
    <w:rsid w:val="4E804578"/>
    <w:rsid w:val="4E911E43"/>
    <w:rsid w:val="4E941A7B"/>
    <w:rsid w:val="4E977AE8"/>
    <w:rsid w:val="4EAB0AB3"/>
    <w:rsid w:val="4EAF2ED9"/>
    <w:rsid w:val="4EDF3C5E"/>
    <w:rsid w:val="4EE00FE2"/>
    <w:rsid w:val="4F1807A8"/>
    <w:rsid w:val="4F3073BD"/>
    <w:rsid w:val="4F30780A"/>
    <w:rsid w:val="4F34274B"/>
    <w:rsid w:val="4F3A1389"/>
    <w:rsid w:val="4F4965B9"/>
    <w:rsid w:val="4F541A7F"/>
    <w:rsid w:val="4F8905D1"/>
    <w:rsid w:val="4F8E615A"/>
    <w:rsid w:val="4FAF021E"/>
    <w:rsid w:val="4FAF1D1C"/>
    <w:rsid w:val="4FD17EEE"/>
    <w:rsid w:val="50022732"/>
    <w:rsid w:val="500F7E96"/>
    <w:rsid w:val="5021177D"/>
    <w:rsid w:val="50372B8C"/>
    <w:rsid w:val="50C56DF8"/>
    <w:rsid w:val="510F4335"/>
    <w:rsid w:val="51254185"/>
    <w:rsid w:val="512B6A99"/>
    <w:rsid w:val="512F3A77"/>
    <w:rsid w:val="51473768"/>
    <w:rsid w:val="514D6A79"/>
    <w:rsid w:val="51521011"/>
    <w:rsid w:val="515A127F"/>
    <w:rsid w:val="51677DE5"/>
    <w:rsid w:val="517805B7"/>
    <w:rsid w:val="51A679C5"/>
    <w:rsid w:val="51AD67FC"/>
    <w:rsid w:val="51B8164B"/>
    <w:rsid w:val="51D9059C"/>
    <w:rsid w:val="51FF6A04"/>
    <w:rsid w:val="5207493E"/>
    <w:rsid w:val="520B4AC4"/>
    <w:rsid w:val="521725C1"/>
    <w:rsid w:val="521D1287"/>
    <w:rsid w:val="522A3C4E"/>
    <w:rsid w:val="522F0E0C"/>
    <w:rsid w:val="523A1823"/>
    <w:rsid w:val="52450E83"/>
    <w:rsid w:val="524E1C6D"/>
    <w:rsid w:val="52957B18"/>
    <w:rsid w:val="529E2318"/>
    <w:rsid w:val="52A55A18"/>
    <w:rsid w:val="52FB5CD2"/>
    <w:rsid w:val="53065FC6"/>
    <w:rsid w:val="532204BC"/>
    <w:rsid w:val="5332243D"/>
    <w:rsid w:val="534D2147"/>
    <w:rsid w:val="53535566"/>
    <w:rsid w:val="536C68B0"/>
    <w:rsid w:val="537D4006"/>
    <w:rsid w:val="53BC405A"/>
    <w:rsid w:val="53D405E4"/>
    <w:rsid w:val="53ED1974"/>
    <w:rsid w:val="53F51A0F"/>
    <w:rsid w:val="54057CC6"/>
    <w:rsid w:val="5443080D"/>
    <w:rsid w:val="544D0F18"/>
    <w:rsid w:val="546E02C5"/>
    <w:rsid w:val="546E66DD"/>
    <w:rsid w:val="5498564D"/>
    <w:rsid w:val="54E335D0"/>
    <w:rsid w:val="552914ED"/>
    <w:rsid w:val="553416A2"/>
    <w:rsid w:val="555B08F3"/>
    <w:rsid w:val="556D3701"/>
    <w:rsid w:val="55735B2B"/>
    <w:rsid w:val="55767B93"/>
    <w:rsid w:val="55A80594"/>
    <w:rsid w:val="55B1438B"/>
    <w:rsid w:val="55D9124D"/>
    <w:rsid w:val="55DA75F4"/>
    <w:rsid w:val="55E550AA"/>
    <w:rsid w:val="55F3456B"/>
    <w:rsid w:val="55F677C6"/>
    <w:rsid w:val="560441A7"/>
    <w:rsid w:val="561923A4"/>
    <w:rsid w:val="561F0D4F"/>
    <w:rsid w:val="562328D4"/>
    <w:rsid w:val="562948F0"/>
    <w:rsid w:val="562E27DB"/>
    <w:rsid w:val="563850C4"/>
    <w:rsid w:val="565B0954"/>
    <w:rsid w:val="565D50B2"/>
    <w:rsid w:val="56735F5D"/>
    <w:rsid w:val="567569D4"/>
    <w:rsid w:val="56FE617A"/>
    <w:rsid w:val="57192C1A"/>
    <w:rsid w:val="572C7D90"/>
    <w:rsid w:val="573B48A6"/>
    <w:rsid w:val="57553103"/>
    <w:rsid w:val="57681D8B"/>
    <w:rsid w:val="57701F60"/>
    <w:rsid w:val="57770770"/>
    <w:rsid w:val="57892231"/>
    <w:rsid w:val="57A209D0"/>
    <w:rsid w:val="57A5067B"/>
    <w:rsid w:val="57CD07B0"/>
    <w:rsid w:val="57EF7DCD"/>
    <w:rsid w:val="58092ED6"/>
    <w:rsid w:val="58402E7F"/>
    <w:rsid w:val="58525432"/>
    <w:rsid w:val="58BA52B4"/>
    <w:rsid w:val="58E23B9C"/>
    <w:rsid w:val="58E635F0"/>
    <w:rsid w:val="58E66330"/>
    <w:rsid w:val="59274646"/>
    <w:rsid w:val="59664C46"/>
    <w:rsid w:val="597A11C9"/>
    <w:rsid w:val="59A42CD9"/>
    <w:rsid w:val="59C33323"/>
    <w:rsid w:val="59C672CD"/>
    <w:rsid w:val="59DF79E5"/>
    <w:rsid w:val="59F15F94"/>
    <w:rsid w:val="5A19036C"/>
    <w:rsid w:val="5A33241A"/>
    <w:rsid w:val="5A435C2F"/>
    <w:rsid w:val="5A6E7FB4"/>
    <w:rsid w:val="5A7960F4"/>
    <w:rsid w:val="5A9F1880"/>
    <w:rsid w:val="5AB3402A"/>
    <w:rsid w:val="5AC4757E"/>
    <w:rsid w:val="5AF12626"/>
    <w:rsid w:val="5B00614E"/>
    <w:rsid w:val="5B13614F"/>
    <w:rsid w:val="5B157626"/>
    <w:rsid w:val="5B161CF5"/>
    <w:rsid w:val="5B1C44A5"/>
    <w:rsid w:val="5B1E2174"/>
    <w:rsid w:val="5BAF1B40"/>
    <w:rsid w:val="5BB84A69"/>
    <w:rsid w:val="5BD1633B"/>
    <w:rsid w:val="5BF502C9"/>
    <w:rsid w:val="5C090194"/>
    <w:rsid w:val="5C215BAF"/>
    <w:rsid w:val="5C3D507C"/>
    <w:rsid w:val="5C3E49DD"/>
    <w:rsid w:val="5C5330E6"/>
    <w:rsid w:val="5C957E2F"/>
    <w:rsid w:val="5C984DB6"/>
    <w:rsid w:val="5CB632A7"/>
    <w:rsid w:val="5CB876BF"/>
    <w:rsid w:val="5CC2775C"/>
    <w:rsid w:val="5CD1358A"/>
    <w:rsid w:val="5D204394"/>
    <w:rsid w:val="5D332433"/>
    <w:rsid w:val="5D3834DB"/>
    <w:rsid w:val="5D5E5EAC"/>
    <w:rsid w:val="5D6310C5"/>
    <w:rsid w:val="5D6C1457"/>
    <w:rsid w:val="5D796CCA"/>
    <w:rsid w:val="5D946C00"/>
    <w:rsid w:val="5DAA00C4"/>
    <w:rsid w:val="5DEA36CE"/>
    <w:rsid w:val="5E2D56E2"/>
    <w:rsid w:val="5E56213C"/>
    <w:rsid w:val="5E762147"/>
    <w:rsid w:val="5E7734DC"/>
    <w:rsid w:val="5E7D1DC4"/>
    <w:rsid w:val="5ED60F44"/>
    <w:rsid w:val="5EDF1C51"/>
    <w:rsid w:val="5EE7554D"/>
    <w:rsid w:val="5EEF4112"/>
    <w:rsid w:val="5F1452EB"/>
    <w:rsid w:val="5F2024BC"/>
    <w:rsid w:val="5F34068E"/>
    <w:rsid w:val="5F8203E7"/>
    <w:rsid w:val="5FA11098"/>
    <w:rsid w:val="5FA21CFA"/>
    <w:rsid w:val="5FA57C88"/>
    <w:rsid w:val="5FAD3283"/>
    <w:rsid w:val="5FC022C8"/>
    <w:rsid w:val="5FCC025E"/>
    <w:rsid w:val="5FD05598"/>
    <w:rsid w:val="5FF1649E"/>
    <w:rsid w:val="600C5E87"/>
    <w:rsid w:val="600C6F69"/>
    <w:rsid w:val="601363B7"/>
    <w:rsid w:val="601B0049"/>
    <w:rsid w:val="601D7464"/>
    <w:rsid w:val="603F7723"/>
    <w:rsid w:val="60607F2B"/>
    <w:rsid w:val="609A1EB5"/>
    <w:rsid w:val="609A615F"/>
    <w:rsid w:val="60B0327F"/>
    <w:rsid w:val="60DD0039"/>
    <w:rsid w:val="60EA6ED5"/>
    <w:rsid w:val="60ED5906"/>
    <w:rsid w:val="60FC3003"/>
    <w:rsid w:val="612111B1"/>
    <w:rsid w:val="61373002"/>
    <w:rsid w:val="613E7627"/>
    <w:rsid w:val="61655B3C"/>
    <w:rsid w:val="61674430"/>
    <w:rsid w:val="61794A7E"/>
    <w:rsid w:val="618D4835"/>
    <w:rsid w:val="61A54AEB"/>
    <w:rsid w:val="61AF5DA9"/>
    <w:rsid w:val="61B40D69"/>
    <w:rsid w:val="61CB0674"/>
    <w:rsid w:val="61E3003C"/>
    <w:rsid w:val="61F908AA"/>
    <w:rsid w:val="621D60B5"/>
    <w:rsid w:val="62203C5A"/>
    <w:rsid w:val="6234172E"/>
    <w:rsid w:val="62463EAF"/>
    <w:rsid w:val="62563CF6"/>
    <w:rsid w:val="62611834"/>
    <w:rsid w:val="626E14DE"/>
    <w:rsid w:val="626E360C"/>
    <w:rsid w:val="62864DD1"/>
    <w:rsid w:val="62BF13C0"/>
    <w:rsid w:val="62C64CE3"/>
    <w:rsid w:val="62D17E32"/>
    <w:rsid w:val="62D909A9"/>
    <w:rsid w:val="62F83916"/>
    <w:rsid w:val="63087DED"/>
    <w:rsid w:val="6311541F"/>
    <w:rsid w:val="63125BA6"/>
    <w:rsid w:val="631877CD"/>
    <w:rsid w:val="634D5949"/>
    <w:rsid w:val="63733BAC"/>
    <w:rsid w:val="637B58C2"/>
    <w:rsid w:val="638674BB"/>
    <w:rsid w:val="639D7490"/>
    <w:rsid w:val="63AA297E"/>
    <w:rsid w:val="63AC2B84"/>
    <w:rsid w:val="63C04DBB"/>
    <w:rsid w:val="63CB397B"/>
    <w:rsid w:val="63FD1DED"/>
    <w:rsid w:val="63FF5B3B"/>
    <w:rsid w:val="64195B09"/>
    <w:rsid w:val="64266B7F"/>
    <w:rsid w:val="642E37DE"/>
    <w:rsid w:val="643F7CC1"/>
    <w:rsid w:val="644571B0"/>
    <w:rsid w:val="64491311"/>
    <w:rsid w:val="64536AE8"/>
    <w:rsid w:val="645C2587"/>
    <w:rsid w:val="64791B58"/>
    <w:rsid w:val="64851FD7"/>
    <w:rsid w:val="649D3394"/>
    <w:rsid w:val="64D26247"/>
    <w:rsid w:val="6527773F"/>
    <w:rsid w:val="6532656E"/>
    <w:rsid w:val="653F29E0"/>
    <w:rsid w:val="655B4EE3"/>
    <w:rsid w:val="6589334C"/>
    <w:rsid w:val="659B2AF8"/>
    <w:rsid w:val="65AB19C7"/>
    <w:rsid w:val="65B1678B"/>
    <w:rsid w:val="65BD1124"/>
    <w:rsid w:val="65C321A3"/>
    <w:rsid w:val="65E34298"/>
    <w:rsid w:val="661D5273"/>
    <w:rsid w:val="661F7E3D"/>
    <w:rsid w:val="6625263F"/>
    <w:rsid w:val="66373CEB"/>
    <w:rsid w:val="66413E29"/>
    <w:rsid w:val="664A7A69"/>
    <w:rsid w:val="665C16B4"/>
    <w:rsid w:val="66643EEF"/>
    <w:rsid w:val="66880D2D"/>
    <w:rsid w:val="669B4AF8"/>
    <w:rsid w:val="66A86405"/>
    <w:rsid w:val="66BC24BC"/>
    <w:rsid w:val="66C46EA8"/>
    <w:rsid w:val="66D107C6"/>
    <w:rsid w:val="66D12AF5"/>
    <w:rsid w:val="66F87369"/>
    <w:rsid w:val="672B2AF4"/>
    <w:rsid w:val="67357EAA"/>
    <w:rsid w:val="675A5933"/>
    <w:rsid w:val="67931A11"/>
    <w:rsid w:val="679E2209"/>
    <w:rsid w:val="67F6200D"/>
    <w:rsid w:val="680E1C5A"/>
    <w:rsid w:val="6847737D"/>
    <w:rsid w:val="685A1834"/>
    <w:rsid w:val="68613410"/>
    <w:rsid w:val="68672604"/>
    <w:rsid w:val="686909FE"/>
    <w:rsid w:val="686D24B7"/>
    <w:rsid w:val="686E28A5"/>
    <w:rsid w:val="68766BCB"/>
    <w:rsid w:val="68BE109E"/>
    <w:rsid w:val="68D365BE"/>
    <w:rsid w:val="68ED56F9"/>
    <w:rsid w:val="695F17F4"/>
    <w:rsid w:val="6978619E"/>
    <w:rsid w:val="69956533"/>
    <w:rsid w:val="69B7686A"/>
    <w:rsid w:val="69CE65D5"/>
    <w:rsid w:val="69DC04BA"/>
    <w:rsid w:val="69F1797B"/>
    <w:rsid w:val="69F73693"/>
    <w:rsid w:val="69FA2C05"/>
    <w:rsid w:val="6A0C2905"/>
    <w:rsid w:val="6A28620A"/>
    <w:rsid w:val="6A4A1A4B"/>
    <w:rsid w:val="6A51067D"/>
    <w:rsid w:val="6A680CB4"/>
    <w:rsid w:val="6A895852"/>
    <w:rsid w:val="6A9366A6"/>
    <w:rsid w:val="6AC11411"/>
    <w:rsid w:val="6AF82514"/>
    <w:rsid w:val="6B0D4D34"/>
    <w:rsid w:val="6B652A79"/>
    <w:rsid w:val="6BCB11D0"/>
    <w:rsid w:val="6BF80282"/>
    <w:rsid w:val="6BF90550"/>
    <w:rsid w:val="6C074421"/>
    <w:rsid w:val="6C122C32"/>
    <w:rsid w:val="6C1E3FAA"/>
    <w:rsid w:val="6C2C105C"/>
    <w:rsid w:val="6C314414"/>
    <w:rsid w:val="6C447C0E"/>
    <w:rsid w:val="6C667E80"/>
    <w:rsid w:val="6C671836"/>
    <w:rsid w:val="6C6C6864"/>
    <w:rsid w:val="6C793AD4"/>
    <w:rsid w:val="6C7F64CB"/>
    <w:rsid w:val="6C8748F3"/>
    <w:rsid w:val="6C8D5649"/>
    <w:rsid w:val="6C99531B"/>
    <w:rsid w:val="6CB70771"/>
    <w:rsid w:val="6CC00B39"/>
    <w:rsid w:val="6CCF09C1"/>
    <w:rsid w:val="6CD25D40"/>
    <w:rsid w:val="6CF125AB"/>
    <w:rsid w:val="6D043232"/>
    <w:rsid w:val="6D384799"/>
    <w:rsid w:val="6D3C5A82"/>
    <w:rsid w:val="6D675B5E"/>
    <w:rsid w:val="6D9B49E3"/>
    <w:rsid w:val="6DA8526C"/>
    <w:rsid w:val="6DB70237"/>
    <w:rsid w:val="6DBD2A64"/>
    <w:rsid w:val="6DCA3E60"/>
    <w:rsid w:val="6DD011F2"/>
    <w:rsid w:val="6DDE7C08"/>
    <w:rsid w:val="6DF22FA7"/>
    <w:rsid w:val="6DF878D2"/>
    <w:rsid w:val="6E1626B6"/>
    <w:rsid w:val="6E2001A2"/>
    <w:rsid w:val="6E557F5C"/>
    <w:rsid w:val="6E6E727E"/>
    <w:rsid w:val="6E817DA2"/>
    <w:rsid w:val="6E851C97"/>
    <w:rsid w:val="6E872CFF"/>
    <w:rsid w:val="6E9B0068"/>
    <w:rsid w:val="6EB942BD"/>
    <w:rsid w:val="6EDD43E3"/>
    <w:rsid w:val="6F2F71CB"/>
    <w:rsid w:val="6F527881"/>
    <w:rsid w:val="6F73043B"/>
    <w:rsid w:val="6F7F678B"/>
    <w:rsid w:val="6F806A78"/>
    <w:rsid w:val="6FAC1DC6"/>
    <w:rsid w:val="6FD13FFF"/>
    <w:rsid w:val="6FEF04EA"/>
    <w:rsid w:val="700258CB"/>
    <w:rsid w:val="70193087"/>
    <w:rsid w:val="7039049E"/>
    <w:rsid w:val="70451230"/>
    <w:rsid w:val="705364B2"/>
    <w:rsid w:val="705C1C45"/>
    <w:rsid w:val="705F08B4"/>
    <w:rsid w:val="70B07941"/>
    <w:rsid w:val="70E46CF0"/>
    <w:rsid w:val="70F46F5F"/>
    <w:rsid w:val="70F74859"/>
    <w:rsid w:val="70F86DAA"/>
    <w:rsid w:val="713835D6"/>
    <w:rsid w:val="713E5C05"/>
    <w:rsid w:val="71526DA8"/>
    <w:rsid w:val="71747A33"/>
    <w:rsid w:val="719738E4"/>
    <w:rsid w:val="719D441F"/>
    <w:rsid w:val="719D57D2"/>
    <w:rsid w:val="719E3DAD"/>
    <w:rsid w:val="71AB04ED"/>
    <w:rsid w:val="71B1181A"/>
    <w:rsid w:val="71C3307F"/>
    <w:rsid w:val="71DF07A7"/>
    <w:rsid w:val="71EA0F13"/>
    <w:rsid w:val="71F34A63"/>
    <w:rsid w:val="71FF4214"/>
    <w:rsid w:val="72050F65"/>
    <w:rsid w:val="72112C12"/>
    <w:rsid w:val="72140FD6"/>
    <w:rsid w:val="72360B5C"/>
    <w:rsid w:val="7244069B"/>
    <w:rsid w:val="724B73AE"/>
    <w:rsid w:val="72595636"/>
    <w:rsid w:val="72636ACB"/>
    <w:rsid w:val="72687616"/>
    <w:rsid w:val="72BF51FA"/>
    <w:rsid w:val="72E20AD3"/>
    <w:rsid w:val="72EA151E"/>
    <w:rsid w:val="72F049DE"/>
    <w:rsid w:val="72FC7004"/>
    <w:rsid w:val="72FD07A2"/>
    <w:rsid w:val="72FD17EB"/>
    <w:rsid w:val="730658A1"/>
    <w:rsid w:val="73216974"/>
    <w:rsid w:val="732461C7"/>
    <w:rsid w:val="73474398"/>
    <w:rsid w:val="7355062B"/>
    <w:rsid w:val="73573355"/>
    <w:rsid w:val="738E5067"/>
    <w:rsid w:val="73976F6E"/>
    <w:rsid w:val="73AD45CA"/>
    <w:rsid w:val="73CC2739"/>
    <w:rsid w:val="73CC64F4"/>
    <w:rsid w:val="73DA7046"/>
    <w:rsid w:val="73DC5438"/>
    <w:rsid w:val="73FC7F4B"/>
    <w:rsid w:val="7403490D"/>
    <w:rsid w:val="740356EE"/>
    <w:rsid w:val="740D5D98"/>
    <w:rsid w:val="7426104D"/>
    <w:rsid w:val="7429723E"/>
    <w:rsid w:val="74466AA6"/>
    <w:rsid w:val="74520544"/>
    <w:rsid w:val="74622EBE"/>
    <w:rsid w:val="74812D72"/>
    <w:rsid w:val="7487512E"/>
    <w:rsid w:val="74B13C76"/>
    <w:rsid w:val="74C04E15"/>
    <w:rsid w:val="74EB71A2"/>
    <w:rsid w:val="75306377"/>
    <w:rsid w:val="753D0601"/>
    <w:rsid w:val="754D24F7"/>
    <w:rsid w:val="756D51B5"/>
    <w:rsid w:val="75A736B7"/>
    <w:rsid w:val="75D105E5"/>
    <w:rsid w:val="75D733B1"/>
    <w:rsid w:val="75F67229"/>
    <w:rsid w:val="75FD3D03"/>
    <w:rsid w:val="75FE2FE4"/>
    <w:rsid w:val="761E1692"/>
    <w:rsid w:val="768C0C69"/>
    <w:rsid w:val="76951892"/>
    <w:rsid w:val="769D4216"/>
    <w:rsid w:val="76C9360B"/>
    <w:rsid w:val="76DC573C"/>
    <w:rsid w:val="76E52649"/>
    <w:rsid w:val="76E8457D"/>
    <w:rsid w:val="76F211D6"/>
    <w:rsid w:val="76F45002"/>
    <w:rsid w:val="7716563E"/>
    <w:rsid w:val="771B3E92"/>
    <w:rsid w:val="77257F51"/>
    <w:rsid w:val="772B32B3"/>
    <w:rsid w:val="77375F03"/>
    <w:rsid w:val="77680AB2"/>
    <w:rsid w:val="779301D4"/>
    <w:rsid w:val="7793201A"/>
    <w:rsid w:val="77FA6D4C"/>
    <w:rsid w:val="7803662B"/>
    <w:rsid w:val="781D30D1"/>
    <w:rsid w:val="782061F2"/>
    <w:rsid w:val="78287917"/>
    <w:rsid w:val="78390B6B"/>
    <w:rsid w:val="783A16F2"/>
    <w:rsid w:val="78493ADE"/>
    <w:rsid w:val="78516DAC"/>
    <w:rsid w:val="78587AA0"/>
    <w:rsid w:val="78605387"/>
    <w:rsid w:val="788351D7"/>
    <w:rsid w:val="78AA00E8"/>
    <w:rsid w:val="78C61C68"/>
    <w:rsid w:val="78E94B01"/>
    <w:rsid w:val="78F06843"/>
    <w:rsid w:val="78F4473A"/>
    <w:rsid w:val="78FD359B"/>
    <w:rsid w:val="78FE26AB"/>
    <w:rsid w:val="790E5EF4"/>
    <w:rsid w:val="790F116A"/>
    <w:rsid w:val="792D7B2F"/>
    <w:rsid w:val="794D320F"/>
    <w:rsid w:val="79761E77"/>
    <w:rsid w:val="79AC331B"/>
    <w:rsid w:val="79B84414"/>
    <w:rsid w:val="79BE64B8"/>
    <w:rsid w:val="79DB7C29"/>
    <w:rsid w:val="79E52CE6"/>
    <w:rsid w:val="79EC4872"/>
    <w:rsid w:val="79EE545A"/>
    <w:rsid w:val="7A0D60A6"/>
    <w:rsid w:val="7A22359A"/>
    <w:rsid w:val="7A4B2973"/>
    <w:rsid w:val="7A6325BC"/>
    <w:rsid w:val="7A8A7190"/>
    <w:rsid w:val="7AB57A6E"/>
    <w:rsid w:val="7AC11632"/>
    <w:rsid w:val="7AE0143D"/>
    <w:rsid w:val="7AE13EC2"/>
    <w:rsid w:val="7AEB368F"/>
    <w:rsid w:val="7B1D233E"/>
    <w:rsid w:val="7B427EE6"/>
    <w:rsid w:val="7B53208F"/>
    <w:rsid w:val="7B867E41"/>
    <w:rsid w:val="7B905839"/>
    <w:rsid w:val="7BB35E76"/>
    <w:rsid w:val="7BCE1A96"/>
    <w:rsid w:val="7BD33E23"/>
    <w:rsid w:val="7BD719D9"/>
    <w:rsid w:val="7BDC72C6"/>
    <w:rsid w:val="7BE357FE"/>
    <w:rsid w:val="7BF4151D"/>
    <w:rsid w:val="7BFB4DCC"/>
    <w:rsid w:val="7C1D25DF"/>
    <w:rsid w:val="7C5A372C"/>
    <w:rsid w:val="7C743F4E"/>
    <w:rsid w:val="7C79557C"/>
    <w:rsid w:val="7C8204E9"/>
    <w:rsid w:val="7CAE2911"/>
    <w:rsid w:val="7CC44AEA"/>
    <w:rsid w:val="7CD7627E"/>
    <w:rsid w:val="7CE811FB"/>
    <w:rsid w:val="7D142A3E"/>
    <w:rsid w:val="7D1905A5"/>
    <w:rsid w:val="7D341FBD"/>
    <w:rsid w:val="7D430F8F"/>
    <w:rsid w:val="7D6307A9"/>
    <w:rsid w:val="7D6A54B5"/>
    <w:rsid w:val="7D8F0ED7"/>
    <w:rsid w:val="7DFD5140"/>
    <w:rsid w:val="7E295DAB"/>
    <w:rsid w:val="7E3338EE"/>
    <w:rsid w:val="7E4F4D3E"/>
    <w:rsid w:val="7E825360"/>
    <w:rsid w:val="7E881BB0"/>
    <w:rsid w:val="7E8E5A6F"/>
    <w:rsid w:val="7E9D4FE2"/>
    <w:rsid w:val="7EDC2EBA"/>
    <w:rsid w:val="7F023B57"/>
    <w:rsid w:val="7F303BEA"/>
    <w:rsid w:val="7F6418B1"/>
    <w:rsid w:val="7F9D3C6D"/>
    <w:rsid w:val="7FBD2408"/>
    <w:rsid w:val="7FE31753"/>
    <w:rsid w:val="7FF6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line="560" w:lineRule="exact"/>
      <w:ind w:firstLine="200" w:firstLineChars="200"/>
      <w:jc w:val="left"/>
      <w:outlineLvl w:val="0"/>
    </w:pPr>
    <w:rPr>
      <w:rFonts w:eastAsia="黑体"/>
      <w:b/>
      <w:bCs/>
      <w:kern w:val="44"/>
      <w:sz w:val="32"/>
      <w:szCs w:val="44"/>
    </w:rPr>
  </w:style>
  <w:style w:type="paragraph" w:styleId="5">
    <w:name w:val="heading 2"/>
    <w:basedOn w:val="6"/>
    <w:next w:val="1"/>
    <w:unhideWhenUsed/>
    <w:qFormat/>
    <w:uiPriority w:val="9"/>
    <w:pPr>
      <w:keepNext/>
      <w:keepLines/>
      <w:spacing w:line="560" w:lineRule="exact"/>
      <w:ind w:firstLine="880" w:firstLineChars="200"/>
      <w:outlineLvl w:val="1"/>
    </w:pPr>
    <w:rPr>
      <w:rFonts w:ascii="Times New Roman" w:hAnsi="Times New Roman" w:eastAsia="楷体" w:cstheme="majorBidi"/>
      <w:b/>
      <w:bCs/>
    </w:rPr>
  </w:style>
  <w:style w:type="paragraph" w:styleId="7">
    <w:name w:val="heading 3"/>
    <w:basedOn w:val="1"/>
    <w:next w:val="1"/>
    <w:unhideWhenUsed/>
    <w:qFormat/>
    <w:uiPriority w:val="0"/>
    <w:pPr>
      <w:keepNext/>
      <w:keepLines/>
      <w:spacing w:beforeLines="0" w:beforeAutospacing="0" w:afterLines="0" w:afterAutospacing="0" w:line="560" w:lineRule="exact"/>
      <w:ind w:firstLine="880" w:firstLineChars="200"/>
      <w:outlineLvl w:val="2"/>
    </w:pPr>
    <w:rPr>
      <w:rFonts w:ascii="Times New Roman" w:hAnsi="Times New Roman" w:eastAsia="仿宋"/>
      <w:b/>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3">
    <w:name w:val="Subtitle"/>
    <w:basedOn w:val="1"/>
    <w:next w:val="1"/>
    <w:qFormat/>
    <w:uiPriority w:val="0"/>
    <w:pPr>
      <w:widowControl/>
      <w:wordWrap w:val="0"/>
      <w:spacing w:after="60"/>
      <w:jc w:val="center"/>
    </w:pPr>
    <w:rPr>
      <w:sz w:val="24"/>
    </w:rPr>
  </w:style>
  <w:style w:type="paragraph" w:customStyle="1" w:styleId="6">
    <w:name w:val="闻政正文"/>
    <w:basedOn w:val="1"/>
    <w:link w:val="28"/>
    <w:qFormat/>
    <w:uiPriority w:val="0"/>
    <w:pPr>
      <w:spacing w:line="560" w:lineRule="exact"/>
      <w:ind w:firstLine="560" w:firstLineChars="200"/>
    </w:pPr>
    <w:rPr>
      <w:rFonts w:ascii="Times New Roman" w:hAnsi="Times New Roman" w:eastAsia="仿宋" w:cstheme="minorBidi"/>
      <w:sz w:val="32"/>
      <w:szCs w:val="32"/>
    </w:rPr>
  </w:style>
  <w:style w:type="paragraph" w:styleId="8">
    <w:name w:val="annotation text"/>
    <w:basedOn w:val="1"/>
    <w:qFormat/>
    <w:uiPriority w:val="0"/>
    <w:pPr>
      <w:jc w:val="left"/>
    </w:pPr>
  </w:style>
  <w:style w:type="paragraph" w:styleId="9">
    <w:name w:val="Body Text"/>
    <w:basedOn w:val="1"/>
    <w:next w:val="10"/>
    <w:unhideWhenUsed/>
    <w:qFormat/>
    <w:uiPriority w:val="99"/>
    <w:pPr>
      <w:spacing w:after="120"/>
    </w:pPr>
  </w:style>
  <w:style w:type="paragraph" w:styleId="10">
    <w:name w:val="Body Text 2"/>
    <w:basedOn w:val="1"/>
    <w:next w:val="9"/>
    <w:unhideWhenUsed/>
    <w:qFormat/>
    <w:uiPriority w:val="99"/>
    <w:pPr>
      <w:widowControl/>
      <w:numPr>
        <w:ilvl w:val="0"/>
        <w:numId w:val="1"/>
      </w:numPr>
      <w:spacing w:before="156" w:beforeLines="50" w:line="336" w:lineRule="auto"/>
      <w:ind w:left="0" w:firstLine="0"/>
    </w:pPr>
    <w:rPr>
      <w:rFonts w:ascii="Times New Roman" w:hAnsi="Times New Roman" w:eastAsia="黑体"/>
      <w:szCs w:val="20"/>
    </w:rPr>
  </w:style>
  <w:style w:type="paragraph" w:styleId="11">
    <w:name w:val="Body Text Indent"/>
    <w:basedOn w:val="1"/>
    <w:unhideWhenUsed/>
    <w:qFormat/>
    <w:uiPriority w:val="99"/>
    <w:pPr>
      <w:spacing w:line="560" w:lineRule="exact"/>
      <w:ind w:firstLine="567"/>
    </w:pPr>
    <w:rPr>
      <w:rFonts w:cs="Times New Roman"/>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spacing w:line="500" w:lineRule="exact"/>
    </w:pPr>
    <w:rPr>
      <w:rFonts w:ascii="Times New Roman" w:hAnsi="Times New Roman" w:eastAsia="仿宋_GB2312"/>
      <w:b/>
      <w:sz w:val="28"/>
      <w:szCs w:val="28"/>
    </w:rPr>
  </w:style>
  <w:style w:type="paragraph" w:styleId="15">
    <w:name w:val="footnote text"/>
    <w:basedOn w:val="1"/>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Body Text First Indent"/>
    <w:basedOn w:val="9"/>
    <w:next w:val="18"/>
    <w:unhideWhenUsed/>
    <w:qFormat/>
    <w:uiPriority w:val="99"/>
    <w:pPr>
      <w:ind w:firstLine="976" w:firstLineChars="200"/>
    </w:pPr>
  </w:style>
  <w:style w:type="paragraph" w:styleId="18">
    <w:name w:val="Body Text First Indent 2"/>
    <w:basedOn w:val="11"/>
    <w:unhideWhenUsed/>
    <w:qFormat/>
    <w:uiPriority w:val="99"/>
    <w:pPr>
      <w:spacing w:after="120" w:line="360" w:lineRule="auto"/>
      <w:ind w:left="420" w:leftChars="200" w:firstLine="420"/>
    </w:pPr>
    <w:rPr>
      <w:szCs w:val="22"/>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character" w:styleId="23">
    <w:name w:val="Emphasis"/>
    <w:basedOn w:val="21"/>
    <w:qFormat/>
    <w:uiPriority w:val="20"/>
    <w:rPr>
      <w:i/>
      <w:iCs/>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footnote reference"/>
    <w:basedOn w:val="21"/>
    <w:semiHidden/>
    <w:unhideWhenUsed/>
    <w:qFormat/>
    <w:uiPriority w:val="99"/>
    <w:rPr>
      <w:vertAlign w:val="superscript"/>
    </w:rPr>
  </w:style>
  <w:style w:type="paragraph" w:customStyle="1" w:styleId="26">
    <w:name w:val="正文文本 21"/>
    <w:qFormat/>
    <w:uiPriority w:val="0"/>
    <w:pPr>
      <w:widowControl w:val="0"/>
      <w:spacing w:line="480" w:lineRule="auto"/>
      <w:jc w:val="both"/>
    </w:pPr>
    <w:rPr>
      <w:rFonts w:ascii="Calibri" w:hAnsi="Calibri" w:eastAsia="宋体" w:cs="Times New Roman"/>
      <w:kern w:val="2"/>
      <w:sz w:val="21"/>
      <w:szCs w:val="24"/>
      <w:lang w:val="en-US" w:eastAsia="zh-CN" w:bidi="ar-SA"/>
    </w:rPr>
  </w:style>
  <w:style w:type="table" w:customStyle="1" w:styleId="27">
    <w:name w:val="wz表内容1"/>
    <w:basedOn w:val="19"/>
    <w:qFormat/>
    <w:uiPriority w:val="99"/>
    <w:pPr>
      <w:spacing w:line="300" w:lineRule="exact"/>
      <w:jc w:val="center"/>
    </w:pPr>
    <w:rPr>
      <w:rFonts w:ascii="Times New Roman" w:hAnsi="Times New Roman" w:eastAsia="仿宋_GB231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customStyle="1" w:styleId="28">
    <w:name w:val="闻政正文 Char"/>
    <w:link w:val="6"/>
    <w:qFormat/>
    <w:uiPriority w:val="0"/>
    <w:rPr>
      <w:rFonts w:ascii="Times New Roman" w:hAnsi="Times New Roman" w:eastAsia="仿宋" w:cstheme="minorBidi"/>
      <w:sz w:val="32"/>
      <w:szCs w:val="32"/>
    </w:rPr>
  </w:style>
  <w:style w:type="paragraph" w:customStyle="1" w:styleId="29">
    <w:name w:val="闻政标题4"/>
    <w:basedOn w:val="5"/>
    <w:qFormat/>
    <w:uiPriority w:val="0"/>
    <w:pPr>
      <w:spacing w:before="120" w:after="60" w:line="500" w:lineRule="exact"/>
      <w:ind w:firstLine="200" w:firstLineChars="200"/>
      <w:jc w:val="left"/>
    </w:pPr>
    <w:rPr>
      <w:rFonts w:ascii="Times New Roman" w:hAnsi="Times New Roman" w:eastAsia="仿宋_GB2312" w:cs="Times New Roman"/>
      <w:kern w:val="0"/>
      <w:sz w:val="28"/>
    </w:rPr>
  </w:style>
  <w:style w:type="paragraph" w:customStyle="1" w:styleId="30">
    <w:name w:val="闻政标题5"/>
    <w:basedOn w:val="1"/>
    <w:qFormat/>
    <w:uiPriority w:val="0"/>
    <w:pPr>
      <w:spacing w:before="120" w:after="60" w:line="500" w:lineRule="exact"/>
      <w:ind w:firstLine="200" w:firstLineChars="200"/>
    </w:pPr>
    <w:rPr>
      <w:rFonts w:ascii="Times New Roman" w:hAnsi="Times New Roman" w:eastAsia="仿宋_GB2312"/>
      <w:b/>
      <w:kern w:val="0"/>
      <w:sz w:val="28"/>
      <w:szCs w:val="28"/>
    </w:rPr>
  </w:style>
  <w:style w:type="paragraph" w:customStyle="1" w:styleId="31">
    <w:name w:val="闻政表"/>
    <w:basedOn w:val="1"/>
    <w:qFormat/>
    <w:uiPriority w:val="0"/>
    <w:pPr>
      <w:spacing w:before="60" w:after="60"/>
      <w:jc w:val="center"/>
    </w:pPr>
    <w:rPr>
      <w:rFonts w:ascii="Times New Roman" w:hAnsi="Times New Roman" w:eastAsia="仿宋_GB2312"/>
      <w:b/>
      <w:kern w:val="0"/>
      <w:sz w:val="24"/>
      <w:szCs w:val="28"/>
      <w:lang w:val="zh-CN"/>
    </w:rPr>
  </w:style>
  <w:style w:type="character" w:customStyle="1" w:styleId="32">
    <w:name w:val="font141"/>
    <w:basedOn w:val="21"/>
    <w:qFormat/>
    <w:uiPriority w:val="0"/>
    <w:rPr>
      <w:rFonts w:hint="eastAsia" w:ascii="仿宋_GB2312" w:eastAsia="仿宋_GB2312" w:cs="仿宋_GB2312"/>
      <w:color w:val="000000"/>
      <w:sz w:val="20"/>
      <w:szCs w:val="20"/>
      <w:u w:val="none"/>
    </w:rPr>
  </w:style>
  <w:style w:type="character" w:customStyle="1" w:styleId="33">
    <w:name w:val="font101"/>
    <w:basedOn w:val="21"/>
    <w:qFormat/>
    <w:uiPriority w:val="0"/>
    <w:rPr>
      <w:rFonts w:hint="eastAsia" w:ascii="仿宋_GB2312" w:eastAsia="仿宋_GB2312" w:cs="仿宋_GB2312"/>
      <w:color w:val="000000"/>
      <w:sz w:val="22"/>
      <w:szCs w:val="22"/>
      <w:u w:val="none"/>
    </w:rPr>
  </w:style>
  <w:style w:type="character" w:customStyle="1" w:styleId="34">
    <w:name w:val="font131"/>
    <w:basedOn w:val="21"/>
    <w:qFormat/>
    <w:uiPriority w:val="0"/>
    <w:rPr>
      <w:rFonts w:hint="eastAsia" w:ascii="仿宋_GB2312" w:eastAsia="仿宋_GB2312" w:cs="仿宋_GB2312"/>
      <w:color w:val="000000"/>
      <w:sz w:val="20"/>
      <w:szCs w:val="20"/>
      <w:u w:val="none"/>
    </w:rPr>
  </w:style>
  <w:style w:type="character" w:customStyle="1" w:styleId="35">
    <w:name w:val="font41"/>
    <w:basedOn w:val="21"/>
    <w:qFormat/>
    <w:uiPriority w:val="0"/>
    <w:rPr>
      <w:rFonts w:hint="default" w:ascii="Times New Roman" w:hAnsi="Times New Roman" w:cs="Times New Roman"/>
      <w:color w:val="000000"/>
      <w:sz w:val="20"/>
      <w:szCs w:val="20"/>
      <w:u w:val="none"/>
    </w:rPr>
  </w:style>
  <w:style w:type="character" w:customStyle="1" w:styleId="36">
    <w:name w:val="font112"/>
    <w:basedOn w:val="21"/>
    <w:qFormat/>
    <w:uiPriority w:val="0"/>
    <w:rPr>
      <w:rFonts w:hint="eastAsia" w:ascii="仿宋_GB2312" w:eastAsia="仿宋_GB2312" w:cs="仿宋_GB2312"/>
      <w:color w:val="000000"/>
      <w:sz w:val="22"/>
      <w:szCs w:val="22"/>
      <w:u w:val="none"/>
    </w:rPr>
  </w:style>
  <w:style w:type="character" w:customStyle="1" w:styleId="37">
    <w:name w:val="font31"/>
    <w:basedOn w:val="21"/>
    <w:qFormat/>
    <w:uiPriority w:val="0"/>
    <w:rPr>
      <w:rFonts w:hint="default" w:ascii="Times New Roman" w:hAnsi="Times New Roman" w:cs="Times New Roman"/>
      <w:color w:val="000000"/>
      <w:sz w:val="20"/>
      <w:szCs w:val="20"/>
      <w:u w:val="none"/>
    </w:rPr>
  </w:style>
  <w:style w:type="character" w:customStyle="1" w:styleId="38">
    <w:name w:val="font11"/>
    <w:basedOn w:val="21"/>
    <w:qFormat/>
    <w:uiPriority w:val="0"/>
    <w:rPr>
      <w:rFonts w:hint="default" w:ascii="Times New Roman" w:hAnsi="Times New Roman" w:cs="Times New Roman"/>
      <w:color w:val="000000"/>
      <w:sz w:val="22"/>
      <w:szCs w:val="22"/>
      <w:u w:val="none"/>
    </w:rPr>
  </w:style>
  <w:style w:type="character" w:customStyle="1" w:styleId="39">
    <w:name w:val="font51"/>
    <w:basedOn w:val="21"/>
    <w:qFormat/>
    <w:uiPriority w:val="0"/>
    <w:rPr>
      <w:rFonts w:hint="eastAsia" w:ascii="仿宋_GB2312" w:eastAsia="仿宋_GB2312" w:cs="仿宋_GB2312"/>
      <w:color w:val="000000"/>
      <w:sz w:val="22"/>
      <w:szCs w:val="22"/>
      <w:u w:val="none"/>
    </w:rPr>
  </w:style>
  <w:style w:type="character" w:customStyle="1" w:styleId="40">
    <w:name w:val="font61"/>
    <w:basedOn w:val="21"/>
    <w:qFormat/>
    <w:uiPriority w:val="0"/>
    <w:rPr>
      <w:rFonts w:hint="eastAsia" w:ascii="仿宋_GB2312" w:eastAsia="仿宋_GB2312" w:cs="仿宋_GB2312"/>
      <w:color w:val="000000"/>
      <w:sz w:val="22"/>
      <w:szCs w:val="22"/>
      <w:u w:val="none"/>
    </w:rPr>
  </w:style>
  <w:style w:type="character" w:customStyle="1" w:styleId="41">
    <w:name w:val="font01"/>
    <w:basedOn w:val="21"/>
    <w:qFormat/>
    <w:uiPriority w:val="0"/>
    <w:rPr>
      <w:rFonts w:hint="default" w:ascii="Times New Roman" w:hAnsi="Times New Roman" w:cs="Times New Roman"/>
      <w:color w:val="000000"/>
      <w:sz w:val="22"/>
      <w:szCs w:val="22"/>
      <w:u w:val="none"/>
    </w:rPr>
  </w:style>
  <w:style w:type="character" w:customStyle="1" w:styleId="42">
    <w:name w:val="font81"/>
    <w:basedOn w:val="21"/>
    <w:qFormat/>
    <w:uiPriority w:val="0"/>
    <w:rPr>
      <w:rFonts w:hint="eastAsia" w:ascii="仿宋_GB2312" w:eastAsia="仿宋_GB2312" w:cs="仿宋_GB2312"/>
      <w:color w:val="000000"/>
      <w:sz w:val="22"/>
      <w:szCs w:val="22"/>
      <w:u w:val="none"/>
    </w:rPr>
  </w:style>
  <w:style w:type="character" w:customStyle="1" w:styleId="43">
    <w:name w:val="font121"/>
    <w:basedOn w:val="21"/>
    <w:qFormat/>
    <w:uiPriority w:val="0"/>
    <w:rPr>
      <w:rFonts w:hint="default" w:ascii="Times New Roman" w:hAnsi="Times New Roman" w:cs="Times New Roman"/>
      <w:color w:val="000000"/>
      <w:sz w:val="22"/>
      <w:szCs w:val="22"/>
      <w:u w:val="none"/>
    </w:rPr>
  </w:style>
  <w:style w:type="character" w:customStyle="1" w:styleId="44">
    <w:name w:val="font71"/>
    <w:basedOn w:val="21"/>
    <w:qFormat/>
    <w:uiPriority w:val="0"/>
    <w:rPr>
      <w:rFonts w:hint="eastAsia" w:ascii="仿宋_GB2312" w:eastAsia="仿宋_GB2312" w:cs="仿宋_GB2312"/>
      <w:color w:val="000000"/>
      <w:sz w:val="22"/>
      <w:szCs w:val="22"/>
      <w:u w:val="none"/>
    </w:rPr>
  </w:style>
  <w:style w:type="character" w:customStyle="1" w:styleId="45">
    <w:name w:val="font91"/>
    <w:basedOn w:val="21"/>
    <w:qFormat/>
    <w:uiPriority w:val="0"/>
    <w:rPr>
      <w:rFonts w:hint="default" w:ascii="Times New Roman" w:hAnsi="Times New Roman" w:cs="Times New Roman"/>
      <w:color w:val="000000"/>
      <w:sz w:val="22"/>
      <w:szCs w:val="22"/>
      <w:u w:val="none"/>
    </w:rPr>
  </w:style>
  <w:style w:type="character" w:customStyle="1" w:styleId="46">
    <w:name w:val="font21"/>
    <w:basedOn w:val="21"/>
    <w:qFormat/>
    <w:uiPriority w:val="0"/>
    <w:rPr>
      <w:rFonts w:hint="eastAsia" w:ascii="仿宋_GB2312" w:eastAsia="仿宋_GB2312" w:cs="仿宋_GB2312"/>
      <w:b/>
      <w:color w:val="000000"/>
      <w:sz w:val="22"/>
      <w:szCs w:val="22"/>
      <w:u w:val="none"/>
    </w:rPr>
  </w:style>
  <w:style w:type="paragraph" w:customStyle="1" w:styleId="47">
    <w:name w:val="表格小字体"/>
    <w:basedOn w:val="6"/>
    <w:qFormat/>
    <w:uiPriority w:val="0"/>
    <w:pPr>
      <w:widowControl/>
      <w:spacing w:line="240" w:lineRule="auto"/>
      <w:ind w:firstLine="0" w:firstLineChars="0"/>
      <w:jc w:val="center"/>
      <w:textAlignment w:val="center"/>
    </w:pPr>
    <w:rPr>
      <w:rFonts w:hint="eastAsia" w:ascii="Times New Roman" w:hAnsi="Times New Roman" w:eastAsia="仿宋_GB2312" w:cs="Times New Roman"/>
      <w:bCs/>
      <w:color w:val="000000"/>
      <w:sz w:val="22"/>
      <w:u w:val="none"/>
      <w:lang w:bidi="ar"/>
    </w:rPr>
  </w:style>
  <w:style w:type="character" w:customStyle="1" w:styleId="48">
    <w:name w:val="font111"/>
    <w:basedOn w:val="21"/>
    <w:qFormat/>
    <w:uiPriority w:val="0"/>
    <w:rPr>
      <w:rFonts w:hint="eastAsia" w:ascii="仿宋_GB2312" w:eastAsia="仿宋_GB2312" w:cs="仿宋_GB2312"/>
      <w:color w:val="000000"/>
      <w:sz w:val="24"/>
      <w:szCs w:val="24"/>
      <w:u w:val="none"/>
    </w:rPr>
  </w:style>
  <w:style w:type="character" w:customStyle="1" w:styleId="49">
    <w:name w:val="font122"/>
    <w:basedOn w:val="21"/>
    <w:qFormat/>
    <w:uiPriority w:val="0"/>
    <w:rPr>
      <w:rFonts w:hint="eastAsia" w:ascii="仿宋_GB2312" w:eastAsia="仿宋_GB2312" w:cs="仿宋_GB2312"/>
      <w:color w:val="000000"/>
      <w:sz w:val="22"/>
      <w:szCs w:val="22"/>
      <w:u w:val="none"/>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安策正文"/>
    <w:basedOn w:val="1"/>
    <w:link w:val="53"/>
    <w:qFormat/>
    <w:uiPriority w:val="0"/>
    <w:pPr>
      <w:spacing w:line="560" w:lineRule="exact"/>
      <w:ind w:firstLine="640" w:firstLineChars="200"/>
    </w:pPr>
    <w:rPr>
      <w:rFonts w:ascii="Times New Roman" w:hAnsi="Times New Roman" w:eastAsia="仿宋"/>
      <w:sz w:val="32"/>
      <w:szCs w:val="32"/>
    </w:rPr>
  </w:style>
  <w:style w:type="character" w:customStyle="1" w:styleId="53">
    <w:name w:val="安策正文 Char"/>
    <w:link w:val="52"/>
    <w:qFormat/>
    <w:uiPriority w:val="0"/>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2020-10-30T02:56:00Z</dcterms:created>
  <dc:creator>Administrator</dc:creator>
  <cp:lastModifiedBy>李闪闪</cp:lastModifiedBy>
  <dcterms:modified xsi:type="dcterms:W3CDTF">2022-02-25T03:28:08Z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0524A843C26544AFBE5E6775814E92CD</vt:lpwstr>
  </property>
</Properties>
</file>