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栏杆街道2021年政府信息公开工作年度报告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firstLineChars="200"/>
      </w:pPr>
      <w:r>
        <w:rPr>
          <w:rFonts w:hint="default" w:ascii="Helvetica" w:hAnsi="Helvetica" w:eastAsia="Helvetica" w:cs="Helvetica"/>
          <w:i w:val="0"/>
          <w:caps w:val="0"/>
          <w:color w:val="000000"/>
          <w:spacing w:val="0"/>
          <w:sz w:val="24"/>
          <w:szCs w:val="24"/>
          <w:bdr w:val="none" w:color="auto" w:sz="0" w:space="0"/>
        </w:rPr>
        <w:t>栏杆街道政务公开工作以认真贯彻落实《条例》为重点，把政府信息公开工作与规范化服务型政府建设提升机关行政效能工作紧密结合，紧紧围绕全街道中心工作和公众关切，不断推进政府信息公开，拓展深化公开领域，提高依法行政透明度，加大宣传和培训力度，加强对行政权力的监督，继续扩大公开范围，深化公开内容，严格信息公开审核制度，规范公开程序、时间和形式，明确了相关责任，继续完善了《淮滨县栏杆街道政务公开制度》等相关机制，加强对政府信息公开的领导和督促检查力度，同时创新公开形式，按照“五有”标准政府信息公开工作取得了良好的成效。按照街道政务公开工作要求积极开展工作，顺利完成了2021年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主动公开政府信息总数29条。其中概况信息类11条，占总数的37.9% ；计划总结信息类9条，占总数的31.1% ；工作动态信息数8条，占总数的27.5% ；行政执法信息数2 ,占总数的6.8%。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bookmarkStart w:id="0" w:name="_GoBack"/>
            <w:bookmarkEnd w:id="0"/>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(一)工作中存在的主要问题: 一是公开形式与群众的需要还有差距，政府信息公开渠道单一,关注度不够;二是信息公开目录更新不及时。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(二)2022年推进政府信息是公开工作的改进措施。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继续创新公开形式,通过线上线下多渠道开展政务公开,加强对工作人员的培训力度。进-步提高政府信息公开工作的质量和时效。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05AAA"/>
    <w:rsid w:val="2CC05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2022-02-17T02:16:00Z</dcterms:created>
  <dc:creator>一米阳光几度温暖</dc:creator>
  <cp:lastModifiedBy>一米阳光几度温暖</cp:lastModifiedBy>
  <dcterms:modified xsi:type="dcterms:W3CDTF">2022-02-17T02:16:40Z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