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马集镇财税所</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马集镇财税所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djustRightInd w:val="0"/>
        <w:snapToGrid w:val="0"/>
        <w:spacing w:line="360" w:lineRule="auto"/>
        <w:ind w:right="51" w:firstLine="320" w:firstLineChars="100"/>
        <w:jc w:val="left"/>
        <w:rPr>
          <w:rFonts w:hint="eastAsia" w:ascii="仿宋" w:hAnsi="仿宋" w:eastAsia="仿宋" w:cs="仿宋"/>
          <w:w w:val="99"/>
          <w:sz w:val="32"/>
          <w:szCs w:val="32"/>
        </w:rPr>
      </w:pPr>
      <w:r>
        <w:rPr>
          <w:rFonts w:hint="eastAsia" w:ascii="仿宋" w:hAnsi="仿宋" w:eastAsia="仿宋" w:cs="仿宋"/>
          <w:sz w:val="32"/>
          <w:szCs w:val="32"/>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val="en-US" w:eastAsia="zh-CN"/>
        </w:rPr>
        <w:t>马集镇财税所</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Times New Roman"/>
          <w:spacing w:val="-5"/>
          <w:sz w:val="32"/>
          <w:szCs w:val="32"/>
          <w:lang w:val="en-US" w:eastAsia="zh-CN"/>
        </w:rPr>
        <w:t>马集镇财税所</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马集镇财税所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left="200" w:leftChars="0" w:firstLine="640" w:firstLineChars="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Times New Roman"/>
          <w:spacing w:val="-5"/>
          <w:sz w:val="32"/>
          <w:szCs w:val="32"/>
          <w:lang w:val="en-US" w:eastAsia="zh-CN"/>
        </w:rPr>
        <w:t>马集镇财税所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r>
        <w:rPr>
          <w:rFonts w:hint="eastAsia" w:ascii="仿宋" w:hAnsi="仿宋" w:eastAsia="仿宋" w:cs="仿宋"/>
          <w:kern w:val="2"/>
          <w:sz w:val="32"/>
          <w:szCs w:val="32"/>
          <w:lang w:val="en-US" w:eastAsia="zh-CN" w:bidi="ar-SA"/>
        </w:rPr>
        <w:t>淮滨县</w:t>
      </w:r>
      <w:r>
        <w:rPr>
          <w:rFonts w:hint="eastAsia" w:cs="仿宋"/>
          <w:kern w:val="2"/>
          <w:sz w:val="32"/>
          <w:szCs w:val="32"/>
          <w:lang w:val="en-US" w:eastAsia="zh-CN" w:bidi="ar-SA"/>
        </w:rPr>
        <w:t>马集</w:t>
      </w:r>
      <w:r>
        <w:rPr>
          <w:rFonts w:hint="eastAsia" w:ascii="仿宋" w:hAnsi="仿宋" w:eastAsia="仿宋" w:cs="仿宋"/>
          <w:kern w:val="2"/>
          <w:sz w:val="32"/>
          <w:szCs w:val="32"/>
          <w:lang w:val="en-US" w:eastAsia="zh-CN" w:bidi="ar-SA"/>
        </w:rPr>
        <w:t>镇财税所</w:t>
      </w:r>
      <w:r>
        <w:rPr>
          <w:rFonts w:ascii="仿宋_GB2312" w:hAnsi="仿宋_GB2312" w:eastAsia="仿宋_GB2312" w:cs="仿宋_GB2312"/>
          <w:bCs/>
          <w:szCs w:val="32"/>
        </w:rPr>
        <w:t>主要职责是：</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1、负责乡镇财政预决算编制、预算执行、预算调整和预算内外收支管理；</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2、负责乡镇政府预算单位的财务管理和核算；</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3、负责村级资金专户存储、核拨和监督管理；</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4、负责在职人员工资发放、五险一金等业务的缴纳及办理、遗嘱定补及离休人员补贴发放；</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5、承办乡镇党委、政府及上级财政部门交办的其他事项。</w:t>
      </w:r>
    </w:p>
    <w:p>
      <w:pPr>
        <w:kinsoku w:val="0"/>
        <w:overflowPunct w:val="0"/>
        <w:adjustRightInd w:val="0"/>
        <w:snapToGrid w:val="0"/>
        <w:spacing w:line="360" w:lineRule="auto"/>
        <w:ind w:right="51" w:firstLine="643" w:firstLineChars="2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b/>
          <w:bCs/>
          <w:color w:val="000000"/>
          <w:sz w:val="32"/>
          <w:szCs w:val="32"/>
          <w:lang w:eastAsia="zh-CN"/>
        </w:rPr>
        <w:t>淮滨县马集镇财政所</w:t>
      </w:r>
      <w:bookmarkStart w:id="0" w:name="_GoBack"/>
      <w:bookmarkEnd w:id="0"/>
      <w:r>
        <w:rPr>
          <w:rFonts w:hint="eastAsia" w:ascii="仿宋_GB2312" w:hAnsi="仿宋_GB2312" w:eastAsia="仿宋_GB2312" w:cs="仿宋_GB2312"/>
          <w:b/>
          <w:bCs/>
          <w:color w:val="000000"/>
          <w:sz w:val="32"/>
          <w:szCs w:val="32"/>
        </w:rPr>
        <w:t>内设机构设置情况</w:t>
      </w:r>
    </w:p>
    <w:p>
      <w:pPr>
        <w:numPr>
          <w:ilvl w:val="0"/>
          <w:numId w:val="0"/>
        </w:numPr>
        <w:ind w:firstLine="640" w:firstLineChars="200"/>
        <w:jc w:val="left"/>
        <w:rPr>
          <w:rFonts w:hint="eastAsia" w:ascii="仿宋" w:hAnsi="仿宋" w:eastAsia="仿宋" w:cs="仿宋"/>
          <w:sz w:val="32"/>
          <w:szCs w:val="32"/>
          <w:lang w:val="en-US" w:eastAsia="zh-CN"/>
        </w:rPr>
      </w:pPr>
      <w:r>
        <w:rPr>
          <w:rFonts w:hint="eastAsia" w:ascii="仿宋" w:hAnsi="仿宋" w:eastAsia="仿宋" w:cs="仿宋"/>
          <w:bCs/>
          <w:sz w:val="32"/>
          <w:szCs w:val="32"/>
          <w:lang w:eastAsia="zh-CN"/>
        </w:rPr>
        <w:t>马集镇财政所</w:t>
      </w:r>
      <w:r>
        <w:rPr>
          <w:rFonts w:hint="eastAsia" w:ascii="仿宋" w:hAnsi="仿宋" w:eastAsia="仿宋" w:cs="仿宋"/>
          <w:bCs/>
          <w:sz w:val="32"/>
          <w:szCs w:val="32"/>
          <w:lang w:val="en-US" w:eastAsia="zh-CN"/>
        </w:rPr>
        <w:t>为淮滨县财政局下属的二级机构，无内设机构和下设机构。</w:t>
      </w:r>
    </w:p>
    <w:p>
      <w:pPr>
        <w:pStyle w:val="3"/>
        <w:numPr>
          <w:ilvl w:val="0"/>
          <w:numId w:val="0"/>
        </w:numPr>
        <w:tabs>
          <w:tab w:val="left" w:pos="880"/>
        </w:tabs>
        <w:kinsoku w:val="0"/>
        <w:overflowPunct w:val="0"/>
        <w:spacing w:before="0"/>
        <w:ind w:left="840" w:leftChars="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hint="eastAsia" w:ascii="黑体" w:hAnsi="黑体" w:eastAsia="黑体" w:cs="Times New Roman"/>
          <w:spacing w:val="-5"/>
          <w:sz w:val="32"/>
          <w:szCs w:val="32"/>
          <w:lang w:val="en-US" w:eastAsia="zh-CN"/>
        </w:rPr>
        <w:t>马集镇财税所</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w:t>
      </w:r>
      <w:r>
        <w:rPr>
          <w:rFonts w:hint="eastAsia" w:ascii="仿宋_GB2312" w:hAnsi="仿宋_GB2312" w:eastAsia="仿宋_GB2312" w:cs="仿宋_GB2312"/>
          <w:bCs/>
          <w:sz w:val="32"/>
          <w:szCs w:val="32"/>
          <w:lang w:val="en-US" w:eastAsia="zh-CN"/>
        </w:rPr>
        <w:t>马集镇财税所</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w:t>
      </w:r>
      <w:r>
        <w:rPr>
          <w:rFonts w:hint="eastAsia" w:ascii="仿宋_GB2312" w:hAnsi="仿宋_GB2312" w:eastAsia="仿宋_GB2312" w:cs="仿宋_GB2312"/>
          <w:bCs/>
          <w:sz w:val="32"/>
          <w:szCs w:val="32"/>
          <w:lang w:val="en-US" w:eastAsia="zh-CN"/>
        </w:rPr>
        <w:t>马集</w:t>
      </w:r>
      <w:r>
        <w:rPr>
          <w:rFonts w:hint="eastAsia" w:ascii="仿宋" w:hAnsi="仿宋" w:eastAsia="仿宋" w:cs="仿宋"/>
          <w:sz w:val="32"/>
          <w:szCs w:val="32"/>
          <w:lang w:eastAsia="zh-CN"/>
        </w:rPr>
        <w:t>镇</w:t>
      </w:r>
      <w:r>
        <w:rPr>
          <w:rFonts w:hint="eastAsia" w:ascii="仿宋_GB2312" w:hAnsi="仿宋_GB2312" w:eastAsia="仿宋_GB2312" w:cs="仿宋_GB2312"/>
          <w:bCs/>
          <w:sz w:val="32"/>
          <w:szCs w:val="32"/>
          <w:lang w:eastAsia="zh-CN"/>
        </w:rPr>
        <w:t>财税所</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，马集镇财政所为淮滨县财政局二级机构，</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马集镇财税所</w:t>
      </w:r>
      <w:r>
        <w:rPr>
          <w:rFonts w:hint="eastAsia" w:ascii="黑体" w:hAnsi="黑体" w:eastAsia="黑体" w:cs="黑体"/>
          <w:b/>
          <w:bCs/>
          <w:sz w:val="36"/>
          <w:szCs w:val="36"/>
          <w:lang w:eastAsia="zh-CN"/>
        </w:rPr>
        <w:t>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szCs w:val="32"/>
          <w:lang w:eastAsia="zh-CN"/>
        </w:rPr>
        <w:t>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66.78</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66.78</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2.84</w:t>
      </w:r>
      <w:r>
        <w:rPr>
          <w:rFonts w:hint="eastAsia" w:ascii="仿宋" w:hAnsi="仿宋" w:eastAsia="仿宋" w:cs="仿宋"/>
          <w:sz w:val="32"/>
          <w:szCs w:val="32"/>
        </w:rPr>
        <w:t>万元，增长</w:t>
      </w:r>
      <w:r>
        <w:rPr>
          <w:rFonts w:hint="eastAsia" w:ascii="仿宋" w:hAnsi="仿宋" w:eastAsia="仿宋" w:cs="仿宋"/>
          <w:sz w:val="32"/>
          <w:szCs w:val="32"/>
          <w:lang w:val="en-US" w:eastAsia="zh-CN"/>
        </w:rPr>
        <w:t>4.44</w:t>
      </w:r>
      <w:r>
        <w:rPr>
          <w:rFonts w:hint="eastAsia" w:ascii="仿宋" w:hAnsi="仿宋" w:eastAsia="仿宋" w:cs="仿宋"/>
          <w:sz w:val="32"/>
          <w:szCs w:val="32"/>
        </w:rPr>
        <w:t>%。主要原因是</w:t>
      </w:r>
      <w:r>
        <w:rPr>
          <w:rFonts w:hint="eastAsia" w:ascii="仿宋" w:hAnsi="仿宋" w:eastAsia="仿宋" w:cs="仿宋"/>
          <w:sz w:val="32"/>
          <w:szCs w:val="32"/>
          <w:lang w:eastAsia="zh-CN"/>
        </w:rPr>
        <w:t>人员工资调增</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lang w:eastAsia="zh-CN"/>
        </w:rPr>
        <w:t>2023</w:t>
      </w:r>
      <w:r>
        <w:rPr>
          <w:rFonts w:hint="eastAsia" w:ascii="仿宋" w:hAnsi="仿宋" w:eastAsia="仿宋" w:cs="仿宋"/>
          <w:sz w:val="32"/>
        </w:rPr>
        <w:t>年收入合计</w:t>
      </w:r>
      <w:r>
        <w:rPr>
          <w:rFonts w:hint="eastAsia" w:ascii="仿宋" w:hAnsi="仿宋" w:eastAsia="仿宋" w:cs="仿宋"/>
          <w:sz w:val="32"/>
          <w:szCs w:val="32"/>
          <w:lang w:val="en-US" w:eastAsia="zh-CN"/>
        </w:rPr>
        <w:t>66.78</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66.78</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lang w:eastAsia="zh-CN"/>
        </w:rPr>
        <w:t>2023</w:t>
      </w:r>
      <w:r>
        <w:rPr>
          <w:rFonts w:hint="eastAsia" w:ascii="仿宋" w:hAnsi="仿宋" w:eastAsia="仿宋" w:cs="仿宋"/>
          <w:sz w:val="32"/>
        </w:rPr>
        <w:t>年支出合计</w:t>
      </w:r>
      <w:r>
        <w:rPr>
          <w:rFonts w:hint="eastAsia" w:ascii="仿宋" w:hAnsi="仿宋" w:eastAsia="仿宋" w:cs="仿宋"/>
          <w:sz w:val="32"/>
          <w:szCs w:val="32"/>
          <w:lang w:val="en-US" w:eastAsia="zh-CN"/>
        </w:rPr>
        <w:t>66.78</w:t>
      </w:r>
      <w:r>
        <w:rPr>
          <w:rFonts w:hint="eastAsia" w:ascii="仿宋" w:hAnsi="仿宋" w:eastAsia="仿宋" w:cs="仿宋"/>
          <w:sz w:val="32"/>
        </w:rPr>
        <w:t>万元，其中：基本支出</w:t>
      </w:r>
      <w:r>
        <w:rPr>
          <w:rFonts w:hint="eastAsia" w:ascii="仿宋" w:hAnsi="仿宋" w:eastAsia="仿宋" w:cs="仿宋"/>
          <w:sz w:val="32"/>
          <w:szCs w:val="32"/>
          <w:lang w:val="en-US" w:eastAsia="zh-CN"/>
        </w:rPr>
        <w:t>66.78</w:t>
      </w:r>
      <w:r>
        <w:rPr>
          <w:rFonts w:hint="eastAsia" w:ascii="仿宋" w:hAnsi="仿宋" w:eastAsia="仿宋" w:cs="仿宋"/>
          <w:sz w:val="32"/>
        </w:rPr>
        <w:t>万元，占</w:t>
      </w:r>
      <w:r>
        <w:rPr>
          <w:rFonts w:hint="eastAsia" w:ascii="仿宋" w:hAnsi="仿宋" w:eastAsia="仿宋" w:cs="仿宋"/>
          <w:sz w:val="32"/>
          <w:lang w:val="en-US" w:eastAsia="zh-CN"/>
        </w:rPr>
        <w:t>100</w:t>
      </w:r>
      <w:r>
        <w:rPr>
          <w:rFonts w:hint="eastAsia" w:ascii="仿宋" w:hAnsi="仿宋" w:eastAsia="仿宋" w:cs="仿宋"/>
          <w:sz w:val="32"/>
        </w:rPr>
        <w:t>%；项目支出</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lang w:eastAsia="zh-CN"/>
        </w:rPr>
        <w:t>2023</w:t>
      </w:r>
      <w:r>
        <w:rPr>
          <w:rFonts w:hint="eastAsia" w:ascii="仿宋" w:hAnsi="仿宋" w:eastAsia="仿宋" w:cs="仿宋"/>
          <w:sz w:val="32"/>
        </w:rPr>
        <w:t>年一般公共预算收支预算</w:t>
      </w:r>
      <w:r>
        <w:rPr>
          <w:rFonts w:hint="eastAsia" w:ascii="仿宋" w:hAnsi="仿宋" w:eastAsia="仿宋" w:cs="仿宋"/>
          <w:sz w:val="32"/>
          <w:szCs w:val="32"/>
          <w:lang w:val="en-US" w:eastAsia="zh-CN"/>
        </w:rPr>
        <w:t>66.78</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年相比，一般公共预算收支预算增加</w:t>
      </w:r>
      <w:r>
        <w:rPr>
          <w:rFonts w:hint="eastAsia" w:ascii="仿宋" w:hAnsi="仿宋" w:eastAsia="仿宋" w:cs="仿宋"/>
          <w:sz w:val="32"/>
          <w:szCs w:val="32"/>
          <w:lang w:val="en-US" w:eastAsia="zh-CN"/>
        </w:rPr>
        <w:t>2.84</w:t>
      </w:r>
      <w:r>
        <w:rPr>
          <w:rFonts w:hint="eastAsia" w:ascii="仿宋" w:hAnsi="仿宋" w:eastAsia="仿宋" w:cs="仿宋"/>
          <w:sz w:val="32"/>
          <w:szCs w:val="32"/>
        </w:rPr>
        <w:t>万元，增长</w:t>
      </w:r>
      <w:r>
        <w:rPr>
          <w:rFonts w:hint="eastAsia" w:ascii="仿宋" w:hAnsi="仿宋" w:eastAsia="仿宋" w:cs="仿宋"/>
          <w:sz w:val="32"/>
          <w:szCs w:val="32"/>
          <w:lang w:val="en-US" w:eastAsia="zh-CN"/>
        </w:rPr>
        <w:t>4.44</w:t>
      </w:r>
      <w:r>
        <w:rPr>
          <w:rFonts w:hint="eastAsia" w:ascii="仿宋" w:hAnsi="仿宋" w:eastAsia="仿宋" w:cs="仿宋"/>
          <w:sz w:val="32"/>
          <w:szCs w:val="32"/>
        </w:rPr>
        <w:t>%</w:t>
      </w:r>
      <w:r>
        <w:rPr>
          <w:rFonts w:hint="eastAsia" w:ascii="仿宋" w:hAnsi="仿宋" w:eastAsia="仿宋" w:cs="仿宋"/>
          <w:sz w:val="32"/>
        </w:rPr>
        <w:t>，主要原因是</w:t>
      </w:r>
      <w:r>
        <w:rPr>
          <w:rFonts w:hint="eastAsia" w:ascii="仿宋" w:hAnsi="仿宋" w:eastAsia="仿宋" w:cs="仿宋"/>
          <w:sz w:val="32"/>
          <w:lang w:eastAsia="zh-CN"/>
        </w:rPr>
        <w:t>人员工资调增</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lang w:eastAsia="zh-CN"/>
        </w:rPr>
        <w:t>2023</w:t>
      </w:r>
      <w:r>
        <w:rPr>
          <w:rFonts w:hint="eastAsia" w:ascii="仿宋" w:hAnsi="仿宋" w:eastAsia="仿宋" w:cs="仿宋"/>
          <w:sz w:val="32"/>
        </w:rPr>
        <w:t>年一般公共预算支出年初预算为</w:t>
      </w:r>
      <w:r>
        <w:rPr>
          <w:rFonts w:hint="eastAsia" w:ascii="仿宋" w:hAnsi="仿宋" w:eastAsia="仿宋" w:cs="仿宋"/>
          <w:sz w:val="32"/>
          <w:szCs w:val="32"/>
          <w:lang w:val="en-US" w:eastAsia="zh-CN"/>
        </w:rPr>
        <w:t>66.78</w:t>
      </w:r>
      <w:r>
        <w:rPr>
          <w:rFonts w:hint="eastAsia" w:ascii="仿宋" w:hAnsi="仿宋" w:eastAsia="仿宋" w:cs="仿宋"/>
          <w:sz w:val="32"/>
        </w:rPr>
        <w:t>万元。其中：基本支出</w:t>
      </w:r>
      <w:r>
        <w:rPr>
          <w:rFonts w:hint="eastAsia" w:ascii="仿宋" w:hAnsi="仿宋" w:eastAsia="仿宋" w:cs="仿宋"/>
          <w:sz w:val="32"/>
          <w:szCs w:val="32"/>
          <w:lang w:val="en-US" w:eastAsia="zh-CN"/>
        </w:rPr>
        <w:t>66.78</w:t>
      </w:r>
      <w:r>
        <w:rPr>
          <w:rFonts w:hint="eastAsia" w:ascii="仿宋" w:hAnsi="仿宋" w:eastAsia="仿宋" w:cs="仿宋"/>
          <w:sz w:val="32"/>
        </w:rPr>
        <w:t>万元，占</w:t>
      </w:r>
      <w:r>
        <w:rPr>
          <w:rFonts w:hint="eastAsia" w:ascii="仿宋" w:hAnsi="仿宋" w:eastAsia="仿宋" w:cs="仿宋"/>
          <w:sz w:val="32"/>
          <w:lang w:val="en-US" w:eastAsia="zh-CN"/>
        </w:rPr>
        <w:t>100</w:t>
      </w:r>
      <w:r>
        <w:rPr>
          <w:rFonts w:hint="eastAsia" w:ascii="仿宋" w:hAnsi="仿宋" w:eastAsia="仿宋" w:cs="仿宋"/>
          <w:sz w:val="32"/>
        </w:rPr>
        <w:t>%;项支出</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szCs w:val="32"/>
          <w:lang w:val="en-US" w:eastAsia="zh-CN"/>
        </w:rPr>
        <w:t>马集镇财税所</w:t>
      </w:r>
      <w:r>
        <w:rPr>
          <w:rFonts w:hint="eastAsia" w:ascii="仿宋" w:hAnsi="仿宋" w:eastAsia="仿宋" w:cs="仿宋"/>
          <w:color w:val="000000"/>
          <w:sz w:val="32"/>
          <w:szCs w:val="32"/>
          <w:lang w:eastAsia="zh-CN"/>
        </w:rPr>
        <w:t>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sz w:val="32"/>
          <w:szCs w:val="32"/>
          <w:lang w:val="en-US" w:eastAsia="zh-CN"/>
        </w:rPr>
        <w:t>66.78</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60.18</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90</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6.6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10</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val="en-US" w:eastAsia="zh-CN"/>
        </w:rPr>
        <w:t>马集镇财税所</w:t>
      </w:r>
      <w:r>
        <w:rPr>
          <w:rFonts w:hint="eastAsia" w:ascii="仿宋" w:hAnsi="仿宋" w:eastAsia="仿宋" w:cs="仿宋"/>
          <w:sz w:val="32"/>
          <w:szCs w:val="32"/>
          <w:lang w:eastAsia="zh-CN"/>
        </w:rPr>
        <w:t>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hint="eastAsia"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numPr>
          <w:ilvl w:val="0"/>
          <w:numId w:val="0"/>
        </w:numPr>
        <w:ind w:left="630" w:leftChars="0" w:firstLine="640" w:firstLineChars="200"/>
        <w:jc w:val="left"/>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年本</w:t>
      </w:r>
      <w:r>
        <w:rPr>
          <w:rFonts w:hint="eastAsia" w:ascii="仿宋_GB2312" w:eastAsia="仿宋_GB2312"/>
          <w:sz w:val="32"/>
          <w:szCs w:val="32"/>
          <w:lang w:eastAsia="zh-CN"/>
        </w:rPr>
        <w:t>单位</w:t>
      </w:r>
      <w:r>
        <w:rPr>
          <w:rFonts w:hint="eastAsia" w:ascii="仿宋_GB2312" w:eastAsia="仿宋_GB2312"/>
          <w:sz w:val="32"/>
          <w:szCs w:val="32"/>
        </w:rPr>
        <w:t>没有政府性基金预算拨款收入，也没有政府性基金预算安排的支出，故无数据情况说明。</w:t>
      </w:r>
    </w:p>
    <w:p>
      <w:pPr>
        <w:numPr>
          <w:ilvl w:val="0"/>
          <w:numId w:val="0"/>
        </w:numPr>
        <w:ind w:firstLine="643" w:firstLineChars="200"/>
        <w:jc w:val="left"/>
        <w:rPr>
          <w:rFonts w:ascii="黑体" w:hAnsi="黑体" w:eastAsia="黑体"/>
          <w:b/>
          <w:bCs/>
          <w:sz w:val="32"/>
        </w:rPr>
      </w:pPr>
      <w:r>
        <w:rPr>
          <w:rFonts w:hint="eastAsia" w:ascii="仿宋_GB2312" w:eastAsia="仿宋_GB2312"/>
          <w:b/>
          <w:bCs/>
          <w:sz w:val="32"/>
          <w:szCs w:val="32"/>
          <w:lang w:eastAsia="zh-CN"/>
        </w:rPr>
        <w:t>九、</w:t>
      </w:r>
      <w:r>
        <w:rPr>
          <w:rFonts w:hint="eastAsia" w:ascii="黑体" w:hAnsi="黑体" w:eastAsia="黑体"/>
          <w:b/>
          <w:bCs/>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年机构运行经费支出预算</w:t>
      </w:r>
      <w:r>
        <w:rPr>
          <w:rFonts w:hint="eastAsia" w:ascii="仿宋" w:hAnsi="仿宋" w:eastAsia="仿宋" w:cs="仿宋"/>
          <w:sz w:val="32"/>
          <w:lang w:val="en-US" w:eastAsia="zh-CN"/>
        </w:rPr>
        <w:t>5</w:t>
      </w:r>
      <w:r>
        <w:rPr>
          <w:rFonts w:hint="eastAsia" w:ascii="仿宋" w:hAnsi="仿宋" w:eastAsia="仿宋" w:cs="仿宋"/>
          <w:sz w:val="32"/>
        </w:rPr>
        <w:t>万元，</w:t>
      </w:r>
      <w:r>
        <w:rPr>
          <w:rFonts w:hint="eastAsia" w:ascii="仿宋" w:hAnsi="仿宋" w:eastAsia="仿宋" w:cs="仿宋"/>
          <w:sz w:val="32"/>
          <w:lang w:val="en-US" w:eastAsia="zh-CN"/>
        </w:rPr>
        <w:t>与2022年预算一致，</w:t>
      </w:r>
      <w:r>
        <w:rPr>
          <w:rFonts w:hint="eastAsia" w:ascii="仿宋" w:hAnsi="仿宋" w:eastAsia="仿宋" w:cs="仿宋"/>
          <w:sz w:val="32"/>
        </w:rPr>
        <w:t>机构运行经费支出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2023年马集镇财政所部门部门预算金额共计57.13万元，其中项目共0个，金额为0万元。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val="en-US" w:eastAsia="zh-CN"/>
        </w:rPr>
        <w:t>2023年无</w:t>
      </w:r>
      <w:r>
        <w:rPr>
          <w:rFonts w:hint="eastAsia" w:ascii="仿宋" w:hAnsi="仿宋" w:eastAsia="仿宋" w:cs="仿宋"/>
          <w:sz w:val="32"/>
        </w:rPr>
        <w:t>专项转移支付项目。</w:t>
      </w:r>
    </w:p>
    <w:p>
      <w:pPr>
        <w:rPr>
          <w:rFonts w:ascii="黑体" w:hAnsi="黑体" w:eastAsia="黑体"/>
          <w:b/>
          <w:bCs/>
          <w:sz w:val="36"/>
          <w:szCs w:val="36"/>
        </w:rPr>
      </w:pPr>
    </w:p>
    <w:p>
      <w:pPr>
        <w:jc w:val="both"/>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val="en-US" w:eastAsia="zh-CN"/>
        </w:rPr>
        <w:t>马集镇财税所</w:t>
      </w:r>
      <w:r>
        <w:rPr>
          <w:rFonts w:hint="eastAsia" w:ascii="黑体" w:hAnsi="黑体" w:eastAsia="黑体" w:cs="黑体"/>
          <w:sz w:val="32"/>
          <w:lang w:eastAsia="zh-CN"/>
        </w:rPr>
        <w:t>2023</w:t>
      </w:r>
      <w:r>
        <w:rPr>
          <w:rFonts w:hint="eastAsia" w:ascii="黑体" w:hAnsi="黑体" w:eastAsia="黑体" w:cs="黑体"/>
          <w:sz w:val="32"/>
        </w:rPr>
        <w:t>年部门预算表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pPr>
        <w:ind w:left="80"/>
      </w:pPr>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c90cc9ae-f7da-4ec6-bb40-1f27406797d5"/>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70F1F"/>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5720193"/>
    <w:rsid w:val="06440A7A"/>
    <w:rsid w:val="068161B4"/>
    <w:rsid w:val="071D4AEC"/>
    <w:rsid w:val="07D676E6"/>
    <w:rsid w:val="084542FA"/>
    <w:rsid w:val="0A6251B2"/>
    <w:rsid w:val="0D0F4ED6"/>
    <w:rsid w:val="0D472557"/>
    <w:rsid w:val="0D513137"/>
    <w:rsid w:val="10602789"/>
    <w:rsid w:val="123258EF"/>
    <w:rsid w:val="12EF1A32"/>
    <w:rsid w:val="144A1E7D"/>
    <w:rsid w:val="14E761F7"/>
    <w:rsid w:val="15F07B94"/>
    <w:rsid w:val="160A1049"/>
    <w:rsid w:val="173B6758"/>
    <w:rsid w:val="191C5F4B"/>
    <w:rsid w:val="1B351FAC"/>
    <w:rsid w:val="1CA53161"/>
    <w:rsid w:val="1D0460DA"/>
    <w:rsid w:val="1D2E3157"/>
    <w:rsid w:val="1F046865"/>
    <w:rsid w:val="1FE67D19"/>
    <w:rsid w:val="20947919"/>
    <w:rsid w:val="228003BD"/>
    <w:rsid w:val="228C104B"/>
    <w:rsid w:val="246B28E3"/>
    <w:rsid w:val="24DA1A42"/>
    <w:rsid w:val="27184C38"/>
    <w:rsid w:val="274F7F6E"/>
    <w:rsid w:val="279A1B15"/>
    <w:rsid w:val="27A42993"/>
    <w:rsid w:val="28196722"/>
    <w:rsid w:val="28270A41"/>
    <w:rsid w:val="28447CD2"/>
    <w:rsid w:val="2AA67AA4"/>
    <w:rsid w:val="2AA8279A"/>
    <w:rsid w:val="2ACE5F14"/>
    <w:rsid w:val="2C081B10"/>
    <w:rsid w:val="2C421D81"/>
    <w:rsid w:val="2D4A0B6E"/>
    <w:rsid w:val="2E71497A"/>
    <w:rsid w:val="2F072B71"/>
    <w:rsid w:val="2F8530AA"/>
    <w:rsid w:val="305F2FC5"/>
    <w:rsid w:val="32476D3D"/>
    <w:rsid w:val="33ED121E"/>
    <w:rsid w:val="3402116D"/>
    <w:rsid w:val="34030A42"/>
    <w:rsid w:val="34E010E6"/>
    <w:rsid w:val="358856A2"/>
    <w:rsid w:val="3699743B"/>
    <w:rsid w:val="38237904"/>
    <w:rsid w:val="3872263A"/>
    <w:rsid w:val="394D2959"/>
    <w:rsid w:val="39D84127"/>
    <w:rsid w:val="3A2B0CF2"/>
    <w:rsid w:val="3A865F28"/>
    <w:rsid w:val="3C1F6635"/>
    <w:rsid w:val="3D523315"/>
    <w:rsid w:val="3E5A6C85"/>
    <w:rsid w:val="3EA70BCD"/>
    <w:rsid w:val="419D0727"/>
    <w:rsid w:val="41FF59D4"/>
    <w:rsid w:val="43572B58"/>
    <w:rsid w:val="44D22067"/>
    <w:rsid w:val="45554E75"/>
    <w:rsid w:val="456A4DC4"/>
    <w:rsid w:val="469D4D26"/>
    <w:rsid w:val="46D01A4F"/>
    <w:rsid w:val="483D40CA"/>
    <w:rsid w:val="4B86222C"/>
    <w:rsid w:val="4BBC3BEF"/>
    <w:rsid w:val="4CC72AFC"/>
    <w:rsid w:val="4E10402F"/>
    <w:rsid w:val="519E1D35"/>
    <w:rsid w:val="564311EF"/>
    <w:rsid w:val="568F0A99"/>
    <w:rsid w:val="56CE6835"/>
    <w:rsid w:val="56E7105D"/>
    <w:rsid w:val="5CFF1E3E"/>
    <w:rsid w:val="61F061FA"/>
    <w:rsid w:val="630F5F92"/>
    <w:rsid w:val="63514A76"/>
    <w:rsid w:val="63E5525F"/>
    <w:rsid w:val="647F6552"/>
    <w:rsid w:val="64BB489D"/>
    <w:rsid w:val="65921CF6"/>
    <w:rsid w:val="65DB5214"/>
    <w:rsid w:val="660F4E5E"/>
    <w:rsid w:val="66A82BFF"/>
    <w:rsid w:val="67AE693B"/>
    <w:rsid w:val="67F105D6"/>
    <w:rsid w:val="69F65D89"/>
    <w:rsid w:val="6AAD2EDA"/>
    <w:rsid w:val="6C715A72"/>
    <w:rsid w:val="6CDC3E58"/>
    <w:rsid w:val="6D3F6849"/>
    <w:rsid w:val="6EEF1D13"/>
    <w:rsid w:val="71BD526D"/>
    <w:rsid w:val="726D1462"/>
    <w:rsid w:val="746F63D8"/>
    <w:rsid w:val="747B790C"/>
    <w:rsid w:val="75A37A3E"/>
    <w:rsid w:val="75E31EA6"/>
    <w:rsid w:val="768A2321"/>
    <w:rsid w:val="76D0242A"/>
    <w:rsid w:val="791401EC"/>
    <w:rsid w:val="792702FB"/>
    <w:rsid w:val="7B6C0247"/>
    <w:rsid w:val="7DBA08E6"/>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63.94</c:v>
                </c:pt>
                <c:pt idx="1">
                  <c:v>66.78</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63.94</c:v>
                </c:pt>
                <c:pt idx="1">
                  <c:v>66.78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66.78</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63.94</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63.94</c:v>
                </c:pt>
                <c:pt idx="1">
                  <c:v>66.78</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63.94</c:v>
                </c:pt>
                <c:pt idx="1">
                  <c:v>66.78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63.94</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60.18</c:v>
                </c:pt>
                <c:pt idx="1">
                  <c:v>6.6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2546</Words>
  <Characters>2738</Characters>
  <Lines>20</Lines>
  <Paragraphs>5</Paragraphs>
  <TotalTime>1</TotalTime>
  <ScaleCrop>false</ScaleCrop>
  <LinksUpToDate>false</LinksUpToDate>
  <CharactersWithSpaces>2766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2023-03-07T14:17:32Z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