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bookmarkStart w:id="0" w:name="_GoBack"/>
      <w:bookmarkEnd w:id="0"/>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202</w:t>
      </w:r>
      <w:r>
        <w:rPr>
          <w:rFonts w:hint="eastAsia" w:ascii="黑体" w:hAnsi="黑体" w:eastAsia="黑体" w:cs="黑体"/>
          <w:b/>
          <w:bCs/>
          <w:sz w:val="44"/>
          <w:szCs w:val="44"/>
          <w:lang w:val="en-US" w:eastAsia="zh-CN"/>
        </w:rPr>
        <w:t>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机关事务中心</w:t>
      </w:r>
      <w:r>
        <w:rPr>
          <w:rFonts w:hint="eastAsia" w:ascii="黑体" w:hAnsi="黑体" w:eastAsia="黑体" w:cs="黑体"/>
          <w:b/>
          <w:bCs/>
          <w:sz w:val="44"/>
          <w:szCs w:val="44"/>
        </w:rPr>
        <w:t>部门预算说明</w:t>
      </w:r>
    </w:p>
    <w:p>
      <w:pPr>
        <w:pStyle w:val="4"/>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4"/>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b w:val="0"/>
          <w:bCs w:val="0"/>
          <w:sz w:val="32"/>
          <w:szCs w:val="32"/>
          <w:lang w:val="en-US" w:eastAsia="zh-CN"/>
        </w:rPr>
        <w:t>机关事务中心</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宋体" w:hAnsi="宋体" w:eastAsia="宋体" w:cs="宋体"/>
          <w:w w:val="99"/>
          <w:sz w:val="32"/>
          <w:szCs w:val="32"/>
        </w:rPr>
      </w:pPr>
      <w:r>
        <w:rPr>
          <w:rFonts w:hint="eastAsia" w:ascii="宋体" w:hAnsi="宋体" w:eastAsia="宋体" w:cs="宋体"/>
          <w:sz w:val="32"/>
          <w:szCs w:val="32"/>
        </w:rPr>
        <w:t>一、主要职责</w:t>
      </w:r>
      <w:r>
        <w:rPr>
          <w:rFonts w:hint="eastAsia" w:ascii="宋体" w:hAnsi="宋体" w:eastAsia="宋体" w:cs="宋体"/>
          <w:w w:val="99"/>
          <w:sz w:val="32"/>
          <w:szCs w:val="32"/>
        </w:rPr>
        <w:t xml:space="preserve"> </w:t>
      </w:r>
    </w:p>
    <w:p>
      <w:pPr>
        <w:kinsoku w:val="0"/>
        <w:overflowPunct w:val="0"/>
        <w:autoSpaceDE w:val="0"/>
        <w:autoSpaceDN w:val="0"/>
        <w:adjustRightInd w:val="0"/>
        <w:spacing w:line="560" w:lineRule="exact"/>
        <w:ind w:firstLine="320" w:firstLineChars="100"/>
        <w:rPr>
          <w:rFonts w:hint="eastAsia" w:ascii="宋体" w:hAnsi="宋体" w:eastAsia="宋体" w:cs="宋体"/>
          <w:sz w:val="32"/>
          <w:szCs w:val="32"/>
        </w:rPr>
      </w:pPr>
      <w:r>
        <w:rPr>
          <w:rFonts w:hint="eastAsia" w:ascii="宋体" w:hAnsi="宋体" w:eastAsia="宋体" w:cs="宋体"/>
          <w:sz w:val="32"/>
          <w:szCs w:val="32"/>
        </w:rPr>
        <w:t>二、部门所属预算单位构成情况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Times New Roman"/>
          <w:spacing w:val="-5"/>
          <w:sz w:val="32"/>
          <w:szCs w:val="32"/>
          <w:lang w:val="en-US" w:eastAsia="zh-CN"/>
        </w:rPr>
        <w:t>机关事务中心</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黑体"/>
          <w:b w:val="0"/>
          <w:bCs w:val="0"/>
          <w:sz w:val="32"/>
          <w:szCs w:val="32"/>
          <w:lang w:val="en-US" w:eastAsia="zh-CN"/>
        </w:rPr>
        <w:t>机关事务中心</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z w:val="32"/>
          <w:szCs w:val="32"/>
        </w:rPr>
        <w:t>年度部门预算表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1、</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年部门收支预算表</w:t>
      </w:r>
      <w:r>
        <w:rPr>
          <w:rFonts w:hint="eastAsia" w:ascii="宋体" w:hAnsi="宋体" w:eastAsia="宋体" w:cs="宋体"/>
          <w:sz w:val="32"/>
          <w:szCs w:val="32"/>
          <w:lang w:val="en-US" w:eastAsia="zh-CN"/>
        </w:rPr>
        <w:t xml:space="preserve"> </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2、</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年部门收入预算表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3、</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年部门支出预算表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4、</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年财政拨款收支预算表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5、</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年一般公共预算支出预算表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6、</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年一般公共预算基本支出预算表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7、</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年支出经济分类汇总表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8、</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年一般公共预算“三公”经费预算表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9、</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年政府性基金支出预算表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10、</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年国有资本经营支出预算表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11、</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年项目支出预算表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12、</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年政府采购预算表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13、</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年部门(单位)整体绩效目标表</w:t>
      </w:r>
    </w:p>
    <w:p>
      <w:pPr>
        <w:numPr>
          <w:ilvl w:val="0"/>
          <w:numId w:val="0"/>
        </w:numPr>
        <w:kinsoku w:val="0"/>
        <w:overflowPunct w:val="0"/>
        <w:autoSpaceDE w:val="0"/>
        <w:autoSpaceDN w:val="0"/>
        <w:adjustRightInd w:val="0"/>
        <w:spacing w:before="48" w:line="560" w:lineRule="exact"/>
        <w:ind w:right="765" w:rightChars="0"/>
        <w:rPr>
          <w:rFonts w:hint="eastAsia" w:ascii="宋体" w:hAnsi="宋体" w:eastAsia="宋体" w:cs="宋体"/>
          <w:sz w:val="32"/>
          <w:szCs w:val="32"/>
        </w:rPr>
      </w:pPr>
      <w:r>
        <w:rPr>
          <w:rFonts w:hint="eastAsia" w:ascii="宋体" w:hAnsi="宋体" w:eastAsia="宋体" w:cs="宋体"/>
          <w:sz w:val="32"/>
          <w:szCs w:val="32"/>
          <w:lang w:val="en-US" w:eastAsia="zh-CN"/>
        </w:rPr>
        <w:t>14、</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4"/>
        <w:numPr>
          <w:ilvl w:val="0"/>
          <w:numId w:val="1"/>
        </w:numPr>
        <w:tabs>
          <w:tab w:val="left" w:pos="880"/>
        </w:tabs>
        <w:kinsoku w:val="0"/>
        <w:overflowPunct w:val="0"/>
        <w:spacing w:before="0"/>
        <w:jc w:val="center"/>
        <w:rPr>
          <w:rFonts w:hint="default" w:ascii="黑体" w:hAnsi="黑体" w:eastAsia="黑体" w:cs="黑体"/>
          <w:b/>
          <w:sz w:val="36"/>
          <w:szCs w:val="36"/>
        </w:rPr>
      </w:pPr>
    </w:p>
    <w:p>
      <w:pPr>
        <w:pStyle w:val="4"/>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val="en-US" w:eastAsia="zh-CN"/>
        </w:rPr>
        <w:t>机关事务中心</w:t>
      </w:r>
      <w:r>
        <w:rPr>
          <w:rFonts w:ascii="黑体" w:hAnsi="黑体" w:eastAsia="黑体" w:cs="黑体"/>
          <w:b/>
          <w:sz w:val="36"/>
          <w:szCs w:val="36"/>
        </w:rPr>
        <w:t>概况</w:t>
      </w:r>
    </w:p>
    <w:p>
      <w:pPr>
        <w:pStyle w:val="4"/>
        <w:numPr>
          <w:ilvl w:val="0"/>
          <w:numId w:val="0"/>
        </w:numPr>
        <w:tabs>
          <w:tab w:val="left" w:pos="880"/>
        </w:tabs>
        <w:kinsoku w:val="0"/>
        <w:overflowPunct w:val="0"/>
        <w:spacing w:before="0"/>
        <w:jc w:val="left"/>
        <w:rPr>
          <w:rFonts w:hint="default" w:ascii="黑体" w:hAnsi="黑体" w:eastAsia="黑体" w:cs="黑体"/>
          <w:bCs/>
          <w:szCs w:val="32"/>
        </w:rPr>
      </w:pPr>
      <w:r>
        <w:rPr>
          <w:rFonts w:hint="eastAsia" w:ascii="黑体" w:hAnsi="黑体" w:eastAsia="黑体" w:cs="黑体"/>
          <w:bCs/>
          <w:szCs w:val="32"/>
          <w:lang w:val="en-US" w:eastAsia="zh-CN"/>
        </w:rPr>
        <w:t>一、</w:t>
      </w:r>
      <w:r>
        <w:rPr>
          <w:rFonts w:ascii="黑体" w:hAnsi="黑体" w:eastAsia="黑体" w:cs="黑体"/>
          <w:bCs/>
          <w:szCs w:val="32"/>
        </w:rPr>
        <w:t>淮滨县</w:t>
      </w:r>
      <w:r>
        <w:rPr>
          <w:rFonts w:hint="eastAsia" w:ascii="黑体" w:hAnsi="黑体" w:eastAsia="黑体" w:cs="黑体"/>
          <w:bCs/>
          <w:szCs w:val="32"/>
          <w:lang w:val="en-US" w:eastAsia="zh-CN"/>
        </w:rPr>
        <w:t>机关事务中心</w:t>
      </w:r>
      <w:r>
        <w:rPr>
          <w:rFonts w:ascii="黑体" w:hAnsi="黑体" w:eastAsia="黑体" w:cs="黑体"/>
          <w:bCs/>
          <w:szCs w:val="32"/>
        </w:rPr>
        <w:t>主要职责</w:t>
      </w:r>
    </w:p>
    <w:p>
      <w:pPr>
        <w:rPr>
          <w:rFonts w:hint="eastAsia" w:ascii="宋体" w:hAnsi="宋体" w:eastAsia="宋体" w:cs="宋体"/>
          <w:bCs/>
          <w:sz w:val="32"/>
          <w:szCs w:val="32"/>
        </w:rPr>
      </w:pPr>
      <w:r>
        <w:rPr>
          <w:rFonts w:hint="eastAsia" w:ascii="宋体" w:hAnsi="宋体" w:eastAsia="宋体" w:cs="宋体"/>
          <w:bCs/>
          <w:sz w:val="32"/>
          <w:szCs w:val="32"/>
          <w:lang w:eastAsia="zh-CN"/>
        </w:rPr>
        <w:t>（</w:t>
      </w:r>
      <w:r>
        <w:rPr>
          <w:rFonts w:hint="eastAsia" w:ascii="宋体" w:hAnsi="宋体" w:eastAsia="宋体" w:cs="宋体"/>
          <w:bCs/>
          <w:sz w:val="32"/>
          <w:szCs w:val="32"/>
          <w:lang w:val="en-US" w:eastAsia="zh-CN"/>
        </w:rPr>
        <w:t>一）</w:t>
      </w:r>
      <w:r>
        <w:rPr>
          <w:rFonts w:hint="eastAsia" w:ascii="宋体" w:hAnsi="宋体" w:eastAsia="宋体" w:cs="宋体"/>
          <w:bCs/>
          <w:sz w:val="32"/>
          <w:szCs w:val="32"/>
        </w:rPr>
        <w:t>淮滨县</w:t>
      </w:r>
      <w:r>
        <w:rPr>
          <w:rFonts w:hint="eastAsia" w:ascii="宋体" w:hAnsi="宋体" w:eastAsia="宋体" w:cs="宋体"/>
          <w:bCs/>
          <w:sz w:val="32"/>
          <w:szCs w:val="32"/>
          <w:lang w:val="en-US" w:eastAsia="zh-CN"/>
        </w:rPr>
        <w:t>机关事务中心</w:t>
      </w:r>
      <w:r>
        <w:rPr>
          <w:rFonts w:hint="eastAsia" w:ascii="宋体" w:hAnsi="宋体" w:eastAsia="宋体" w:cs="宋体"/>
          <w:bCs/>
          <w:sz w:val="32"/>
          <w:szCs w:val="32"/>
        </w:rPr>
        <w:t>主要职责是：</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1、负责县党代会、县委经济工作会议、人代会、政协会以及四大家名誉召开的其他大中型会议和上级领导机关在淮滨召开的会议接待。</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2、负责市及市级以上党委、人大、政府、政协等领导单位来我县检查指导工作的公务接待。</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3、负责县委、县政府在外地组织的招商等相关活动的接待。</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4、负责县处级调配领导干部的生活服务。</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5、负责四大家办公区域的绿化、美化、卫生、安全保卫、维修和养护。</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6、负责会议中心的使用、维修和养护。</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7、负责四大班子公务车辆的管理和服务。</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8、负责全县办公用房的清理腾退工作。</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9、负责全县公共机构节能减排工作。</w:t>
      </w:r>
    </w:p>
    <w:p>
      <w:pPr>
        <w:rPr>
          <w:rFonts w:hint="eastAsia" w:ascii="宋体" w:hAnsi="宋体" w:eastAsia="宋体" w:cs="宋体"/>
          <w:b w:val="0"/>
          <w:bCs w:val="0"/>
          <w:color w:val="000000"/>
          <w:kern w:val="0"/>
          <w:sz w:val="32"/>
          <w:szCs w:val="32"/>
          <w:lang w:val="en-US" w:eastAsia="zh-CN"/>
        </w:rPr>
      </w:pPr>
      <w:r>
        <w:rPr>
          <w:rFonts w:hint="eastAsia" w:ascii="宋体" w:hAnsi="宋体" w:eastAsia="宋体" w:cs="宋体"/>
          <w:b w:val="0"/>
          <w:bCs w:val="0"/>
          <w:color w:val="000000"/>
          <w:kern w:val="0"/>
          <w:sz w:val="32"/>
          <w:szCs w:val="32"/>
          <w:lang w:val="en-US" w:eastAsia="zh-CN"/>
        </w:rPr>
        <w:t>（二）淮滨县机关事务中心内设机构设置情况：</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1、办公室：负责政工、文秘、财务、及局机关内部日常事务。</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2、接待股：负责公务接待、会议食宿接待。</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3、车辆管理股：负责公务车辆的管理和服务。</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4、机关后勤服务中心；负责行政新区与会议中心的管理和服务。</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5、公共机构节能管理股：负责全县的公共机构节能减排工作。</w:t>
      </w:r>
    </w:p>
    <w:p>
      <w:pPr>
        <w:ind w:firstLine="640" w:firstLineChars="2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6、公务用车服务管理中心：负责全县的党政机关一般公务用车管理等工作。</w:t>
      </w:r>
    </w:p>
    <w:p>
      <w:pPr>
        <w:numPr>
          <w:ilvl w:val="0"/>
          <w:numId w:val="0"/>
        </w:numPr>
        <w:ind w:left="630" w:leftChars="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lang w:val="en-US" w:eastAsia="zh-CN"/>
        </w:rPr>
        <w:t>7、</w:t>
      </w:r>
      <w:r>
        <w:rPr>
          <w:rFonts w:hint="eastAsia" w:ascii="宋体" w:hAnsi="宋体" w:eastAsia="宋体" w:cs="宋体"/>
          <w:b w:val="0"/>
          <w:bCs w:val="0"/>
          <w:color w:val="000000"/>
          <w:kern w:val="0"/>
          <w:sz w:val="32"/>
          <w:szCs w:val="32"/>
        </w:rPr>
        <w:t>办公用房管理股：负责全县的办用房管理工作</w:t>
      </w:r>
    </w:p>
    <w:p>
      <w:pPr>
        <w:pStyle w:val="4"/>
        <w:numPr>
          <w:ilvl w:val="0"/>
          <w:numId w:val="0"/>
        </w:numPr>
        <w:tabs>
          <w:tab w:val="left" w:pos="880"/>
        </w:tabs>
        <w:kinsoku w:val="0"/>
        <w:overflowPunct w:val="0"/>
        <w:spacing w:before="0"/>
        <w:jc w:val="left"/>
        <w:rPr>
          <w:rFonts w:hint="default" w:ascii="黑体" w:hAnsi="黑体" w:eastAsia="黑体" w:cs="黑体"/>
          <w:bCs/>
          <w:szCs w:val="32"/>
        </w:rPr>
      </w:pPr>
      <w:r>
        <w:rPr>
          <w:rFonts w:hint="eastAsia" w:ascii="黑体" w:hAnsi="黑体" w:eastAsia="黑体" w:cs="黑体"/>
          <w:bCs/>
          <w:szCs w:val="32"/>
          <w:lang w:val="en-US" w:eastAsia="zh-CN"/>
        </w:rPr>
        <w:t>二、</w:t>
      </w:r>
      <w:r>
        <w:rPr>
          <w:rFonts w:ascii="黑体" w:hAnsi="黑体" w:eastAsia="黑体" w:cs="黑体"/>
          <w:bCs/>
          <w:szCs w:val="32"/>
        </w:rPr>
        <w:t>淮滨县</w:t>
      </w:r>
      <w:r>
        <w:rPr>
          <w:rFonts w:hint="eastAsia" w:ascii="黑体" w:hAnsi="黑体" w:eastAsia="黑体" w:cs="黑体"/>
          <w:bCs/>
          <w:szCs w:val="32"/>
          <w:lang w:val="en-US" w:eastAsia="zh-CN"/>
        </w:rPr>
        <w:t>机关事务中心</w:t>
      </w:r>
      <w:r>
        <w:rPr>
          <w:rFonts w:ascii="黑体" w:hAnsi="黑体" w:eastAsia="黑体" w:cs="黑体"/>
          <w:bCs/>
          <w:szCs w:val="32"/>
        </w:rPr>
        <w:t>预算单位构成情况</w:t>
      </w:r>
    </w:p>
    <w:p>
      <w:pPr>
        <w:pStyle w:val="4"/>
        <w:numPr>
          <w:ilvl w:val="0"/>
          <w:numId w:val="0"/>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宋体" w:hAnsi="宋体" w:eastAsia="宋体" w:cs="宋体"/>
          <w:b w:val="0"/>
          <w:bCs w:val="0"/>
          <w:color w:val="000000"/>
          <w:kern w:val="0"/>
          <w:sz w:val="32"/>
          <w:szCs w:val="32"/>
          <w:lang w:eastAsia="zh-CN"/>
        </w:rPr>
        <w:t>淮滨县机关事务中心</w:t>
      </w:r>
      <w:r>
        <w:rPr>
          <w:rFonts w:hint="eastAsia" w:ascii="宋体" w:hAnsi="宋体" w:eastAsia="宋体" w:cs="宋体"/>
          <w:b w:val="0"/>
          <w:bCs w:val="0"/>
          <w:color w:val="000000"/>
          <w:kern w:val="0"/>
          <w:sz w:val="32"/>
          <w:szCs w:val="32"/>
          <w:lang w:val="en-US" w:eastAsia="zh-CN"/>
        </w:rPr>
        <w:t>2023年部门预算包括局机关本级预算，本单位无所属二级机构预算。</w:t>
      </w:r>
    </w:p>
    <w:p>
      <w:pPr>
        <w:ind w:firstLine="640" w:firstLineChars="200"/>
        <w:rPr>
          <w:rFonts w:hint="eastAsia" w:ascii="宋体" w:hAnsi="宋体" w:eastAsia="宋体" w:cs="宋体"/>
          <w:b w:val="0"/>
          <w:bCs w:val="0"/>
          <w:color w:val="000000"/>
          <w:kern w:val="0"/>
          <w:sz w:val="32"/>
          <w:szCs w:val="32"/>
          <w:lang w:val="en-US" w:eastAsia="zh-CN"/>
        </w:rPr>
      </w:pPr>
      <w:r>
        <w:rPr>
          <w:rFonts w:hint="eastAsia" w:ascii="宋体" w:hAnsi="宋体" w:eastAsia="宋体" w:cs="宋体"/>
          <w:b w:val="0"/>
          <w:bCs w:val="0"/>
          <w:color w:val="000000"/>
          <w:kern w:val="0"/>
          <w:sz w:val="32"/>
          <w:szCs w:val="32"/>
          <w:lang w:val="en-US" w:eastAsia="zh-CN"/>
        </w:rPr>
        <w:t>局机关本级预算包括：</w:t>
      </w:r>
      <w:r>
        <w:rPr>
          <w:rFonts w:hint="eastAsia" w:ascii="宋体" w:hAnsi="宋体" w:eastAsia="宋体" w:cs="宋体"/>
          <w:b w:val="0"/>
          <w:bCs w:val="0"/>
          <w:color w:val="000000"/>
          <w:kern w:val="0"/>
          <w:sz w:val="32"/>
          <w:szCs w:val="32"/>
        </w:rPr>
        <w:t>办公室</w:t>
      </w:r>
      <w:r>
        <w:rPr>
          <w:rFonts w:hint="eastAsia" w:ascii="宋体" w:hAnsi="宋体" w:eastAsia="宋体" w:cs="宋体"/>
          <w:b w:val="0"/>
          <w:bCs w:val="0"/>
          <w:color w:val="000000"/>
          <w:kern w:val="0"/>
          <w:sz w:val="32"/>
          <w:szCs w:val="32"/>
          <w:lang w:eastAsia="zh-CN"/>
        </w:rPr>
        <w:t>、</w:t>
      </w:r>
      <w:r>
        <w:rPr>
          <w:rFonts w:hint="eastAsia" w:ascii="宋体" w:hAnsi="宋体" w:eastAsia="宋体" w:cs="宋体"/>
          <w:b w:val="0"/>
          <w:bCs w:val="0"/>
          <w:color w:val="000000"/>
          <w:kern w:val="0"/>
          <w:sz w:val="32"/>
          <w:szCs w:val="32"/>
        </w:rPr>
        <w:t>接待股</w:t>
      </w:r>
      <w:r>
        <w:rPr>
          <w:rFonts w:hint="eastAsia" w:ascii="宋体" w:hAnsi="宋体" w:eastAsia="宋体" w:cs="宋体"/>
          <w:b w:val="0"/>
          <w:bCs w:val="0"/>
          <w:color w:val="000000"/>
          <w:kern w:val="0"/>
          <w:sz w:val="32"/>
          <w:szCs w:val="32"/>
          <w:lang w:eastAsia="zh-CN"/>
        </w:rPr>
        <w:t>、</w:t>
      </w:r>
      <w:r>
        <w:rPr>
          <w:rFonts w:hint="eastAsia" w:ascii="宋体" w:hAnsi="宋体" w:eastAsia="宋体" w:cs="宋体"/>
          <w:b w:val="0"/>
          <w:bCs w:val="0"/>
          <w:color w:val="000000"/>
          <w:kern w:val="0"/>
          <w:sz w:val="32"/>
          <w:szCs w:val="32"/>
        </w:rPr>
        <w:t>车辆管理股</w:t>
      </w:r>
      <w:r>
        <w:rPr>
          <w:rFonts w:hint="eastAsia" w:ascii="宋体" w:hAnsi="宋体" w:eastAsia="宋体" w:cs="宋体"/>
          <w:b w:val="0"/>
          <w:bCs w:val="0"/>
          <w:color w:val="000000"/>
          <w:kern w:val="0"/>
          <w:sz w:val="32"/>
          <w:szCs w:val="32"/>
          <w:lang w:eastAsia="zh-CN"/>
        </w:rPr>
        <w:t>、</w:t>
      </w:r>
      <w:r>
        <w:rPr>
          <w:rFonts w:hint="eastAsia" w:ascii="宋体" w:hAnsi="宋体" w:eastAsia="宋体" w:cs="宋体"/>
          <w:b w:val="0"/>
          <w:bCs w:val="0"/>
          <w:color w:val="000000"/>
          <w:kern w:val="0"/>
          <w:sz w:val="32"/>
          <w:szCs w:val="32"/>
        </w:rPr>
        <w:t>机关后勤服务中心</w:t>
      </w:r>
      <w:r>
        <w:rPr>
          <w:rFonts w:hint="eastAsia" w:ascii="宋体" w:hAnsi="宋体" w:eastAsia="宋体" w:cs="宋体"/>
          <w:b w:val="0"/>
          <w:bCs w:val="0"/>
          <w:color w:val="000000"/>
          <w:kern w:val="0"/>
          <w:sz w:val="32"/>
          <w:szCs w:val="32"/>
          <w:lang w:eastAsia="zh-CN"/>
        </w:rPr>
        <w:t>、</w:t>
      </w:r>
      <w:r>
        <w:rPr>
          <w:rFonts w:hint="eastAsia" w:ascii="宋体" w:hAnsi="宋体" w:eastAsia="宋体" w:cs="宋体"/>
          <w:b w:val="0"/>
          <w:bCs w:val="0"/>
          <w:color w:val="000000"/>
          <w:kern w:val="0"/>
          <w:sz w:val="32"/>
          <w:szCs w:val="32"/>
        </w:rPr>
        <w:t>公共机构节能管理股</w:t>
      </w:r>
      <w:r>
        <w:rPr>
          <w:rFonts w:hint="eastAsia" w:ascii="宋体" w:hAnsi="宋体" w:eastAsia="宋体" w:cs="宋体"/>
          <w:b w:val="0"/>
          <w:bCs w:val="0"/>
          <w:color w:val="000000"/>
          <w:kern w:val="0"/>
          <w:sz w:val="32"/>
          <w:szCs w:val="32"/>
          <w:lang w:eastAsia="zh-CN"/>
        </w:rPr>
        <w:t>、</w:t>
      </w:r>
      <w:r>
        <w:rPr>
          <w:rFonts w:hint="eastAsia" w:ascii="宋体" w:hAnsi="宋体" w:eastAsia="宋体" w:cs="宋体"/>
          <w:b w:val="0"/>
          <w:bCs w:val="0"/>
          <w:color w:val="000000"/>
          <w:kern w:val="0"/>
          <w:sz w:val="32"/>
          <w:szCs w:val="32"/>
        </w:rPr>
        <w:t>公务用车服务管理中心</w:t>
      </w:r>
      <w:r>
        <w:rPr>
          <w:rFonts w:hint="eastAsia" w:ascii="宋体" w:hAnsi="宋体" w:eastAsia="宋体" w:cs="宋体"/>
          <w:b w:val="0"/>
          <w:bCs w:val="0"/>
          <w:color w:val="000000"/>
          <w:kern w:val="0"/>
          <w:sz w:val="32"/>
          <w:szCs w:val="32"/>
          <w:lang w:eastAsia="zh-CN"/>
        </w:rPr>
        <w:t>、</w:t>
      </w:r>
      <w:r>
        <w:rPr>
          <w:rFonts w:hint="eastAsia" w:ascii="宋体" w:hAnsi="宋体" w:eastAsia="宋体" w:cs="宋体"/>
          <w:b w:val="0"/>
          <w:bCs w:val="0"/>
          <w:color w:val="000000"/>
          <w:kern w:val="0"/>
          <w:sz w:val="32"/>
          <w:szCs w:val="32"/>
        </w:rPr>
        <w:t>办公用房管理股</w:t>
      </w:r>
      <w:r>
        <w:rPr>
          <w:rFonts w:hint="eastAsia" w:ascii="宋体" w:hAnsi="宋体" w:eastAsia="宋体" w:cs="宋体"/>
          <w:b w:val="0"/>
          <w:bCs w:val="0"/>
          <w:color w:val="000000"/>
          <w:kern w:val="0"/>
          <w:sz w:val="32"/>
          <w:szCs w:val="32"/>
          <w:lang w:eastAsia="zh-CN"/>
        </w:rPr>
        <w:t>，</w:t>
      </w:r>
      <w:r>
        <w:rPr>
          <w:rFonts w:hint="eastAsia" w:ascii="宋体" w:hAnsi="宋体" w:eastAsia="宋体" w:cs="宋体"/>
          <w:b w:val="0"/>
          <w:bCs w:val="0"/>
          <w:color w:val="000000"/>
          <w:kern w:val="0"/>
          <w:sz w:val="32"/>
          <w:szCs w:val="32"/>
          <w:lang w:val="en-US" w:eastAsia="zh-CN"/>
        </w:rPr>
        <w:t>共7个中心、股室的预算。</w:t>
      </w: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val="en-US" w:eastAsia="zh-CN"/>
        </w:rPr>
        <w:t>机关事务中心</w:t>
      </w:r>
      <w:r>
        <w:rPr>
          <w:rFonts w:hint="eastAsia" w:ascii="黑体" w:hAnsi="黑体" w:eastAsia="黑体" w:cs="黑体"/>
          <w:b/>
          <w:bCs/>
          <w:sz w:val="36"/>
          <w:szCs w:val="36"/>
        </w:rPr>
        <w:t>2022年度部门预算情况说明</w:t>
      </w:r>
    </w:p>
    <w:p>
      <w:pPr>
        <w:jc w:val="center"/>
        <w:rPr>
          <w:rFonts w:ascii="黑体" w:hAnsi="黑体" w:eastAsia="黑体" w:cs="黑体"/>
          <w:b/>
          <w:bCs/>
          <w:sz w:val="36"/>
          <w:szCs w:val="36"/>
        </w:rPr>
      </w:pPr>
    </w:p>
    <w:p>
      <w:pPr>
        <w:numPr>
          <w:ilvl w:val="0"/>
          <w:numId w:val="0"/>
        </w:numPr>
        <w:ind w:firstLine="640" w:firstLineChars="200"/>
        <w:jc w:val="left"/>
        <w:rPr>
          <w:rFonts w:ascii="黑体" w:hAnsi="黑体" w:eastAsia="黑体" w:cs="黑体"/>
          <w:sz w:val="32"/>
          <w:szCs w:val="32"/>
        </w:rPr>
      </w:pPr>
      <w:r>
        <w:rPr>
          <w:rFonts w:hint="eastAsia" w:ascii="黑体" w:hAnsi="黑体" w:eastAsia="黑体" w:cs="黑体"/>
          <w:sz w:val="32"/>
          <w:szCs w:val="32"/>
          <w:lang w:val="en-US" w:eastAsia="zh-CN"/>
        </w:rPr>
        <w:t>1、</w:t>
      </w:r>
      <w:r>
        <w:rPr>
          <w:rFonts w:hint="eastAsia" w:ascii="黑体" w:hAnsi="黑体" w:eastAsia="黑体" w:cs="黑体"/>
          <w:sz w:val="32"/>
          <w:szCs w:val="32"/>
        </w:rPr>
        <w:t>收入支出预算总体情况说明</w:t>
      </w:r>
    </w:p>
    <w:p>
      <w:pPr>
        <w:ind w:firstLine="640" w:firstLineChars="200"/>
        <w:jc w:val="left"/>
        <w:rPr>
          <w:rFonts w:hint="eastAsia" w:ascii="宋体" w:hAnsi="宋体" w:eastAsia="宋体" w:cs="宋体"/>
          <w:sz w:val="32"/>
          <w:szCs w:val="32"/>
        </w:rPr>
      </w:pPr>
      <w:r>
        <w:rPr>
          <w:rFonts w:hint="eastAsia" w:ascii="宋体" w:hAnsi="宋体" w:eastAsia="宋体" w:cs="宋体"/>
          <w:sz w:val="32"/>
          <w:szCs w:val="32"/>
        </w:rPr>
        <w:t>淮滨县</w:t>
      </w:r>
      <w:r>
        <w:rPr>
          <w:rFonts w:hint="eastAsia" w:ascii="宋体" w:hAnsi="宋体" w:eastAsia="宋体" w:cs="宋体"/>
          <w:sz w:val="32"/>
          <w:szCs w:val="32"/>
          <w:lang w:val="en-US" w:eastAsia="zh-CN"/>
        </w:rPr>
        <w:t>机关事务中心</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年收入总计</w:t>
      </w:r>
      <w:r>
        <w:rPr>
          <w:rFonts w:hint="eastAsia" w:ascii="宋体" w:hAnsi="宋体" w:eastAsia="宋体" w:cs="宋体"/>
          <w:sz w:val="32"/>
          <w:szCs w:val="32"/>
          <w:lang w:val="en-US" w:eastAsia="zh-CN"/>
        </w:rPr>
        <w:t>967</w:t>
      </w:r>
      <w:r>
        <w:rPr>
          <w:rFonts w:hint="eastAsia" w:ascii="宋体" w:hAnsi="宋体" w:eastAsia="宋体" w:cs="宋体"/>
          <w:sz w:val="32"/>
          <w:szCs w:val="32"/>
        </w:rPr>
        <w:t>万元，支出总计</w:t>
      </w:r>
      <w:r>
        <w:rPr>
          <w:rFonts w:hint="eastAsia" w:ascii="宋体" w:hAnsi="宋体" w:eastAsia="宋体" w:cs="宋体"/>
          <w:sz w:val="32"/>
          <w:szCs w:val="32"/>
          <w:lang w:val="en-US" w:eastAsia="zh-CN"/>
        </w:rPr>
        <w:t>967</w:t>
      </w:r>
      <w:r>
        <w:rPr>
          <w:rFonts w:hint="eastAsia" w:ascii="宋体" w:hAnsi="宋体" w:eastAsia="宋体" w:cs="宋体"/>
          <w:sz w:val="32"/>
          <w:szCs w:val="32"/>
        </w:rPr>
        <w:t>万元,与202</w:t>
      </w:r>
      <w:r>
        <w:rPr>
          <w:rFonts w:hint="eastAsia" w:ascii="宋体" w:hAnsi="宋体" w:eastAsia="宋体" w:cs="宋体"/>
          <w:sz w:val="32"/>
          <w:szCs w:val="32"/>
          <w:lang w:val="en-US" w:eastAsia="zh-CN"/>
        </w:rPr>
        <w:t>2</w:t>
      </w:r>
      <w:r>
        <w:rPr>
          <w:rFonts w:hint="eastAsia" w:ascii="宋体" w:hAnsi="宋体" w:eastAsia="宋体" w:cs="宋体"/>
          <w:sz w:val="32"/>
          <w:szCs w:val="32"/>
        </w:rPr>
        <w:t>年相比，收、支总计各</w:t>
      </w:r>
      <w:r>
        <w:rPr>
          <w:rFonts w:hint="eastAsia" w:ascii="宋体" w:hAnsi="宋体" w:eastAsia="宋体" w:cs="宋体"/>
          <w:sz w:val="32"/>
          <w:szCs w:val="32"/>
          <w:lang w:val="en-US" w:eastAsia="zh-CN"/>
        </w:rPr>
        <w:t>增加538.41</w:t>
      </w:r>
      <w:r>
        <w:rPr>
          <w:rFonts w:hint="eastAsia" w:ascii="宋体" w:hAnsi="宋体" w:eastAsia="宋体" w:cs="宋体"/>
          <w:sz w:val="32"/>
          <w:szCs w:val="32"/>
        </w:rPr>
        <w:t>万元，</w:t>
      </w:r>
      <w:r>
        <w:rPr>
          <w:rFonts w:hint="eastAsia" w:ascii="宋体" w:hAnsi="宋体" w:eastAsia="宋体" w:cs="宋体"/>
          <w:sz w:val="32"/>
          <w:szCs w:val="32"/>
          <w:lang w:val="en-US" w:eastAsia="zh-CN"/>
        </w:rPr>
        <w:t>增长125.62</w:t>
      </w:r>
      <w:r>
        <w:rPr>
          <w:rFonts w:hint="eastAsia" w:ascii="宋体" w:hAnsi="宋体" w:eastAsia="宋体" w:cs="宋体"/>
          <w:sz w:val="32"/>
          <w:szCs w:val="32"/>
        </w:rPr>
        <w:t>%。主要原因是</w:t>
      </w:r>
      <w:r>
        <w:rPr>
          <w:rFonts w:hint="eastAsia" w:ascii="宋体" w:hAnsi="宋体" w:eastAsia="宋体" w:cs="宋体"/>
          <w:sz w:val="32"/>
          <w:szCs w:val="32"/>
          <w:lang w:val="en-US" w:eastAsia="zh-CN"/>
        </w:rPr>
        <w:t>2023年全县公务接待经费、行政新区水电费、公共卫生区卫生保洁费纳入了财政预算，符合预算监管与财政评审、国库集中收付等支出的相关要求</w:t>
      </w:r>
      <w:r>
        <w:rPr>
          <w:rFonts w:hint="eastAsia" w:ascii="宋体" w:hAnsi="宋体" w:eastAsia="宋体" w:cs="宋体"/>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985" cy="3567430"/>
            <wp:effectExtent l="4445" t="4445" r="762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0"/>
        </w:numPr>
        <w:ind w:left="630" w:leftChars="0"/>
        <w:jc w:val="left"/>
        <w:rPr>
          <w:rFonts w:ascii="黑体" w:hAnsi="黑体" w:eastAsia="黑体"/>
          <w:sz w:val="32"/>
        </w:rPr>
      </w:pPr>
      <w:r>
        <w:rPr>
          <w:rFonts w:hint="eastAsia" w:ascii="黑体" w:hAnsi="黑体" w:eastAsia="黑体"/>
          <w:sz w:val="32"/>
          <w:lang w:val="en-US" w:eastAsia="zh-CN"/>
        </w:rPr>
        <w:t>2、</w:t>
      </w:r>
      <w:r>
        <w:rPr>
          <w:rFonts w:hint="eastAsia" w:ascii="黑体" w:hAnsi="黑体" w:eastAsia="黑体"/>
          <w:sz w:val="32"/>
        </w:rPr>
        <w:t>收入预算总体情况说明</w:t>
      </w:r>
    </w:p>
    <w:p>
      <w:pPr>
        <w:ind w:firstLine="640" w:firstLineChars="200"/>
        <w:jc w:val="left"/>
        <w:rPr>
          <w:rFonts w:hint="eastAsia" w:ascii="宋体" w:hAnsi="宋体" w:eastAsia="宋体" w:cs="宋体"/>
          <w:sz w:val="32"/>
        </w:rPr>
      </w:pPr>
      <w:r>
        <w:rPr>
          <w:rFonts w:hint="eastAsia" w:ascii="宋体" w:hAnsi="宋体" w:eastAsia="宋体" w:cs="宋体"/>
          <w:sz w:val="32"/>
        </w:rPr>
        <w:t>淮滨县</w:t>
      </w:r>
      <w:r>
        <w:rPr>
          <w:rFonts w:hint="eastAsia" w:ascii="宋体" w:hAnsi="宋体" w:eastAsia="宋体" w:cs="宋体"/>
          <w:sz w:val="32"/>
          <w:lang w:val="en-US" w:eastAsia="zh-CN"/>
        </w:rPr>
        <w:t>机关事务中心</w:t>
      </w:r>
      <w:r>
        <w:rPr>
          <w:rFonts w:hint="eastAsia" w:ascii="宋体" w:hAnsi="宋体" w:eastAsia="宋体" w:cs="宋体"/>
          <w:sz w:val="32"/>
        </w:rPr>
        <w:t>202</w:t>
      </w:r>
      <w:r>
        <w:rPr>
          <w:rFonts w:hint="eastAsia" w:ascii="宋体" w:hAnsi="宋体" w:eastAsia="宋体" w:cs="宋体"/>
          <w:sz w:val="32"/>
          <w:lang w:val="en-US" w:eastAsia="zh-CN"/>
        </w:rPr>
        <w:t>3</w:t>
      </w:r>
      <w:r>
        <w:rPr>
          <w:rFonts w:hint="eastAsia" w:ascii="宋体" w:hAnsi="宋体" w:eastAsia="宋体" w:cs="宋体"/>
          <w:sz w:val="32"/>
        </w:rPr>
        <w:t>年收入合计</w:t>
      </w:r>
      <w:r>
        <w:rPr>
          <w:rFonts w:hint="eastAsia" w:ascii="宋体" w:hAnsi="宋体" w:eastAsia="宋体" w:cs="宋体"/>
          <w:sz w:val="32"/>
          <w:lang w:val="en-US" w:eastAsia="zh-CN"/>
        </w:rPr>
        <w:t>967</w:t>
      </w:r>
      <w:r>
        <w:rPr>
          <w:rFonts w:hint="eastAsia" w:ascii="宋体" w:hAnsi="宋体" w:eastAsia="宋体" w:cs="宋体"/>
          <w:sz w:val="32"/>
        </w:rPr>
        <w:t>万元，其中：一般公共预算收入</w:t>
      </w:r>
      <w:r>
        <w:rPr>
          <w:rFonts w:hint="eastAsia" w:ascii="宋体" w:hAnsi="宋体" w:eastAsia="宋体" w:cs="宋体"/>
          <w:sz w:val="32"/>
          <w:lang w:val="en-US" w:eastAsia="zh-CN"/>
        </w:rPr>
        <w:t>967</w:t>
      </w:r>
      <w:r>
        <w:rPr>
          <w:rFonts w:hint="eastAsia" w:ascii="宋体" w:hAnsi="宋体" w:eastAsia="宋体" w:cs="宋体"/>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0"/>
        </w:numPr>
        <w:ind w:firstLine="640" w:firstLineChars="200"/>
        <w:jc w:val="left"/>
        <w:rPr>
          <w:rFonts w:ascii="黑体" w:hAnsi="黑体" w:eastAsia="黑体"/>
          <w:sz w:val="32"/>
        </w:rPr>
      </w:pPr>
      <w:r>
        <w:rPr>
          <w:rFonts w:hint="eastAsia" w:ascii="黑体" w:hAnsi="黑体" w:eastAsia="黑体"/>
          <w:sz w:val="32"/>
          <w:lang w:val="en-US" w:eastAsia="zh-CN"/>
        </w:rPr>
        <w:t>3、</w:t>
      </w:r>
      <w:r>
        <w:rPr>
          <w:rFonts w:hint="eastAsia" w:ascii="黑体" w:hAnsi="黑体" w:eastAsia="黑体"/>
          <w:sz w:val="32"/>
        </w:rPr>
        <w:t>支出预算总体情况说明</w:t>
      </w:r>
    </w:p>
    <w:p>
      <w:pPr>
        <w:ind w:firstLine="640" w:firstLineChars="200"/>
        <w:jc w:val="left"/>
        <w:rPr>
          <w:rFonts w:hint="eastAsia" w:ascii="宋体" w:hAnsi="宋体" w:eastAsia="宋体" w:cs="宋体"/>
          <w:sz w:val="32"/>
        </w:rPr>
      </w:pPr>
      <w:r>
        <w:rPr>
          <w:rFonts w:hint="eastAsia" w:ascii="宋体" w:hAnsi="宋体" w:eastAsia="宋体" w:cs="宋体"/>
          <w:sz w:val="32"/>
        </w:rPr>
        <w:t>淮滨县</w:t>
      </w:r>
      <w:r>
        <w:rPr>
          <w:rFonts w:hint="eastAsia" w:ascii="宋体" w:hAnsi="宋体" w:eastAsia="宋体" w:cs="宋体"/>
          <w:sz w:val="32"/>
          <w:lang w:val="en-US" w:eastAsia="zh-CN"/>
        </w:rPr>
        <w:t>机关事务中心</w:t>
      </w:r>
      <w:r>
        <w:rPr>
          <w:rFonts w:hint="eastAsia" w:ascii="宋体" w:hAnsi="宋体" w:eastAsia="宋体" w:cs="宋体"/>
          <w:sz w:val="32"/>
        </w:rPr>
        <w:t>202</w:t>
      </w:r>
      <w:r>
        <w:rPr>
          <w:rFonts w:hint="eastAsia" w:ascii="宋体" w:hAnsi="宋体" w:eastAsia="宋体" w:cs="宋体"/>
          <w:sz w:val="32"/>
          <w:lang w:val="en-US" w:eastAsia="zh-CN"/>
        </w:rPr>
        <w:t>3</w:t>
      </w:r>
      <w:r>
        <w:rPr>
          <w:rFonts w:hint="eastAsia" w:ascii="宋体" w:hAnsi="宋体" w:eastAsia="宋体" w:cs="宋体"/>
          <w:sz w:val="32"/>
        </w:rPr>
        <w:t>年支出合计</w:t>
      </w:r>
      <w:r>
        <w:rPr>
          <w:rFonts w:hint="eastAsia" w:ascii="宋体" w:hAnsi="宋体" w:eastAsia="宋体" w:cs="宋体"/>
          <w:sz w:val="32"/>
          <w:lang w:val="en-US" w:eastAsia="zh-CN"/>
        </w:rPr>
        <w:t>967</w:t>
      </w:r>
      <w:r>
        <w:rPr>
          <w:rFonts w:hint="eastAsia" w:ascii="宋体" w:hAnsi="宋体" w:eastAsia="宋体" w:cs="宋体"/>
          <w:sz w:val="32"/>
        </w:rPr>
        <w:t>万元，其中：基本支出</w:t>
      </w:r>
      <w:r>
        <w:rPr>
          <w:rFonts w:hint="eastAsia" w:ascii="宋体" w:hAnsi="宋体" w:eastAsia="宋体" w:cs="宋体"/>
          <w:sz w:val="32"/>
          <w:lang w:val="en-US" w:eastAsia="zh-CN"/>
        </w:rPr>
        <w:t>178</w:t>
      </w:r>
      <w:r>
        <w:rPr>
          <w:rFonts w:hint="eastAsia" w:ascii="宋体" w:hAnsi="宋体" w:eastAsia="宋体" w:cs="宋体"/>
          <w:sz w:val="32"/>
        </w:rPr>
        <w:t>万元，占</w:t>
      </w:r>
      <w:r>
        <w:rPr>
          <w:rFonts w:hint="eastAsia" w:ascii="宋体" w:hAnsi="宋体" w:eastAsia="宋体" w:cs="宋体"/>
          <w:sz w:val="32"/>
          <w:lang w:val="en-US" w:eastAsia="zh-CN"/>
        </w:rPr>
        <w:t>18.41</w:t>
      </w:r>
      <w:r>
        <w:rPr>
          <w:rFonts w:hint="eastAsia" w:ascii="宋体" w:hAnsi="宋体" w:eastAsia="宋体" w:cs="宋体"/>
          <w:sz w:val="32"/>
        </w:rPr>
        <w:t>%；项目支出</w:t>
      </w:r>
      <w:r>
        <w:rPr>
          <w:rFonts w:hint="eastAsia" w:ascii="宋体" w:hAnsi="宋体" w:eastAsia="宋体" w:cs="宋体"/>
          <w:sz w:val="32"/>
          <w:lang w:val="en-US" w:eastAsia="zh-CN"/>
        </w:rPr>
        <w:t>789</w:t>
      </w:r>
      <w:r>
        <w:rPr>
          <w:rFonts w:hint="eastAsia" w:ascii="宋体" w:hAnsi="宋体" w:eastAsia="宋体" w:cs="宋体"/>
          <w:sz w:val="32"/>
        </w:rPr>
        <w:t>万元，占</w:t>
      </w:r>
      <w:r>
        <w:rPr>
          <w:rFonts w:hint="eastAsia" w:ascii="宋体" w:hAnsi="宋体" w:eastAsia="宋体" w:cs="宋体"/>
          <w:sz w:val="32"/>
          <w:lang w:val="en-US" w:eastAsia="zh-CN"/>
        </w:rPr>
        <w:t>81.59</w:t>
      </w:r>
      <w:r>
        <w:rPr>
          <w:rFonts w:hint="eastAsia" w:ascii="宋体" w:hAnsi="宋体" w:eastAsia="宋体" w:cs="宋体"/>
          <w:sz w:val="32"/>
        </w:rPr>
        <w:t>%。</w:t>
      </w:r>
    </w:p>
    <w:p>
      <w:pPr>
        <w:jc w:val="left"/>
        <w:rPr>
          <w:rFonts w:hint="eastAsia"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jc w:val="left"/>
        <w:rPr>
          <w:rFonts w:hint="eastAsia" w:ascii="仿宋" w:hAnsi="仿宋" w:eastAsia="仿宋" w:cs="仿宋"/>
          <w:sz w:val="32"/>
        </w:rPr>
      </w:pPr>
    </w:p>
    <w:p>
      <w:pPr>
        <w:numPr>
          <w:ilvl w:val="0"/>
          <w:numId w:val="0"/>
        </w:numPr>
        <w:ind w:firstLine="1280" w:firstLineChars="400"/>
        <w:jc w:val="left"/>
        <w:rPr>
          <w:rFonts w:ascii="黑体" w:hAnsi="黑体" w:eastAsia="黑体" w:cs="黑体"/>
          <w:sz w:val="32"/>
        </w:rPr>
      </w:pPr>
      <w:r>
        <w:rPr>
          <w:rFonts w:hint="eastAsia" w:ascii="黑体" w:hAnsi="黑体" w:eastAsia="黑体" w:cs="黑体"/>
          <w:sz w:val="32"/>
          <w:lang w:val="en-US" w:eastAsia="zh-CN"/>
        </w:rPr>
        <w:t>4、</w:t>
      </w:r>
      <w:r>
        <w:rPr>
          <w:rFonts w:hint="eastAsia" w:ascii="黑体" w:hAnsi="黑体" w:eastAsia="黑体" w:cs="黑体"/>
          <w:sz w:val="32"/>
        </w:rPr>
        <w:t>财政拨款收支预算总体情况说明</w:t>
      </w:r>
    </w:p>
    <w:p>
      <w:pPr>
        <w:ind w:firstLine="640" w:firstLineChars="200"/>
        <w:jc w:val="left"/>
        <w:rPr>
          <w:rFonts w:hint="eastAsia" w:ascii="宋体" w:hAnsi="宋体" w:eastAsia="宋体" w:cs="宋体"/>
          <w:sz w:val="32"/>
          <w:szCs w:val="32"/>
        </w:rPr>
      </w:pPr>
      <w:r>
        <w:rPr>
          <w:rFonts w:hint="eastAsia" w:ascii="宋体" w:hAnsi="宋体" w:eastAsia="宋体" w:cs="宋体"/>
          <w:sz w:val="32"/>
        </w:rPr>
        <w:t>淮滨县</w:t>
      </w:r>
      <w:r>
        <w:rPr>
          <w:rFonts w:hint="eastAsia" w:ascii="宋体" w:hAnsi="宋体" w:eastAsia="宋体" w:cs="宋体"/>
          <w:sz w:val="32"/>
          <w:lang w:val="en-US" w:eastAsia="zh-CN"/>
        </w:rPr>
        <w:t>机关事务中心</w:t>
      </w:r>
      <w:r>
        <w:rPr>
          <w:rFonts w:hint="eastAsia" w:ascii="宋体" w:hAnsi="宋体" w:eastAsia="宋体" w:cs="宋体"/>
          <w:sz w:val="32"/>
        </w:rPr>
        <w:t>202</w:t>
      </w:r>
      <w:r>
        <w:rPr>
          <w:rFonts w:hint="eastAsia" w:ascii="宋体" w:hAnsi="宋体" w:eastAsia="宋体" w:cs="宋体"/>
          <w:sz w:val="32"/>
          <w:lang w:val="en-US" w:eastAsia="zh-CN"/>
        </w:rPr>
        <w:t>3</w:t>
      </w:r>
      <w:r>
        <w:rPr>
          <w:rFonts w:hint="eastAsia" w:ascii="宋体" w:hAnsi="宋体" w:eastAsia="宋体" w:cs="宋体"/>
          <w:sz w:val="32"/>
        </w:rPr>
        <w:t>年一般公共预算收支预算</w:t>
      </w:r>
      <w:r>
        <w:rPr>
          <w:rFonts w:hint="eastAsia" w:ascii="宋体" w:hAnsi="宋体" w:eastAsia="宋体" w:cs="宋体"/>
          <w:sz w:val="32"/>
          <w:lang w:val="en-US" w:eastAsia="zh-CN"/>
        </w:rPr>
        <w:t>967</w:t>
      </w:r>
      <w:r>
        <w:rPr>
          <w:rFonts w:hint="eastAsia" w:ascii="宋体" w:hAnsi="宋体" w:eastAsia="宋体" w:cs="宋体"/>
          <w:sz w:val="32"/>
        </w:rPr>
        <w:t>万元，无政府性基金预算和国有资本经营预算。与202</w:t>
      </w:r>
      <w:r>
        <w:rPr>
          <w:rFonts w:hint="eastAsia" w:ascii="宋体" w:hAnsi="宋体" w:eastAsia="宋体" w:cs="宋体"/>
          <w:sz w:val="32"/>
          <w:lang w:val="en-US" w:eastAsia="zh-CN"/>
        </w:rPr>
        <w:t>2</w:t>
      </w:r>
      <w:r>
        <w:rPr>
          <w:rFonts w:hint="eastAsia" w:ascii="宋体" w:hAnsi="宋体" w:eastAsia="宋体" w:cs="宋体"/>
          <w:sz w:val="32"/>
        </w:rPr>
        <w:t>年相比，一般公共预算收支预算</w:t>
      </w:r>
      <w:r>
        <w:rPr>
          <w:rFonts w:hint="eastAsia" w:ascii="宋体" w:hAnsi="宋体" w:eastAsia="宋体" w:cs="宋体"/>
          <w:sz w:val="32"/>
          <w:lang w:val="en-US" w:eastAsia="zh-CN"/>
        </w:rPr>
        <w:t>增加538.41</w:t>
      </w:r>
      <w:r>
        <w:rPr>
          <w:rFonts w:hint="eastAsia" w:ascii="宋体" w:hAnsi="宋体" w:eastAsia="宋体" w:cs="宋体"/>
          <w:sz w:val="32"/>
        </w:rPr>
        <w:t>万元，</w:t>
      </w:r>
      <w:r>
        <w:rPr>
          <w:rFonts w:hint="eastAsia" w:ascii="宋体" w:hAnsi="宋体" w:eastAsia="宋体" w:cs="宋体"/>
          <w:sz w:val="32"/>
          <w:lang w:val="en-US" w:eastAsia="zh-CN"/>
        </w:rPr>
        <w:t>增长125.62</w:t>
      </w:r>
      <w:r>
        <w:rPr>
          <w:rFonts w:hint="eastAsia" w:ascii="宋体" w:hAnsi="宋体" w:eastAsia="宋体" w:cs="宋体"/>
          <w:sz w:val="32"/>
          <w:szCs w:val="32"/>
          <w:lang w:val="en-US" w:eastAsia="zh-CN"/>
        </w:rPr>
        <w:t>%，主要原因是2023年全县公务接待经费、行政新区水电费、公共卫生区卫生保洁费纳入了财政预算，符合预算监管与财政评审、国库集中收付等支出的相关要求</w:t>
      </w:r>
      <w:r>
        <w:rPr>
          <w:rFonts w:hint="eastAsia" w:ascii="宋体" w:hAnsi="宋体" w:eastAsia="宋体" w:cs="宋体"/>
          <w:sz w:val="32"/>
          <w:szCs w:val="32"/>
        </w:rPr>
        <w:t>。</w:t>
      </w:r>
    </w:p>
    <w:p>
      <w:pPr>
        <w:ind w:firstLine="1280" w:firstLineChars="400"/>
        <w:jc w:val="left"/>
        <w:rPr>
          <w:rFonts w:hint="eastAsia" w:ascii="宋体" w:hAnsi="宋体" w:eastAsia="宋体" w:cs="宋体"/>
          <w:color w:val="0000FF"/>
          <w:sz w:val="32"/>
        </w:rPr>
      </w:pPr>
      <w:r>
        <w:rPr>
          <w:rFonts w:hint="eastAsia" w:ascii="宋体" w:hAnsi="宋体" w:eastAsia="宋体" w:cs="宋体"/>
          <w:color w:val="0000FF"/>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0"/>
        </w:numPr>
        <w:ind w:left="630" w:leftChars="0"/>
        <w:jc w:val="left"/>
        <w:rPr>
          <w:rFonts w:ascii="黑体" w:hAnsi="黑体" w:eastAsia="黑体"/>
          <w:sz w:val="32"/>
        </w:rPr>
      </w:pPr>
      <w:r>
        <w:rPr>
          <w:rFonts w:hint="eastAsia" w:ascii="黑体" w:hAnsi="黑体" w:eastAsia="黑体"/>
          <w:sz w:val="32"/>
          <w:lang w:val="en-US" w:eastAsia="zh-CN"/>
        </w:rPr>
        <w:t>5、</w:t>
      </w:r>
      <w:r>
        <w:rPr>
          <w:rFonts w:hint="eastAsia" w:ascii="黑体" w:hAnsi="黑体" w:eastAsia="黑体"/>
          <w:sz w:val="32"/>
        </w:rPr>
        <w:t>一般公共预算支出预算情况说明</w:t>
      </w:r>
    </w:p>
    <w:p>
      <w:pPr>
        <w:ind w:firstLine="640" w:firstLineChars="200"/>
        <w:jc w:val="left"/>
        <w:rPr>
          <w:rFonts w:hint="eastAsia" w:ascii="宋体" w:hAnsi="宋体" w:eastAsia="宋体" w:cs="宋体"/>
          <w:sz w:val="32"/>
        </w:rPr>
      </w:pPr>
      <w:r>
        <w:rPr>
          <w:rFonts w:hint="eastAsia" w:ascii="宋体" w:hAnsi="宋体" w:eastAsia="宋体" w:cs="宋体"/>
          <w:sz w:val="32"/>
        </w:rPr>
        <w:t>淮滨县</w:t>
      </w:r>
      <w:r>
        <w:rPr>
          <w:rFonts w:hint="eastAsia" w:ascii="宋体" w:hAnsi="宋体" w:eastAsia="宋体" w:cs="宋体"/>
          <w:sz w:val="32"/>
          <w:lang w:val="en-US" w:eastAsia="zh-CN"/>
        </w:rPr>
        <w:t>机关事务中心</w:t>
      </w:r>
      <w:r>
        <w:rPr>
          <w:rFonts w:hint="eastAsia" w:ascii="宋体" w:hAnsi="宋体" w:eastAsia="宋体" w:cs="宋体"/>
          <w:sz w:val="32"/>
        </w:rPr>
        <w:t>202</w:t>
      </w:r>
      <w:r>
        <w:rPr>
          <w:rFonts w:hint="eastAsia" w:ascii="宋体" w:hAnsi="宋体" w:eastAsia="宋体" w:cs="宋体"/>
          <w:sz w:val="32"/>
          <w:lang w:val="en-US" w:eastAsia="zh-CN"/>
        </w:rPr>
        <w:t>3</w:t>
      </w:r>
      <w:r>
        <w:rPr>
          <w:rFonts w:hint="eastAsia" w:ascii="宋体" w:hAnsi="宋体" w:eastAsia="宋体" w:cs="宋体"/>
          <w:sz w:val="32"/>
        </w:rPr>
        <w:t>年一般公共预算支出年初预算为</w:t>
      </w:r>
      <w:r>
        <w:rPr>
          <w:rFonts w:hint="eastAsia" w:ascii="宋体" w:hAnsi="宋体" w:eastAsia="宋体" w:cs="宋体"/>
          <w:sz w:val="32"/>
          <w:lang w:val="en-US" w:eastAsia="zh-CN"/>
        </w:rPr>
        <w:t>967</w:t>
      </w:r>
      <w:r>
        <w:rPr>
          <w:rFonts w:hint="eastAsia" w:ascii="宋体" w:hAnsi="宋体" w:eastAsia="宋体" w:cs="宋体"/>
          <w:sz w:val="32"/>
        </w:rPr>
        <w:t>万元。其中：基本支出</w:t>
      </w:r>
      <w:r>
        <w:rPr>
          <w:rFonts w:hint="eastAsia" w:ascii="宋体" w:hAnsi="宋体" w:eastAsia="宋体" w:cs="宋体"/>
          <w:sz w:val="32"/>
          <w:lang w:val="en-US" w:eastAsia="zh-CN"/>
        </w:rPr>
        <w:t>178</w:t>
      </w:r>
      <w:r>
        <w:rPr>
          <w:rFonts w:hint="eastAsia" w:ascii="宋体" w:hAnsi="宋体" w:eastAsia="宋体" w:cs="宋体"/>
          <w:sz w:val="32"/>
        </w:rPr>
        <w:t>万元，占</w:t>
      </w:r>
      <w:r>
        <w:rPr>
          <w:rFonts w:hint="eastAsia" w:ascii="宋体" w:hAnsi="宋体" w:eastAsia="宋体" w:cs="宋体"/>
          <w:sz w:val="32"/>
          <w:lang w:val="en-US" w:eastAsia="zh-CN"/>
        </w:rPr>
        <w:t>18.41</w:t>
      </w:r>
      <w:r>
        <w:rPr>
          <w:rFonts w:hint="eastAsia" w:ascii="宋体" w:hAnsi="宋体" w:eastAsia="宋体" w:cs="宋体"/>
          <w:sz w:val="32"/>
        </w:rPr>
        <w:t>%;项目支出</w:t>
      </w:r>
      <w:r>
        <w:rPr>
          <w:rFonts w:hint="eastAsia" w:ascii="宋体" w:hAnsi="宋体" w:eastAsia="宋体" w:cs="宋体"/>
          <w:sz w:val="32"/>
          <w:lang w:val="en-US" w:eastAsia="zh-CN"/>
        </w:rPr>
        <w:t>789</w:t>
      </w:r>
      <w:r>
        <w:rPr>
          <w:rFonts w:hint="eastAsia" w:ascii="宋体" w:hAnsi="宋体" w:eastAsia="宋体" w:cs="宋体"/>
          <w:sz w:val="32"/>
        </w:rPr>
        <w:t>万元，占</w:t>
      </w:r>
      <w:r>
        <w:rPr>
          <w:rFonts w:hint="eastAsia" w:ascii="宋体" w:hAnsi="宋体" w:eastAsia="宋体" w:cs="宋体"/>
          <w:sz w:val="32"/>
          <w:lang w:val="en-US" w:eastAsia="zh-CN"/>
        </w:rPr>
        <w:t>81.59</w:t>
      </w:r>
      <w:r>
        <w:rPr>
          <w:rFonts w:hint="eastAsia" w:ascii="宋体" w:hAnsi="宋体" w:eastAsia="宋体" w:cs="宋体"/>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0"/>
        </w:numPr>
        <w:ind w:firstLine="640" w:firstLineChars="200"/>
        <w:jc w:val="left"/>
        <w:rPr>
          <w:rFonts w:ascii="黑体" w:hAnsi="黑体" w:eastAsia="黑体" w:cs="黑体"/>
          <w:color w:val="000000"/>
          <w:sz w:val="32"/>
          <w:szCs w:val="32"/>
        </w:rPr>
      </w:pPr>
      <w:r>
        <w:rPr>
          <w:rFonts w:hint="eastAsia" w:ascii="黑体" w:hAnsi="黑体" w:eastAsia="黑体" w:cs="黑体"/>
          <w:color w:val="000000"/>
          <w:sz w:val="32"/>
          <w:szCs w:val="32"/>
          <w:lang w:val="en-US" w:eastAsia="zh-CN"/>
        </w:rPr>
        <w:t>6、</w:t>
      </w:r>
      <w:r>
        <w:rPr>
          <w:rFonts w:hint="eastAsia" w:ascii="黑体" w:hAnsi="黑体" w:eastAsia="黑体" w:cs="黑体"/>
          <w:color w:val="000000"/>
          <w:sz w:val="32"/>
          <w:szCs w:val="32"/>
        </w:rPr>
        <w:t>一般公共预算基本支出预算情况说明</w:t>
      </w:r>
    </w:p>
    <w:p>
      <w:pPr>
        <w:ind w:firstLine="640" w:firstLineChars="200"/>
        <w:jc w:val="left"/>
        <w:rPr>
          <w:rFonts w:hint="eastAsia" w:ascii="宋体" w:hAnsi="宋体" w:eastAsia="宋体" w:cs="宋体"/>
          <w:color w:val="000000"/>
          <w:sz w:val="32"/>
          <w:szCs w:val="32"/>
        </w:rPr>
      </w:pPr>
      <w:r>
        <w:rPr>
          <w:rFonts w:hint="eastAsia" w:ascii="宋体" w:hAnsi="宋体" w:eastAsia="宋体" w:cs="宋体"/>
          <w:color w:val="000000"/>
          <w:sz w:val="32"/>
          <w:szCs w:val="32"/>
        </w:rPr>
        <w:t>淮滨县</w:t>
      </w:r>
      <w:r>
        <w:rPr>
          <w:rFonts w:hint="eastAsia" w:ascii="宋体" w:hAnsi="宋体" w:eastAsia="宋体" w:cs="宋体"/>
          <w:color w:val="000000"/>
          <w:sz w:val="32"/>
          <w:szCs w:val="32"/>
          <w:lang w:val="en-US" w:eastAsia="zh-CN"/>
        </w:rPr>
        <w:t>机关事务中心</w:t>
      </w:r>
      <w:r>
        <w:rPr>
          <w:rFonts w:hint="eastAsia" w:ascii="宋体" w:hAnsi="宋体" w:eastAsia="宋体" w:cs="宋体"/>
          <w:color w:val="000000"/>
          <w:sz w:val="32"/>
          <w:szCs w:val="32"/>
        </w:rPr>
        <w:t>202</w:t>
      </w:r>
      <w:r>
        <w:rPr>
          <w:rFonts w:hint="eastAsia" w:ascii="宋体" w:hAnsi="宋体" w:eastAsia="宋体" w:cs="宋体"/>
          <w:color w:val="000000"/>
          <w:sz w:val="32"/>
          <w:szCs w:val="32"/>
          <w:lang w:val="en-US" w:eastAsia="zh-CN"/>
        </w:rPr>
        <w:t>3</w:t>
      </w:r>
      <w:r>
        <w:rPr>
          <w:rFonts w:hint="eastAsia" w:ascii="宋体" w:hAnsi="宋体" w:eastAsia="宋体" w:cs="宋体"/>
          <w:color w:val="000000"/>
          <w:sz w:val="32"/>
          <w:szCs w:val="32"/>
        </w:rPr>
        <w:t xml:space="preserve">年一般公共预算基本支出年初预算为 </w:t>
      </w:r>
      <w:r>
        <w:rPr>
          <w:rFonts w:hint="eastAsia" w:ascii="宋体" w:hAnsi="宋体" w:eastAsia="宋体" w:cs="宋体"/>
          <w:color w:val="000000"/>
          <w:sz w:val="32"/>
          <w:szCs w:val="32"/>
          <w:lang w:val="en-US" w:eastAsia="zh-CN"/>
        </w:rPr>
        <w:t>178</w:t>
      </w:r>
      <w:r>
        <w:rPr>
          <w:rFonts w:hint="eastAsia" w:ascii="宋体" w:hAnsi="宋体" w:eastAsia="宋体" w:cs="宋体"/>
          <w:color w:val="000000"/>
          <w:sz w:val="32"/>
          <w:szCs w:val="32"/>
        </w:rPr>
        <w:t>万元。其中：人员经费支出</w:t>
      </w:r>
      <w:r>
        <w:rPr>
          <w:rFonts w:hint="eastAsia" w:ascii="宋体" w:hAnsi="宋体" w:eastAsia="宋体" w:cs="宋体"/>
          <w:color w:val="000000"/>
          <w:sz w:val="32"/>
          <w:szCs w:val="32"/>
          <w:lang w:val="en-US" w:eastAsia="zh-CN"/>
        </w:rPr>
        <w:t>169</w:t>
      </w:r>
      <w:r>
        <w:rPr>
          <w:rFonts w:hint="eastAsia" w:ascii="宋体" w:hAnsi="宋体" w:eastAsia="宋体" w:cs="宋体"/>
          <w:color w:val="000000"/>
          <w:sz w:val="32"/>
          <w:szCs w:val="32"/>
        </w:rPr>
        <w:t>万元，占</w:t>
      </w:r>
      <w:r>
        <w:rPr>
          <w:rFonts w:hint="eastAsia" w:ascii="宋体" w:hAnsi="宋体" w:eastAsia="宋体" w:cs="宋体"/>
          <w:color w:val="000000"/>
          <w:sz w:val="32"/>
          <w:szCs w:val="32"/>
          <w:lang w:val="en-US" w:eastAsia="zh-CN"/>
        </w:rPr>
        <w:t>94.94</w:t>
      </w:r>
      <w:r>
        <w:rPr>
          <w:rFonts w:hint="eastAsia" w:ascii="宋体" w:hAnsi="宋体" w:eastAsia="宋体" w:cs="宋体"/>
          <w:color w:val="000000"/>
          <w:sz w:val="32"/>
          <w:szCs w:val="32"/>
        </w:rPr>
        <w:t>%；公用经费支出</w:t>
      </w:r>
      <w:r>
        <w:rPr>
          <w:rFonts w:hint="eastAsia" w:ascii="宋体" w:hAnsi="宋体" w:eastAsia="宋体" w:cs="宋体"/>
          <w:color w:val="000000"/>
          <w:sz w:val="32"/>
          <w:szCs w:val="32"/>
          <w:lang w:val="en-US" w:eastAsia="zh-CN"/>
        </w:rPr>
        <w:t>9</w:t>
      </w:r>
      <w:r>
        <w:rPr>
          <w:rFonts w:hint="eastAsia" w:ascii="宋体" w:hAnsi="宋体" w:eastAsia="宋体" w:cs="宋体"/>
          <w:color w:val="000000"/>
          <w:sz w:val="32"/>
          <w:szCs w:val="32"/>
        </w:rPr>
        <w:t>万元，占</w:t>
      </w:r>
      <w:r>
        <w:rPr>
          <w:rFonts w:hint="eastAsia" w:ascii="宋体" w:hAnsi="宋体" w:eastAsia="宋体" w:cs="宋体"/>
          <w:color w:val="000000"/>
          <w:sz w:val="32"/>
          <w:szCs w:val="32"/>
          <w:lang w:val="en-US" w:eastAsia="zh-CN"/>
        </w:rPr>
        <w:t>5.06</w:t>
      </w:r>
      <w:r>
        <w:rPr>
          <w:rFonts w:hint="eastAsia" w:ascii="宋体" w:hAnsi="宋体" w:eastAsia="宋体" w:cs="宋体"/>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0"/>
        </w:numPr>
        <w:ind w:left="630" w:leftChars="0"/>
        <w:jc w:val="left"/>
        <w:rPr>
          <w:rFonts w:ascii="黑体" w:hAnsi="黑体" w:eastAsia="黑体" w:cs="黑体"/>
          <w:sz w:val="32"/>
          <w:szCs w:val="32"/>
        </w:rPr>
      </w:pPr>
      <w:r>
        <w:rPr>
          <w:rFonts w:hint="eastAsia" w:ascii="黑体" w:hAnsi="黑体" w:eastAsia="黑体" w:cs="黑体"/>
          <w:color w:val="000000"/>
          <w:sz w:val="32"/>
          <w:szCs w:val="32"/>
          <w:lang w:val="en-US" w:eastAsia="zh-CN"/>
        </w:rPr>
        <w:t>7、</w:t>
      </w: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6"/>
        <w:widowControl/>
        <w:spacing w:beforeAutospacing="0" w:afterAutospacing="0" w:line="600" w:lineRule="atLeast"/>
        <w:ind w:firstLine="630"/>
        <w:jc w:val="both"/>
        <w:rPr>
          <w:rFonts w:hint="eastAsia" w:ascii="宋体" w:hAnsi="宋体" w:eastAsia="宋体" w:cs="宋体"/>
          <w:sz w:val="32"/>
          <w:szCs w:val="32"/>
        </w:rPr>
      </w:pPr>
      <w:r>
        <w:rPr>
          <w:rFonts w:hint="eastAsia" w:ascii="宋体" w:hAnsi="宋体" w:eastAsia="宋体" w:cs="宋体"/>
          <w:sz w:val="32"/>
          <w:szCs w:val="32"/>
        </w:rPr>
        <w:t>淮滨县</w:t>
      </w:r>
      <w:r>
        <w:rPr>
          <w:rFonts w:hint="eastAsia" w:ascii="宋体" w:hAnsi="宋体" w:eastAsia="宋体" w:cs="宋体"/>
          <w:color w:val="000000"/>
          <w:sz w:val="32"/>
          <w:szCs w:val="32"/>
          <w:lang w:val="en-US" w:eastAsia="zh-CN"/>
        </w:rPr>
        <w:t>机关事务中心</w:t>
      </w:r>
      <w:r>
        <w:rPr>
          <w:rFonts w:hint="eastAsia" w:ascii="宋体" w:hAnsi="宋体" w:eastAsia="宋体" w:cs="宋体"/>
          <w:sz w:val="32"/>
          <w:szCs w:val="32"/>
        </w:rPr>
        <w:t>202</w:t>
      </w:r>
      <w:r>
        <w:rPr>
          <w:rFonts w:hint="eastAsia" w:ascii="宋体" w:hAnsi="宋体" w:eastAsia="宋体" w:cs="宋体"/>
          <w:sz w:val="32"/>
          <w:szCs w:val="32"/>
          <w:lang w:val="en-US" w:eastAsia="zh-CN"/>
        </w:rPr>
        <w:t>3</w:t>
      </w:r>
      <w:r>
        <w:rPr>
          <w:rFonts w:hint="eastAsia" w:ascii="宋体" w:hAnsi="宋体" w:eastAsia="宋体" w:cs="宋体"/>
          <w:sz w:val="32"/>
          <w:szCs w:val="32"/>
        </w:rPr>
        <w:t>年“三公”经费支出预算为</w:t>
      </w:r>
      <w:r>
        <w:rPr>
          <w:rFonts w:hint="eastAsia" w:ascii="宋体" w:hAnsi="宋体" w:eastAsia="宋体" w:cs="宋体"/>
          <w:sz w:val="32"/>
          <w:szCs w:val="32"/>
          <w:lang w:val="en-US" w:eastAsia="zh-CN"/>
        </w:rPr>
        <w:t>68.96</w:t>
      </w:r>
      <w:r>
        <w:rPr>
          <w:rFonts w:hint="eastAsia" w:ascii="宋体" w:hAnsi="宋体" w:eastAsia="宋体" w:cs="宋体"/>
          <w:sz w:val="32"/>
          <w:szCs w:val="32"/>
        </w:rPr>
        <w:t>万元,</w:t>
      </w:r>
      <w:r>
        <w:rPr>
          <w:rFonts w:hint="eastAsia" w:ascii="宋体" w:hAnsi="宋体" w:eastAsia="宋体" w:cs="宋体"/>
          <w:sz w:val="32"/>
          <w:szCs w:val="32"/>
          <w:lang w:val="en-US" w:eastAsia="zh-CN"/>
        </w:rPr>
        <w:t>与</w:t>
      </w:r>
      <w:r>
        <w:rPr>
          <w:rFonts w:hint="eastAsia" w:ascii="宋体" w:hAnsi="宋体" w:eastAsia="宋体" w:cs="宋体"/>
          <w:sz w:val="32"/>
          <w:szCs w:val="32"/>
        </w:rPr>
        <w:t>202</w:t>
      </w:r>
      <w:r>
        <w:rPr>
          <w:rFonts w:hint="eastAsia" w:ascii="宋体" w:hAnsi="宋体" w:eastAsia="宋体" w:cs="宋体"/>
          <w:sz w:val="32"/>
          <w:szCs w:val="32"/>
          <w:lang w:val="en-US" w:eastAsia="zh-CN"/>
        </w:rPr>
        <w:t>2</w:t>
      </w:r>
      <w:r>
        <w:rPr>
          <w:rFonts w:hint="eastAsia" w:ascii="宋体" w:hAnsi="宋体" w:eastAsia="宋体" w:cs="宋体"/>
          <w:sz w:val="32"/>
          <w:szCs w:val="32"/>
        </w:rPr>
        <w:t>年</w:t>
      </w:r>
      <w:r>
        <w:rPr>
          <w:rFonts w:hint="eastAsia" w:ascii="宋体" w:hAnsi="宋体" w:eastAsia="宋体" w:cs="宋体"/>
          <w:sz w:val="32"/>
          <w:szCs w:val="32"/>
          <w:lang w:val="en-US" w:eastAsia="zh-CN"/>
        </w:rPr>
        <w:t>持平</w:t>
      </w:r>
      <w:r>
        <w:rPr>
          <w:rFonts w:hint="eastAsia" w:ascii="宋体" w:hAnsi="宋体" w:eastAsia="宋体" w:cs="宋体"/>
          <w:sz w:val="32"/>
          <w:szCs w:val="32"/>
        </w:rPr>
        <w:t>。</w:t>
      </w:r>
    </w:p>
    <w:p>
      <w:pPr>
        <w:ind w:firstLine="640" w:firstLineChars="200"/>
        <w:jc w:val="left"/>
        <w:rPr>
          <w:rFonts w:hint="eastAsia" w:ascii="宋体" w:hAnsi="宋体" w:eastAsia="宋体" w:cs="宋体"/>
          <w:sz w:val="32"/>
          <w:szCs w:val="32"/>
        </w:rPr>
      </w:pPr>
      <w:r>
        <w:rPr>
          <w:rFonts w:hint="eastAsia" w:ascii="宋体" w:hAnsi="宋体" w:eastAsia="宋体" w:cs="宋体"/>
          <w:sz w:val="32"/>
          <w:szCs w:val="32"/>
        </w:rPr>
        <w:t>具体支出情况如下：</w:t>
      </w:r>
    </w:p>
    <w:p>
      <w:pPr>
        <w:ind w:firstLine="643" w:firstLineChars="200"/>
        <w:jc w:val="left"/>
        <w:rPr>
          <w:rFonts w:hint="eastAsia" w:ascii="宋体" w:hAnsi="宋体" w:eastAsia="宋体" w:cs="宋体"/>
          <w:sz w:val="32"/>
          <w:szCs w:val="32"/>
        </w:rPr>
      </w:pPr>
      <w:r>
        <w:rPr>
          <w:rFonts w:hint="eastAsia" w:ascii="仿宋" w:hAnsi="仿宋" w:eastAsia="仿宋" w:cs="仿宋"/>
          <w:b/>
          <w:bCs/>
          <w:sz w:val="32"/>
          <w:szCs w:val="32"/>
        </w:rPr>
        <w:t>（一）因公出国（境）费用</w:t>
      </w:r>
      <w:r>
        <w:rPr>
          <w:rFonts w:hint="eastAsia" w:ascii="宋体" w:hAnsi="宋体" w:eastAsia="宋体" w:cs="宋体"/>
          <w:sz w:val="32"/>
          <w:szCs w:val="32"/>
        </w:rPr>
        <w:t>0万元，预算数与202</w:t>
      </w:r>
      <w:r>
        <w:rPr>
          <w:rFonts w:hint="eastAsia" w:ascii="宋体" w:hAnsi="宋体" w:eastAsia="宋体" w:cs="宋体"/>
          <w:sz w:val="32"/>
          <w:szCs w:val="32"/>
          <w:lang w:val="en-US" w:eastAsia="zh-CN"/>
        </w:rPr>
        <w:t>2</w:t>
      </w:r>
      <w:r>
        <w:rPr>
          <w:rFonts w:hint="eastAsia" w:ascii="宋体" w:hAnsi="宋体" w:eastAsia="宋体" w:cs="宋体"/>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宋体" w:hAnsi="宋体" w:eastAsia="宋体" w:cs="宋体"/>
          <w:sz w:val="32"/>
          <w:szCs w:val="32"/>
          <w:lang w:val="en-US" w:eastAsia="zh-CN"/>
        </w:rPr>
        <w:t>4.34</w:t>
      </w:r>
      <w:r>
        <w:rPr>
          <w:rFonts w:hint="eastAsia" w:ascii="宋体" w:hAnsi="宋体" w:eastAsia="宋体" w:cs="宋体"/>
          <w:sz w:val="32"/>
          <w:szCs w:val="32"/>
        </w:rPr>
        <w:t>万元。主要用于按规定开支的各类公务接待支出。预算数</w:t>
      </w:r>
      <w:r>
        <w:rPr>
          <w:rFonts w:hint="eastAsia" w:ascii="宋体" w:hAnsi="宋体" w:eastAsia="宋体" w:cs="宋体"/>
          <w:sz w:val="32"/>
          <w:szCs w:val="32"/>
          <w:lang w:val="en-US" w:eastAsia="zh-CN"/>
        </w:rPr>
        <w:t>与</w:t>
      </w:r>
      <w:r>
        <w:rPr>
          <w:rFonts w:hint="eastAsia" w:ascii="宋体" w:hAnsi="宋体" w:eastAsia="宋体" w:cs="宋体"/>
          <w:sz w:val="32"/>
          <w:szCs w:val="32"/>
        </w:rPr>
        <w:t>202</w:t>
      </w:r>
      <w:r>
        <w:rPr>
          <w:rFonts w:hint="eastAsia" w:ascii="宋体" w:hAnsi="宋体" w:eastAsia="宋体" w:cs="宋体"/>
          <w:sz w:val="32"/>
          <w:szCs w:val="32"/>
          <w:lang w:val="en-US" w:eastAsia="zh-CN"/>
        </w:rPr>
        <w:t>2</w:t>
      </w:r>
      <w:r>
        <w:rPr>
          <w:rFonts w:hint="eastAsia" w:ascii="宋体" w:hAnsi="宋体" w:eastAsia="宋体" w:cs="宋体"/>
          <w:sz w:val="32"/>
          <w:szCs w:val="32"/>
        </w:rPr>
        <w:t>年</w:t>
      </w:r>
      <w:r>
        <w:rPr>
          <w:rFonts w:hint="eastAsia" w:ascii="宋体" w:hAnsi="宋体" w:eastAsia="宋体" w:cs="宋体"/>
          <w:sz w:val="32"/>
          <w:szCs w:val="32"/>
          <w:lang w:val="en-US" w:eastAsia="zh-CN"/>
        </w:rPr>
        <w:t>保持一致</w:t>
      </w:r>
      <w:r>
        <w:rPr>
          <w:rFonts w:hint="eastAsia" w:ascii="宋体" w:hAnsi="宋体" w:eastAsia="宋体" w:cs="宋体"/>
          <w:color w:val="333333"/>
          <w:sz w:val="31"/>
          <w:szCs w:val="31"/>
        </w:rPr>
        <w:t>。</w:t>
      </w:r>
    </w:p>
    <w:p>
      <w:pPr>
        <w:ind w:firstLine="643" w:firstLineChars="200"/>
        <w:jc w:val="left"/>
        <w:rPr>
          <w:rFonts w:hint="eastAsia" w:ascii="宋体" w:hAnsi="宋体" w:eastAsia="宋体" w:cs="宋体"/>
          <w:sz w:val="32"/>
          <w:szCs w:val="32"/>
        </w:rPr>
      </w:pPr>
      <w:r>
        <w:rPr>
          <w:rFonts w:hint="eastAsia" w:ascii="仿宋" w:hAnsi="仿宋" w:eastAsia="仿宋" w:cs="仿宋"/>
          <w:b/>
          <w:bCs/>
          <w:sz w:val="32"/>
          <w:szCs w:val="32"/>
        </w:rPr>
        <w:t>（三）公务用车购置及运行费</w:t>
      </w:r>
      <w:r>
        <w:rPr>
          <w:rFonts w:hint="eastAsia" w:ascii="宋体" w:hAnsi="宋体" w:eastAsia="宋体" w:cs="宋体"/>
          <w:sz w:val="32"/>
          <w:szCs w:val="32"/>
          <w:lang w:val="en-US" w:eastAsia="zh-CN"/>
        </w:rPr>
        <w:t>64.62</w:t>
      </w:r>
      <w:r>
        <w:rPr>
          <w:rFonts w:hint="eastAsia" w:ascii="宋体" w:hAnsi="宋体" w:eastAsia="宋体" w:cs="宋体"/>
          <w:sz w:val="32"/>
          <w:szCs w:val="32"/>
        </w:rPr>
        <w:t>万元，其中：公务用车运行维护费</w:t>
      </w:r>
      <w:r>
        <w:rPr>
          <w:rFonts w:hint="eastAsia" w:ascii="宋体" w:hAnsi="宋体" w:eastAsia="宋体" w:cs="宋体"/>
          <w:sz w:val="32"/>
          <w:szCs w:val="32"/>
          <w:lang w:val="en-US" w:eastAsia="zh-CN"/>
        </w:rPr>
        <w:t>64.62</w:t>
      </w:r>
      <w:r>
        <w:rPr>
          <w:rFonts w:hint="eastAsia" w:ascii="宋体" w:hAnsi="宋体" w:eastAsia="宋体" w:cs="宋体"/>
          <w:sz w:val="32"/>
          <w:szCs w:val="32"/>
        </w:rPr>
        <w:t>万元，公务用车购置</w:t>
      </w:r>
      <w:r>
        <w:rPr>
          <w:rFonts w:hint="eastAsia" w:ascii="宋体" w:hAnsi="宋体" w:eastAsia="宋体" w:cs="宋体"/>
          <w:sz w:val="32"/>
          <w:szCs w:val="32"/>
          <w:lang w:val="en-US" w:eastAsia="zh-CN"/>
        </w:rPr>
        <w:t>0</w:t>
      </w:r>
      <w:r>
        <w:rPr>
          <w:rFonts w:hint="eastAsia" w:ascii="宋体" w:hAnsi="宋体" w:eastAsia="宋体" w:cs="宋体"/>
          <w:sz w:val="32"/>
          <w:szCs w:val="32"/>
        </w:rPr>
        <w:t>万元。预算数比202</w:t>
      </w:r>
      <w:r>
        <w:rPr>
          <w:rFonts w:hint="eastAsia" w:ascii="宋体" w:hAnsi="宋体" w:eastAsia="宋体" w:cs="宋体"/>
          <w:sz w:val="32"/>
          <w:szCs w:val="32"/>
          <w:lang w:val="en-US" w:eastAsia="zh-CN"/>
        </w:rPr>
        <w:t>2</w:t>
      </w:r>
      <w:r>
        <w:rPr>
          <w:rFonts w:hint="eastAsia" w:ascii="宋体" w:hAnsi="宋体" w:eastAsia="宋体" w:cs="宋体"/>
          <w:sz w:val="32"/>
          <w:szCs w:val="32"/>
        </w:rPr>
        <w:t>年</w:t>
      </w:r>
      <w:r>
        <w:rPr>
          <w:rFonts w:hint="eastAsia" w:ascii="宋体" w:hAnsi="宋体" w:eastAsia="宋体" w:cs="宋体"/>
          <w:sz w:val="32"/>
          <w:szCs w:val="32"/>
          <w:lang w:val="en-US" w:eastAsia="zh-CN"/>
        </w:rPr>
        <w:t>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0"/>
        </w:numPr>
        <w:ind w:left="630" w:leftChars="0"/>
        <w:jc w:val="left"/>
        <w:rPr>
          <w:rFonts w:ascii="黑体" w:hAnsi="黑体" w:eastAsia="黑体"/>
          <w:sz w:val="32"/>
        </w:rPr>
      </w:pPr>
      <w:r>
        <w:rPr>
          <w:rFonts w:hint="eastAsia" w:ascii="黑体" w:hAnsi="黑体" w:eastAsia="黑体"/>
          <w:sz w:val="32"/>
          <w:lang w:val="en-US" w:eastAsia="zh-CN"/>
        </w:rPr>
        <w:t>8、</w:t>
      </w:r>
      <w:r>
        <w:rPr>
          <w:rFonts w:hint="eastAsia" w:ascii="黑体" w:hAnsi="黑体" w:eastAsia="黑体"/>
          <w:sz w:val="32"/>
        </w:rPr>
        <w:t>政府性基金预算支出预算情况说明</w:t>
      </w:r>
    </w:p>
    <w:p>
      <w:pPr>
        <w:ind w:firstLine="640" w:firstLineChars="200"/>
        <w:jc w:val="left"/>
        <w:rPr>
          <w:rFonts w:hint="eastAsia" w:ascii="宋体" w:hAnsi="宋体" w:eastAsia="宋体" w:cs="宋体"/>
          <w:sz w:val="32"/>
        </w:rPr>
      </w:pPr>
      <w:r>
        <w:rPr>
          <w:rFonts w:hint="eastAsia" w:ascii="宋体" w:hAnsi="宋体" w:eastAsia="宋体" w:cs="宋体"/>
          <w:sz w:val="32"/>
        </w:rPr>
        <w:t>202</w:t>
      </w:r>
      <w:r>
        <w:rPr>
          <w:rFonts w:hint="eastAsia" w:ascii="宋体" w:hAnsi="宋体" w:eastAsia="宋体" w:cs="宋体"/>
          <w:sz w:val="32"/>
          <w:lang w:val="en-US" w:eastAsia="zh-CN"/>
        </w:rPr>
        <w:t>3</w:t>
      </w:r>
      <w:r>
        <w:rPr>
          <w:rFonts w:hint="eastAsia" w:ascii="宋体" w:hAnsi="宋体" w:eastAsia="宋体" w:cs="宋体"/>
          <w:sz w:val="32"/>
        </w:rPr>
        <w:t>年</w:t>
      </w:r>
      <w:r>
        <w:rPr>
          <w:rFonts w:hint="eastAsia" w:ascii="宋体" w:hAnsi="宋体" w:eastAsia="宋体" w:cs="宋体"/>
          <w:sz w:val="32"/>
          <w:lang w:val="en-US" w:eastAsia="zh-CN"/>
        </w:rPr>
        <w:t>我单位没有</w:t>
      </w:r>
      <w:r>
        <w:rPr>
          <w:rFonts w:hint="eastAsia" w:ascii="宋体" w:hAnsi="宋体" w:eastAsia="宋体" w:cs="宋体"/>
          <w:sz w:val="32"/>
        </w:rPr>
        <w:t>政府性基金预算拨款</w:t>
      </w:r>
      <w:r>
        <w:rPr>
          <w:rFonts w:hint="eastAsia" w:ascii="宋体" w:hAnsi="宋体" w:eastAsia="宋体" w:cs="宋体"/>
          <w:sz w:val="32"/>
          <w:lang w:val="en-US" w:eastAsia="zh-CN"/>
        </w:rPr>
        <w:t>收入，也没有政府性基金预算安排的支出，故无数据情况说明。</w:t>
      </w:r>
    </w:p>
    <w:p>
      <w:pPr>
        <w:numPr>
          <w:ilvl w:val="0"/>
          <w:numId w:val="0"/>
        </w:numPr>
        <w:ind w:left="630" w:leftChars="0"/>
        <w:jc w:val="left"/>
        <w:rPr>
          <w:rFonts w:ascii="黑体" w:hAnsi="黑体" w:eastAsia="黑体"/>
          <w:sz w:val="32"/>
        </w:rPr>
      </w:pPr>
      <w:r>
        <w:rPr>
          <w:rFonts w:hint="eastAsia" w:ascii="黑体" w:hAnsi="黑体" w:eastAsia="黑体"/>
          <w:sz w:val="32"/>
          <w:lang w:val="en-US" w:eastAsia="zh-CN"/>
        </w:rPr>
        <w:t>9、</w:t>
      </w: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hint="eastAsia" w:ascii="宋体" w:hAnsi="宋体" w:eastAsia="宋体" w:cs="宋体"/>
          <w:sz w:val="32"/>
        </w:rPr>
      </w:pPr>
      <w:r>
        <w:rPr>
          <w:rFonts w:hint="eastAsia" w:ascii="宋体" w:hAnsi="宋体" w:eastAsia="宋体" w:cs="宋体"/>
          <w:sz w:val="32"/>
        </w:rPr>
        <w:t>我单位202</w:t>
      </w:r>
      <w:r>
        <w:rPr>
          <w:rFonts w:hint="eastAsia" w:ascii="宋体" w:hAnsi="宋体" w:eastAsia="宋体" w:cs="宋体"/>
          <w:sz w:val="32"/>
          <w:lang w:val="en-US" w:eastAsia="zh-CN"/>
        </w:rPr>
        <w:t>3</w:t>
      </w:r>
      <w:r>
        <w:rPr>
          <w:rFonts w:hint="eastAsia" w:ascii="宋体" w:hAnsi="宋体" w:eastAsia="宋体" w:cs="宋体"/>
          <w:sz w:val="32"/>
        </w:rPr>
        <w:t>年机关运行经费支出预算</w:t>
      </w:r>
      <w:r>
        <w:rPr>
          <w:rFonts w:hint="eastAsia" w:ascii="宋体" w:hAnsi="宋体" w:eastAsia="宋体" w:cs="宋体"/>
          <w:sz w:val="32"/>
          <w:lang w:val="en-US" w:eastAsia="zh-CN"/>
        </w:rPr>
        <w:t>789</w:t>
      </w:r>
      <w:r>
        <w:rPr>
          <w:rFonts w:hint="eastAsia" w:ascii="宋体" w:hAnsi="宋体" w:eastAsia="宋体" w:cs="宋体"/>
          <w:sz w:val="32"/>
        </w:rPr>
        <w:t>万元，</w:t>
      </w:r>
      <w:r>
        <w:rPr>
          <w:rFonts w:hint="eastAsia" w:ascii="宋体" w:hAnsi="宋体" w:eastAsia="宋体" w:cs="宋体"/>
          <w:sz w:val="32"/>
          <w:lang w:val="en-US" w:eastAsia="zh-CN"/>
        </w:rPr>
        <w:t>较2022年增长84.1%，</w:t>
      </w:r>
      <w:r>
        <w:rPr>
          <w:rFonts w:hint="eastAsia" w:ascii="宋体" w:hAnsi="宋体" w:eastAsia="宋体" w:cs="宋体"/>
          <w:sz w:val="32"/>
        </w:rPr>
        <w:t>主要</w:t>
      </w:r>
      <w:r>
        <w:rPr>
          <w:rFonts w:hint="eastAsia" w:ascii="宋体" w:hAnsi="宋体" w:eastAsia="宋体" w:cs="宋体"/>
          <w:sz w:val="32"/>
          <w:lang w:val="en-US" w:eastAsia="zh-CN"/>
        </w:rPr>
        <w:t>是</w:t>
      </w:r>
      <w:r>
        <w:rPr>
          <w:rFonts w:hint="eastAsia" w:ascii="宋体" w:hAnsi="宋体" w:eastAsia="宋体" w:cs="宋体"/>
          <w:sz w:val="32"/>
        </w:rPr>
        <w:t>全县公务接待、公寓楼机关食堂、新区水电、网格化管理保障经费</w:t>
      </w:r>
      <w:r>
        <w:rPr>
          <w:rFonts w:hint="eastAsia" w:ascii="宋体" w:hAnsi="宋体" w:eastAsia="宋体" w:cs="宋体"/>
          <w:sz w:val="32"/>
          <w:lang w:val="en-US" w:eastAsia="zh-CN"/>
        </w:rPr>
        <w:t>纳入了年初预算，完善了年初预算的科学性、精准性，</w:t>
      </w:r>
      <w:r>
        <w:rPr>
          <w:rFonts w:hint="eastAsia" w:ascii="宋体" w:hAnsi="宋体" w:eastAsia="宋体" w:cs="宋体"/>
          <w:sz w:val="32"/>
        </w:rPr>
        <w:t>保障</w:t>
      </w:r>
      <w:r>
        <w:rPr>
          <w:rFonts w:hint="eastAsia" w:ascii="宋体" w:hAnsi="宋体" w:eastAsia="宋体" w:cs="宋体"/>
          <w:sz w:val="32"/>
          <w:lang w:val="en-US" w:eastAsia="zh-CN"/>
        </w:rPr>
        <w:t>了</w:t>
      </w:r>
      <w:r>
        <w:rPr>
          <w:rFonts w:hint="eastAsia" w:ascii="宋体" w:hAnsi="宋体" w:eastAsia="宋体" w:cs="宋体"/>
          <w:sz w:val="32"/>
        </w:rPr>
        <w:t>机构正常运转及正常履职需要，</w:t>
      </w:r>
      <w:r>
        <w:rPr>
          <w:rFonts w:hint="eastAsia" w:ascii="宋体" w:hAnsi="宋体" w:eastAsia="宋体" w:cs="宋体"/>
          <w:sz w:val="32"/>
          <w:lang w:val="en-US" w:eastAsia="zh-CN"/>
        </w:rPr>
        <w:t>该经费</w:t>
      </w:r>
      <w:r>
        <w:rPr>
          <w:rFonts w:hint="eastAsia" w:ascii="宋体" w:hAnsi="宋体" w:eastAsia="宋体" w:cs="宋体"/>
          <w:sz w:val="32"/>
        </w:rPr>
        <w:t>用于</w:t>
      </w:r>
      <w:r>
        <w:rPr>
          <w:rFonts w:hint="eastAsia" w:ascii="宋体" w:hAnsi="宋体" w:eastAsia="宋体" w:cs="宋体"/>
          <w:sz w:val="32"/>
          <w:lang w:val="en-US" w:eastAsia="zh-CN"/>
        </w:rPr>
        <w:t>单位</w:t>
      </w:r>
      <w:r>
        <w:rPr>
          <w:rFonts w:hint="eastAsia" w:ascii="宋体" w:hAnsi="宋体" w:eastAsia="宋体" w:cs="宋体"/>
          <w:sz w:val="32"/>
        </w:rPr>
        <w:t>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hint="eastAsia" w:ascii="宋体" w:hAnsi="宋体" w:eastAsia="宋体" w:cs="宋体"/>
          <w:sz w:val="32"/>
        </w:rPr>
      </w:pPr>
      <w:r>
        <w:rPr>
          <w:rFonts w:hint="eastAsia" w:ascii="宋体" w:hAnsi="宋体" w:eastAsia="宋体" w:cs="宋体"/>
          <w:sz w:val="32"/>
        </w:rPr>
        <w:t>我单位202</w:t>
      </w:r>
      <w:r>
        <w:rPr>
          <w:rFonts w:hint="eastAsia" w:ascii="宋体" w:hAnsi="宋体" w:eastAsia="宋体" w:cs="宋体"/>
          <w:sz w:val="32"/>
          <w:lang w:val="en-US" w:eastAsia="zh-CN"/>
        </w:rPr>
        <w:t>3</w:t>
      </w:r>
      <w:r>
        <w:rPr>
          <w:rFonts w:hint="eastAsia" w:ascii="宋体" w:hAnsi="宋体" w:eastAsia="宋体" w:cs="宋体"/>
          <w:sz w:val="32"/>
        </w:rPr>
        <w:t>年政府采购预算安排</w:t>
      </w:r>
      <w:r>
        <w:rPr>
          <w:rFonts w:hint="eastAsia" w:ascii="宋体" w:hAnsi="宋体" w:eastAsia="宋体" w:cs="宋体"/>
          <w:sz w:val="32"/>
          <w:lang w:val="en-US" w:eastAsia="zh-CN"/>
        </w:rPr>
        <w:t>5</w:t>
      </w:r>
      <w:r>
        <w:rPr>
          <w:rFonts w:hint="eastAsia" w:ascii="宋体" w:hAnsi="宋体" w:eastAsia="宋体" w:cs="宋体"/>
          <w:sz w:val="32"/>
        </w:rPr>
        <w:t>万元，其中：货物类采购预算</w:t>
      </w:r>
      <w:r>
        <w:rPr>
          <w:rFonts w:hint="eastAsia" w:ascii="宋体" w:hAnsi="宋体" w:eastAsia="宋体" w:cs="宋体"/>
          <w:sz w:val="32"/>
          <w:lang w:val="en-US" w:eastAsia="zh-CN"/>
        </w:rPr>
        <w:t>5</w:t>
      </w:r>
      <w:r>
        <w:rPr>
          <w:rFonts w:hint="eastAsia" w:ascii="宋体" w:hAnsi="宋体" w:eastAsia="宋体" w:cs="宋体"/>
          <w:sz w:val="32"/>
        </w:rPr>
        <w:t>万元，工程类采购预算</w:t>
      </w:r>
      <w:r>
        <w:rPr>
          <w:rFonts w:hint="eastAsia" w:ascii="宋体" w:hAnsi="宋体" w:eastAsia="宋体" w:cs="宋体"/>
          <w:sz w:val="32"/>
          <w:lang w:val="en-US" w:eastAsia="zh-CN"/>
        </w:rPr>
        <w:t>0</w:t>
      </w:r>
      <w:r>
        <w:rPr>
          <w:rFonts w:hint="eastAsia" w:ascii="宋体" w:hAnsi="宋体" w:eastAsia="宋体" w:cs="宋体"/>
          <w:sz w:val="32"/>
        </w:rPr>
        <w:t>万元，服务类采购预算</w:t>
      </w:r>
      <w:r>
        <w:rPr>
          <w:rFonts w:hint="eastAsia" w:ascii="宋体" w:hAnsi="宋体" w:eastAsia="宋体" w:cs="宋体"/>
          <w:sz w:val="32"/>
          <w:lang w:val="en-US" w:eastAsia="zh-CN"/>
        </w:rPr>
        <w:t>0</w:t>
      </w:r>
      <w:r>
        <w:rPr>
          <w:rFonts w:hint="eastAsia" w:ascii="宋体" w:hAnsi="宋体" w:eastAsia="宋体" w:cs="宋体"/>
          <w:sz w:val="32"/>
        </w:rPr>
        <w:t>万元。</w:t>
      </w:r>
    </w:p>
    <w:p>
      <w:pPr>
        <w:numPr>
          <w:ilvl w:val="0"/>
          <w:numId w:val="2"/>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宋体" w:hAnsi="宋体" w:eastAsia="宋体" w:cs="宋体"/>
          <w:sz w:val="32"/>
        </w:rPr>
      </w:pPr>
      <w:r>
        <w:rPr>
          <w:rFonts w:hint="eastAsia" w:ascii="宋体" w:hAnsi="宋体" w:eastAsia="宋体" w:cs="宋体"/>
          <w:sz w:val="32"/>
        </w:rPr>
        <w:t>我单位202</w:t>
      </w:r>
      <w:r>
        <w:rPr>
          <w:rFonts w:hint="eastAsia" w:ascii="宋体" w:hAnsi="宋体" w:eastAsia="宋体" w:cs="宋体"/>
          <w:sz w:val="32"/>
          <w:lang w:val="en-US" w:eastAsia="zh-CN"/>
        </w:rPr>
        <w:t>3</w:t>
      </w:r>
      <w:r>
        <w:rPr>
          <w:rFonts w:hint="eastAsia" w:ascii="宋体" w:hAnsi="宋体" w:eastAsia="宋体" w:cs="宋体"/>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宋体" w:hAnsi="宋体" w:eastAsia="宋体" w:cs="宋体"/>
          <w:sz w:val="32"/>
          <w:lang w:val="en-US" w:eastAsia="zh-CN"/>
        </w:rPr>
      </w:pPr>
      <w:r>
        <w:rPr>
          <w:rFonts w:hint="eastAsia" w:ascii="宋体" w:hAnsi="宋体" w:eastAsia="宋体" w:cs="宋体"/>
          <w:sz w:val="32"/>
          <w:lang w:val="en-US" w:eastAsia="zh-CN"/>
        </w:rPr>
        <w:t>2023年部门预算金额共计967万元，其中项目共5个，金额为789万元。</w:t>
      </w:r>
    </w:p>
    <w:p>
      <w:pPr>
        <w:numPr>
          <w:ilvl w:val="0"/>
          <w:numId w:val="2"/>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960" w:firstLineChars="300"/>
        <w:rPr>
          <w:rFonts w:hint="eastAsia" w:ascii="宋体" w:hAnsi="宋体" w:eastAsia="宋体" w:cs="宋体"/>
          <w:b w:val="0"/>
          <w:bCs w:val="0"/>
          <w:color w:val="000000"/>
          <w:kern w:val="0"/>
          <w:sz w:val="32"/>
          <w:szCs w:val="32"/>
        </w:rPr>
      </w:pPr>
      <w:r>
        <w:rPr>
          <w:rFonts w:hint="eastAsia" w:ascii="宋体" w:hAnsi="宋体" w:eastAsia="宋体" w:cs="宋体"/>
          <w:b w:val="0"/>
          <w:bCs w:val="0"/>
          <w:color w:val="000000"/>
          <w:kern w:val="0"/>
          <w:sz w:val="32"/>
          <w:szCs w:val="32"/>
        </w:rPr>
        <w:t>20</w:t>
      </w:r>
      <w:r>
        <w:rPr>
          <w:rFonts w:hint="eastAsia" w:ascii="宋体" w:hAnsi="宋体" w:eastAsia="宋体" w:cs="宋体"/>
          <w:b w:val="0"/>
          <w:bCs w:val="0"/>
          <w:color w:val="000000"/>
          <w:kern w:val="0"/>
          <w:sz w:val="32"/>
          <w:szCs w:val="32"/>
          <w:lang w:val="en-US" w:eastAsia="zh-CN"/>
        </w:rPr>
        <w:t>22</w:t>
      </w:r>
      <w:r>
        <w:rPr>
          <w:rFonts w:hint="eastAsia" w:ascii="宋体" w:hAnsi="宋体" w:eastAsia="宋体" w:cs="宋体"/>
          <w:b w:val="0"/>
          <w:bCs w:val="0"/>
          <w:color w:val="000000"/>
          <w:kern w:val="0"/>
          <w:sz w:val="32"/>
          <w:szCs w:val="32"/>
        </w:rPr>
        <w:t>年期末，我单位共有车辆6辆，其中：一般公务用车6辆，一般执法执勤用车0辆，特种用途车0辆，单位价值50万以上通用设备1辆，是县公务接待车辆；单位价值100万以上专用设备0套。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widowControl w:val="0"/>
        <w:numPr>
          <w:ilvl w:val="0"/>
          <w:numId w:val="0"/>
        </w:numPr>
        <w:ind w:firstLine="640" w:firstLineChars="200"/>
        <w:jc w:val="left"/>
        <w:rPr>
          <w:rFonts w:hint="eastAsia" w:ascii="宋体" w:hAnsi="宋体" w:eastAsia="宋体" w:cs="宋体"/>
          <w:b w:val="0"/>
          <w:bCs w:val="0"/>
          <w:sz w:val="48"/>
          <w:szCs w:val="48"/>
          <w:lang w:eastAsia="zh-CN"/>
        </w:rPr>
      </w:pPr>
      <w:r>
        <w:rPr>
          <w:rFonts w:hint="eastAsia" w:ascii="宋体" w:hAnsi="宋体" w:eastAsia="宋体" w:cs="宋体"/>
          <w:sz w:val="32"/>
        </w:rPr>
        <w:t>我</w:t>
      </w:r>
      <w:r>
        <w:rPr>
          <w:rFonts w:hint="eastAsia" w:ascii="宋体" w:hAnsi="宋体" w:eastAsia="宋体" w:cs="宋体"/>
          <w:b w:val="0"/>
          <w:bCs w:val="0"/>
          <w:sz w:val="32"/>
          <w:szCs w:val="32"/>
        </w:rPr>
        <w:t>我</w:t>
      </w:r>
      <w:r>
        <w:rPr>
          <w:rFonts w:hint="eastAsia" w:ascii="宋体" w:hAnsi="宋体" w:eastAsia="宋体" w:cs="宋体"/>
          <w:b w:val="0"/>
          <w:bCs w:val="0"/>
          <w:sz w:val="32"/>
          <w:szCs w:val="32"/>
          <w:lang w:val="en-US" w:eastAsia="zh-CN"/>
        </w:rPr>
        <w:t>单位</w:t>
      </w:r>
      <w:r>
        <w:rPr>
          <w:rFonts w:hint="eastAsia" w:ascii="宋体" w:hAnsi="宋体" w:eastAsia="宋体" w:cs="宋体"/>
          <w:b w:val="0"/>
          <w:bCs w:val="0"/>
          <w:sz w:val="32"/>
          <w:szCs w:val="32"/>
        </w:rPr>
        <w:t>负责管理的专项转移支付项目共有</w:t>
      </w:r>
      <w:r>
        <w:rPr>
          <w:rFonts w:hint="eastAsia" w:ascii="宋体" w:hAnsi="宋体" w:eastAsia="宋体" w:cs="宋体"/>
          <w:b w:val="0"/>
          <w:bCs w:val="0"/>
          <w:sz w:val="32"/>
          <w:szCs w:val="32"/>
          <w:lang w:val="en-US" w:eastAsia="zh-CN"/>
        </w:rPr>
        <w:t>0</w:t>
      </w:r>
      <w:r>
        <w:rPr>
          <w:rFonts w:hint="eastAsia" w:ascii="宋体" w:hAnsi="宋体" w:eastAsia="宋体" w:cs="宋体"/>
          <w:b w:val="0"/>
          <w:bCs w:val="0"/>
          <w:sz w:val="32"/>
          <w:szCs w:val="32"/>
        </w:rPr>
        <w:t>项</w:t>
      </w:r>
      <w:r>
        <w:rPr>
          <w:rFonts w:hint="eastAsia" w:ascii="宋体" w:hAnsi="宋体" w:eastAsia="宋体" w:cs="宋体"/>
          <w:b w:val="0"/>
          <w:bCs w:val="0"/>
          <w:sz w:val="32"/>
          <w:szCs w:val="32"/>
          <w:lang w:val="en-US" w:eastAsia="zh-CN"/>
        </w:rPr>
        <w:t>。我单位无负责专项管理的专项转移支付项目。</w:t>
      </w:r>
    </w:p>
    <w:p>
      <w:pPr>
        <w:ind w:firstLine="640" w:firstLineChars="200"/>
        <w:jc w:val="left"/>
        <w:rPr>
          <w:rFonts w:ascii="仿宋" w:hAnsi="仿宋" w:eastAsia="仿宋" w:cs="仿宋"/>
          <w:sz w:val="32"/>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hint="eastAsia" w:ascii="宋体" w:hAnsi="宋体" w:eastAsia="宋体" w:cs="宋体"/>
          <w:b/>
          <w:bCs/>
          <w:sz w:val="36"/>
          <w:szCs w:val="36"/>
        </w:rPr>
      </w:pPr>
    </w:p>
    <w:p>
      <w:pPr>
        <w:jc w:val="center"/>
        <w:rPr>
          <w:rFonts w:hint="eastAsia" w:ascii="宋体" w:hAnsi="宋体" w:eastAsia="宋体" w:cs="宋体"/>
          <w:b/>
          <w:bCs/>
          <w:sz w:val="36"/>
          <w:szCs w:val="36"/>
        </w:rPr>
      </w:pPr>
      <w:r>
        <w:rPr>
          <w:rFonts w:hint="eastAsia" w:ascii="宋体" w:hAnsi="宋体" w:eastAsia="宋体" w:cs="宋体"/>
          <w:b/>
          <w:bCs/>
          <w:sz w:val="36"/>
          <w:szCs w:val="36"/>
        </w:rPr>
        <w:t xml:space="preserve">第三部分 </w:t>
      </w:r>
    </w:p>
    <w:p>
      <w:pPr>
        <w:jc w:val="center"/>
        <w:rPr>
          <w:rFonts w:hint="eastAsia" w:ascii="宋体" w:hAnsi="宋体" w:eastAsia="宋体" w:cs="宋体"/>
          <w:b/>
          <w:bCs/>
          <w:sz w:val="36"/>
          <w:szCs w:val="36"/>
        </w:rPr>
      </w:pPr>
      <w:r>
        <w:rPr>
          <w:rFonts w:hint="eastAsia" w:ascii="宋体" w:hAnsi="宋体" w:eastAsia="宋体" w:cs="宋体"/>
          <w:b/>
          <w:bCs/>
          <w:sz w:val="36"/>
          <w:szCs w:val="36"/>
        </w:rPr>
        <w:t>名词解释</w:t>
      </w:r>
    </w:p>
    <w:p>
      <w:pPr>
        <w:jc w:val="left"/>
        <w:rPr>
          <w:rFonts w:hint="eastAsia" w:ascii="宋体" w:hAnsi="宋体" w:eastAsia="宋体" w:cs="宋体"/>
          <w:sz w:val="32"/>
        </w:rPr>
      </w:pPr>
    </w:p>
    <w:p>
      <w:pPr>
        <w:numPr>
          <w:ilvl w:val="0"/>
          <w:numId w:val="0"/>
        </w:numPr>
        <w:jc w:val="left"/>
        <w:rPr>
          <w:rFonts w:hint="eastAsia" w:ascii="宋体" w:hAnsi="宋体" w:eastAsia="宋体" w:cs="宋体"/>
          <w:sz w:val="32"/>
        </w:rPr>
      </w:pPr>
      <w:r>
        <w:rPr>
          <w:rFonts w:hint="eastAsia" w:ascii="宋体" w:hAnsi="宋体" w:eastAsia="宋体" w:cs="宋体"/>
          <w:sz w:val="32"/>
          <w:lang w:val="en-US" w:eastAsia="zh-CN"/>
        </w:rPr>
        <w:t>1、</w:t>
      </w:r>
      <w:r>
        <w:rPr>
          <w:rFonts w:hint="eastAsia" w:ascii="宋体" w:hAnsi="宋体" w:eastAsia="宋体" w:cs="宋体"/>
          <w:sz w:val="32"/>
        </w:rPr>
        <w:t xml:space="preserve">财政拨款收入：是指县级财政当年拨付的资金。 </w:t>
      </w:r>
    </w:p>
    <w:p>
      <w:pPr>
        <w:numPr>
          <w:ilvl w:val="0"/>
          <w:numId w:val="0"/>
        </w:numPr>
        <w:jc w:val="left"/>
        <w:rPr>
          <w:rFonts w:hint="eastAsia" w:ascii="宋体" w:hAnsi="宋体" w:eastAsia="宋体" w:cs="宋体"/>
          <w:sz w:val="32"/>
        </w:rPr>
      </w:pPr>
      <w:r>
        <w:rPr>
          <w:rFonts w:hint="eastAsia" w:ascii="宋体" w:hAnsi="宋体" w:eastAsia="宋体" w:cs="宋体"/>
          <w:sz w:val="32"/>
          <w:lang w:val="en-US" w:eastAsia="zh-CN"/>
        </w:rPr>
        <w:t>2、</w:t>
      </w:r>
      <w:r>
        <w:rPr>
          <w:rFonts w:hint="eastAsia" w:ascii="宋体" w:hAnsi="宋体" w:eastAsia="宋体" w:cs="宋体"/>
          <w:sz w:val="32"/>
        </w:rPr>
        <w:t>事业收入：是指事业单位开展专业活动及辅助活动</w:t>
      </w:r>
    </w:p>
    <w:p>
      <w:pPr>
        <w:jc w:val="left"/>
        <w:rPr>
          <w:rFonts w:hint="eastAsia" w:ascii="宋体" w:hAnsi="宋体" w:eastAsia="宋体" w:cs="宋体"/>
          <w:sz w:val="32"/>
        </w:rPr>
      </w:pPr>
      <w:r>
        <w:rPr>
          <w:rFonts w:hint="eastAsia" w:ascii="宋体" w:hAnsi="宋体" w:eastAsia="宋体" w:cs="宋体"/>
          <w:sz w:val="32"/>
        </w:rPr>
        <w:t>所取得的收入。</w:t>
      </w:r>
    </w:p>
    <w:p>
      <w:pPr>
        <w:numPr>
          <w:ilvl w:val="0"/>
          <w:numId w:val="0"/>
        </w:numPr>
        <w:jc w:val="left"/>
        <w:rPr>
          <w:rFonts w:hint="eastAsia" w:ascii="宋体" w:hAnsi="宋体" w:eastAsia="宋体" w:cs="宋体"/>
          <w:color w:val="333333"/>
          <w:sz w:val="24"/>
        </w:rPr>
      </w:pPr>
      <w:r>
        <w:rPr>
          <w:rFonts w:hint="eastAsia" w:ascii="宋体" w:hAnsi="宋体" w:eastAsia="宋体" w:cs="宋体"/>
          <w:sz w:val="32"/>
          <w:lang w:val="en-US" w:eastAsia="zh-CN"/>
        </w:rPr>
        <w:t>3、</w:t>
      </w:r>
      <w:r>
        <w:rPr>
          <w:rFonts w:hint="eastAsia" w:ascii="宋体" w:hAnsi="宋体" w:eastAsia="宋体" w:cs="宋体"/>
          <w:sz w:val="32"/>
        </w:rPr>
        <w:t>其他收入：是指部门取得的除“财政拨款”、“事 业收入”、“事业单位经营收入”等以外的收入。</w:t>
      </w:r>
    </w:p>
    <w:p>
      <w:pPr>
        <w:numPr>
          <w:ilvl w:val="0"/>
          <w:numId w:val="0"/>
        </w:numPr>
        <w:jc w:val="left"/>
        <w:rPr>
          <w:rFonts w:hint="eastAsia" w:ascii="宋体" w:hAnsi="宋体" w:eastAsia="宋体" w:cs="宋体"/>
          <w:sz w:val="32"/>
        </w:rPr>
      </w:pPr>
      <w:r>
        <w:rPr>
          <w:rFonts w:hint="eastAsia" w:ascii="宋体" w:hAnsi="宋体" w:eastAsia="宋体" w:cs="宋体"/>
          <w:color w:val="333333"/>
          <w:sz w:val="32"/>
          <w:szCs w:val="32"/>
          <w:shd w:val="clear" w:color="auto" w:fill="FFFFFF"/>
          <w:lang w:val="en-US" w:eastAsia="zh-CN"/>
        </w:rPr>
        <w:t>4、</w:t>
      </w:r>
      <w:r>
        <w:rPr>
          <w:rFonts w:hint="eastAsia" w:ascii="宋体" w:hAnsi="宋体" w:eastAsia="宋体" w:cs="宋体"/>
          <w:color w:val="333333"/>
          <w:sz w:val="32"/>
          <w:szCs w:val="32"/>
          <w:shd w:val="clear" w:color="auto" w:fill="FFFFFF"/>
        </w:rPr>
        <w:t>上年结转：指以前年度安排、结转到本年仍按原用途继续使用的资金。</w:t>
      </w:r>
    </w:p>
    <w:p>
      <w:pPr>
        <w:numPr>
          <w:ilvl w:val="0"/>
          <w:numId w:val="0"/>
        </w:numPr>
        <w:jc w:val="left"/>
        <w:rPr>
          <w:rFonts w:hint="eastAsia" w:ascii="宋体" w:hAnsi="宋体" w:eastAsia="宋体" w:cs="宋体"/>
          <w:sz w:val="32"/>
        </w:rPr>
      </w:pPr>
      <w:r>
        <w:rPr>
          <w:rFonts w:hint="eastAsia" w:ascii="宋体" w:hAnsi="宋体" w:eastAsia="宋体" w:cs="宋体"/>
          <w:color w:val="333333"/>
          <w:sz w:val="32"/>
          <w:szCs w:val="32"/>
          <w:shd w:val="clear" w:color="auto" w:fill="FFFFFF"/>
          <w:lang w:val="en-US" w:eastAsia="zh-CN"/>
        </w:rPr>
        <w:t>5、</w:t>
      </w:r>
      <w:r>
        <w:rPr>
          <w:rFonts w:hint="eastAsia" w:ascii="宋体" w:hAnsi="宋体" w:eastAsia="宋体" w:cs="宋体"/>
          <w:color w:val="333333"/>
          <w:sz w:val="32"/>
          <w:szCs w:val="32"/>
          <w:shd w:val="clear" w:color="auto" w:fill="FFFFFF"/>
        </w:rPr>
        <w:t>结转下年：指以前年度预算安排、因客观条件发生变化无法按原计划实施，需以后年度按原用途继续使用的资金。</w:t>
      </w:r>
    </w:p>
    <w:p>
      <w:pPr>
        <w:numPr>
          <w:ilvl w:val="0"/>
          <w:numId w:val="0"/>
        </w:numPr>
        <w:jc w:val="left"/>
        <w:rPr>
          <w:rFonts w:hint="eastAsia" w:ascii="宋体" w:hAnsi="宋体" w:eastAsia="宋体" w:cs="宋体"/>
          <w:sz w:val="32"/>
        </w:rPr>
      </w:pPr>
      <w:r>
        <w:rPr>
          <w:rFonts w:hint="eastAsia" w:ascii="宋体" w:hAnsi="宋体" w:eastAsia="宋体" w:cs="宋体"/>
          <w:sz w:val="32"/>
          <w:lang w:val="en-US" w:eastAsia="zh-CN"/>
        </w:rPr>
        <w:t>6、</w:t>
      </w:r>
      <w:r>
        <w:rPr>
          <w:rFonts w:hint="eastAsia" w:ascii="宋体" w:hAnsi="宋体" w:eastAsia="宋体" w:cs="宋体"/>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0"/>
        </w:numPr>
        <w:jc w:val="left"/>
        <w:rPr>
          <w:rFonts w:hint="eastAsia" w:ascii="宋体" w:hAnsi="宋体" w:eastAsia="宋体" w:cs="宋体"/>
          <w:sz w:val="32"/>
        </w:rPr>
      </w:pPr>
      <w:r>
        <w:rPr>
          <w:rFonts w:hint="eastAsia" w:ascii="宋体" w:hAnsi="宋体" w:eastAsia="宋体" w:cs="宋体"/>
          <w:sz w:val="32"/>
          <w:lang w:val="en-US" w:eastAsia="zh-CN"/>
        </w:rPr>
        <w:t>7、</w:t>
      </w:r>
      <w:r>
        <w:rPr>
          <w:rFonts w:hint="eastAsia" w:ascii="宋体" w:hAnsi="宋体" w:eastAsia="宋体" w:cs="宋体"/>
          <w:sz w:val="32"/>
        </w:rPr>
        <w:t>基本支出：是指为保障机构正常运转、完成日常工 作任务所必需的开支，其内容包括人员经费和日常公用经费 两部分。</w:t>
      </w:r>
    </w:p>
    <w:p>
      <w:pPr>
        <w:numPr>
          <w:ilvl w:val="0"/>
          <w:numId w:val="0"/>
        </w:numPr>
        <w:jc w:val="left"/>
        <w:rPr>
          <w:rFonts w:hint="eastAsia" w:ascii="宋体" w:hAnsi="宋体" w:eastAsia="宋体" w:cs="宋体"/>
          <w:sz w:val="32"/>
        </w:rPr>
      </w:pPr>
      <w:r>
        <w:rPr>
          <w:rFonts w:hint="eastAsia" w:ascii="宋体" w:hAnsi="宋体" w:eastAsia="宋体" w:cs="宋体"/>
          <w:sz w:val="32"/>
          <w:lang w:val="en-US" w:eastAsia="zh-CN"/>
        </w:rPr>
        <w:t>8、</w:t>
      </w:r>
      <w:r>
        <w:rPr>
          <w:rFonts w:hint="eastAsia" w:ascii="宋体" w:hAnsi="宋体" w:eastAsia="宋体" w:cs="宋体"/>
          <w:sz w:val="32"/>
        </w:rPr>
        <w:t>项目支出：是指在基本支出之外，为完成特定的行政工作任务或事业发展目标所发生的支出。</w:t>
      </w:r>
    </w:p>
    <w:p>
      <w:pPr>
        <w:numPr>
          <w:ilvl w:val="0"/>
          <w:numId w:val="0"/>
        </w:numPr>
        <w:jc w:val="left"/>
        <w:rPr>
          <w:rFonts w:hint="eastAsia" w:ascii="宋体" w:hAnsi="宋体" w:eastAsia="宋体" w:cs="宋体"/>
          <w:sz w:val="32"/>
        </w:rPr>
      </w:pPr>
      <w:r>
        <w:rPr>
          <w:rFonts w:hint="eastAsia" w:ascii="宋体" w:hAnsi="宋体" w:eastAsia="宋体" w:cs="宋体"/>
          <w:sz w:val="32"/>
          <w:lang w:val="en-US" w:eastAsia="zh-CN"/>
        </w:rPr>
        <w:t>9、</w:t>
      </w:r>
      <w:r>
        <w:rPr>
          <w:rFonts w:hint="eastAsia" w:ascii="宋体" w:hAnsi="宋体" w:eastAsia="宋体" w:cs="宋体"/>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hint="eastAsia" w:ascii="宋体" w:hAnsi="宋体" w:eastAsia="宋体" w:cs="宋体"/>
          <w:sz w:val="32"/>
        </w:rPr>
      </w:pPr>
      <w:r>
        <w:rPr>
          <w:rFonts w:hint="eastAsia" w:ascii="宋体" w:hAnsi="宋体" w:eastAsia="宋体" w:cs="宋体"/>
          <w:sz w:val="32"/>
        </w:rPr>
        <w:t>（含外宾接待）支出。</w:t>
      </w:r>
    </w:p>
    <w:p>
      <w:pPr>
        <w:numPr>
          <w:ilvl w:val="0"/>
          <w:numId w:val="0"/>
        </w:numPr>
        <w:jc w:val="left"/>
        <w:rPr>
          <w:rFonts w:hint="eastAsia" w:ascii="宋体" w:hAnsi="宋体" w:eastAsia="宋体" w:cs="宋体"/>
          <w:sz w:val="32"/>
        </w:rPr>
      </w:pPr>
      <w:r>
        <w:rPr>
          <w:rFonts w:hint="eastAsia" w:ascii="宋体" w:hAnsi="宋体" w:eastAsia="宋体" w:cs="宋体"/>
          <w:sz w:val="32"/>
          <w:lang w:val="en-US" w:eastAsia="zh-CN"/>
        </w:rPr>
        <w:t>10、</w:t>
      </w:r>
      <w:r>
        <w:rPr>
          <w:rFonts w:hint="eastAsia" w:ascii="宋体" w:hAnsi="宋体" w:eastAsia="宋体" w:cs="宋体"/>
          <w:sz w:val="32"/>
        </w:rPr>
        <w:t>机关运行经费：是指为保障行政单位（含参照公务员法管理的事业单位）运行用于购买货物和服务的各项资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0"/>
        </w:numPr>
        <w:jc w:val="left"/>
        <w:rPr>
          <w:rFonts w:hint="eastAsia" w:ascii="宋体" w:hAnsi="宋体" w:eastAsia="宋体" w:cs="宋体"/>
          <w:sz w:val="32"/>
        </w:rPr>
      </w:pPr>
      <w:r>
        <w:rPr>
          <w:rFonts w:hint="eastAsia" w:ascii="宋体" w:hAnsi="宋体" w:eastAsia="宋体" w:cs="宋体"/>
          <w:color w:val="000000"/>
          <w:sz w:val="31"/>
          <w:szCs w:val="31"/>
          <w:shd w:val="clear" w:color="auto" w:fill="FFFFFF"/>
          <w:lang w:val="en-US" w:eastAsia="zh-CN"/>
        </w:rPr>
        <w:t>11、</w:t>
      </w:r>
      <w:r>
        <w:rPr>
          <w:rFonts w:hint="eastAsia" w:ascii="宋体" w:hAnsi="宋体" w:eastAsia="宋体" w:cs="宋体"/>
          <w:color w:val="000000"/>
          <w:sz w:val="31"/>
          <w:szCs w:val="31"/>
          <w:shd w:val="clear" w:color="auto" w:fill="FFFFFF"/>
        </w:rPr>
        <w:t>专项转移支付：是指上级政府(在我国一般指中央、省、市级政府)为实现特定的宏观政策目标，以及对委托下级政府代理的一些事务进行补偿而设立的专项补助资金。资金接受者需按规定用途使用资金。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w:t>
      </w:r>
      <w:r>
        <w:rPr>
          <w:rFonts w:hint="eastAsia" w:ascii="黑体" w:hAnsi="黑体" w:eastAsia="黑体" w:cs="黑体"/>
          <w:sz w:val="32"/>
          <w:lang w:val="en-US" w:eastAsia="zh-CN"/>
        </w:rPr>
        <w:t>机关事务中心</w:t>
      </w:r>
      <w:r>
        <w:rPr>
          <w:rFonts w:hint="eastAsia" w:ascii="黑体" w:hAnsi="黑体" w:eastAsia="黑体" w:cs="黑体"/>
          <w:sz w:val="32"/>
        </w:rPr>
        <w:t>202</w:t>
      </w:r>
      <w:r>
        <w:rPr>
          <w:rFonts w:hint="eastAsia" w:ascii="黑体" w:hAnsi="黑体" w:eastAsia="黑体" w:cs="黑体"/>
          <w:sz w:val="32"/>
          <w:lang w:val="en-US" w:eastAsia="zh-CN"/>
        </w:rPr>
        <w:t>3</w:t>
      </w:r>
      <w:r>
        <w:rPr>
          <w:rFonts w:hint="eastAsia" w:ascii="黑体" w:hAnsi="黑体" w:eastAsia="黑体" w:cs="黑体"/>
          <w:sz w:val="32"/>
        </w:rPr>
        <w:t>年部门预算表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73A1052D"/>
    <w:multiLevelType w:val="singleLevel"/>
    <w:tmpl w:val="73A1052D"/>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xOTkzNzI0NzU5ZjIyMmFkNmUxYWJmNTc4YWYwMGUifQ=="/>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6440A7A"/>
    <w:rsid w:val="071D4AEC"/>
    <w:rsid w:val="084542FA"/>
    <w:rsid w:val="0A6251B2"/>
    <w:rsid w:val="0B5838CC"/>
    <w:rsid w:val="0D0F4ED6"/>
    <w:rsid w:val="0D513137"/>
    <w:rsid w:val="10602789"/>
    <w:rsid w:val="12192E36"/>
    <w:rsid w:val="123258EF"/>
    <w:rsid w:val="12EF1A32"/>
    <w:rsid w:val="144A1E7D"/>
    <w:rsid w:val="14EB0D6C"/>
    <w:rsid w:val="15F07B94"/>
    <w:rsid w:val="173B6758"/>
    <w:rsid w:val="191C5F4B"/>
    <w:rsid w:val="1B351FAC"/>
    <w:rsid w:val="1CA53161"/>
    <w:rsid w:val="1D0460DA"/>
    <w:rsid w:val="1D2E3157"/>
    <w:rsid w:val="1F046865"/>
    <w:rsid w:val="1FE67D19"/>
    <w:rsid w:val="228003BD"/>
    <w:rsid w:val="228C104B"/>
    <w:rsid w:val="23D51996"/>
    <w:rsid w:val="246B28E3"/>
    <w:rsid w:val="24DA1A42"/>
    <w:rsid w:val="274F7F6E"/>
    <w:rsid w:val="279A1B15"/>
    <w:rsid w:val="27A42993"/>
    <w:rsid w:val="28196722"/>
    <w:rsid w:val="28447CD2"/>
    <w:rsid w:val="2A9173F4"/>
    <w:rsid w:val="2AA67AA4"/>
    <w:rsid w:val="2AA8279A"/>
    <w:rsid w:val="2ACE5F14"/>
    <w:rsid w:val="2C081B10"/>
    <w:rsid w:val="2D4A0B6E"/>
    <w:rsid w:val="2F072B71"/>
    <w:rsid w:val="2F8530AA"/>
    <w:rsid w:val="32476D3D"/>
    <w:rsid w:val="33ED121E"/>
    <w:rsid w:val="3402116D"/>
    <w:rsid w:val="34030A42"/>
    <w:rsid w:val="34E010E6"/>
    <w:rsid w:val="358856A2"/>
    <w:rsid w:val="3699743B"/>
    <w:rsid w:val="38237904"/>
    <w:rsid w:val="3872263A"/>
    <w:rsid w:val="39D84127"/>
    <w:rsid w:val="3A2B0CF2"/>
    <w:rsid w:val="3A865F28"/>
    <w:rsid w:val="3B4B03ED"/>
    <w:rsid w:val="3C1F6635"/>
    <w:rsid w:val="3C831227"/>
    <w:rsid w:val="3E5A6C85"/>
    <w:rsid w:val="419D0727"/>
    <w:rsid w:val="41FF59D4"/>
    <w:rsid w:val="43572B58"/>
    <w:rsid w:val="43EF0A04"/>
    <w:rsid w:val="45554E75"/>
    <w:rsid w:val="456A4DC4"/>
    <w:rsid w:val="469D4D26"/>
    <w:rsid w:val="46D01A4F"/>
    <w:rsid w:val="483D40CA"/>
    <w:rsid w:val="496C389E"/>
    <w:rsid w:val="4A882DD6"/>
    <w:rsid w:val="4B86222C"/>
    <w:rsid w:val="4BBC3BEF"/>
    <w:rsid w:val="4CC72AFC"/>
    <w:rsid w:val="4E10402F"/>
    <w:rsid w:val="502A71AE"/>
    <w:rsid w:val="519E1D35"/>
    <w:rsid w:val="52741A5E"/>
    <w:rsid w:val="56CE6835"/>
    <w:rsid w:val="56E7105D"/>
    <w:rsid w:val="58470A5A"/>
    <w:rsid w:val="59E57D2B"/>
    <w:rsid w:val="61F061FA"/>
    <w:rsid w:val="63514A76"/>
    <w:rsid w:val="647F6552"/>
    <w:rsid w:val="64BB489D"/>
    <w:rsid w:val="650A1E56"/>
    <w:rsid w:val="65921CF6"/>
    <w:rsid w:val="65DB5214"/>
    <w:rsid w:val="66702A12"/>
    <w:rsid w:val="66A82BFF"/>
    <w:rsid w:val="67AE693B"/>
    <w:rsid w:val="67F105D6"/>
    <w:rsid w:val="69F65D89"/>
    <w:rsid w:val="6AAD2EDA"/>
    <w:rsid w:val="6B836865"/>
    <w:rsid w:val="6C715A72"/>
    <w:rsid w:val="6EEF1D13"/>
    <w:rsid w:val="7035235A"/>
    <w:rsid w:val="71BD526D"/>
    <w:rsid w:val="71F0594D"/>
    <w:rsid w:val="746F63D8"/>
    <w:rsid w:val="747B790C"/>
    <w:rsid w:val="75A37A3E"/>
    <w:rsid w:val="75E31EA6"/>
    <w:rsid w:val="768A2321"/>
    <w:rsid w:val="76D0242A"/>
    <w:rsid w:val="791401EC"/>
    <w:rsid w:val="792702FB"/>
    <w:rsid w:val="7B6C0247"/>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2"/>
    <w:qFormat/>
    <w:uiPriority w:val="0"/>
    <w:rPr>
      <w:b/>
      <w:bCs/>
    </w:rPr>
  </w:style>
  <w:style w:type="paragraph" w:styleId="3">
    <w:name w:val="annotation text"/>
    <w:basedOn w:val="1"/>
    <w:link w:val="11"/>
    <w:qFormat/>
    <w:uiPriority w:val="0"/>
    <w:pPr>
      <w:jc w:val="left"/>
    </w:pPr>
  </w:style>
  <w:style w:type="paragraph" w:styleId="4">
    <w:name w:val="Body Text"/>
    <w:basedOn w:val="1"/>
    <w:unhideWhenUsed/>
    <w:qFormat/>
    <w:uiPriority w:val="1"/>
    <w:pPr>
      <w:spacing w:before="140"/>
      <w:ind w:left="120"/>
    </w:pPr>
    <w:rPr>
      <w:rFonts w:hint="eastAsia" w:ascii="仿宋" w:hAnsi="仿宋" w:eastAsia="仿宋"/>
      <w:sz w:val="32"/>
    </w:rPr>
  </w:style>
  <w:style w:type="paragraph" w:styleId="5">
    <w:name w:val="Balloon Text"/>
    <w:basedOn w:val="1"/>
    <w:link w:val="13"/>
    <w:qFormat/>
    <w:uiPriority w:val="0"/>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8">
    <w:name w:val="annotation reference"/>
    <w:basedOn w:val="7"/>
    <w:qFormat/>
    <w:uiPriority w:val="0"/>
    <w:rPr>
      <w:sz w:val="21"/>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批注文字 字符"/>
    <w:basedOn w:val="7"/>
    <w:link w:val="3"/>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2"/>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7"/>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t>收支预算总体情况</a:t>
            </a:r>
          </a:p>
        </c:rich>
      </c:tx>
      <c:layout>
        <c:manualLayout>
          <c:xMode val="edge"/>
          <c:yMode val="edge"/>
          <c:x val="0.330989646039008"/>
          <c:y val="0.0247678018575851"/>
        </c:manualLayout>
      </c:layout>
      <c:overlay val="0"/>
      <c:spPr>
        <a:noFill/>
        <a:ln>
          <a:noFill/>
        </a:ln>
        <a:effectLst/>
      </c:spPr>
    </c:title>
    <c:autoTitleDeleted val="0"/>
    <c:plotArea>
      <c:layout>
        <c:manualLayout>
          <c:layoutTarget val="inner"/>
          <c:xMode val="edge"/>
          <c:yMode val="edge"/>
          <c:x val="0.0866476379394877"/>
          <c:y val="0.223567105731577"/>
          <c:w val="0.909797859690844"/>
          <c:h val="0.69747241011036"/>
        </c:manualLayout>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428.59</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0267538644470868"/>
                  <c:y val="0"/>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967</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428.59</c:v>
                </c:pt>
                <c:pt idx="1">
                  <c:v>967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428.59</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00177725118483412"/>
                  <c:y val="-0.0026699893200427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967</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428.59</c:v>
                </c:pt>
                <c:pt idx="1">
                  <c:v>967</c:v>
                </c:pt>
              </c:numCache>
            </c:numRef>
          </c:val>
        </c:ser>
        <c:dLbls>
          <c:showLegendKey val="0"/>
          <c:showVal val="1"/>
          <c:showCatName val="0"/>
          <c:showSerName val="0"/>
          <c:showPercent val="0"/>
          <c:showBubbleSize val="0"/>
        </c:dLbls>
        <c:gapWidth val="219"/>
        <c:overlap val="-27"/>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dLbl>
              <c:idx val="0"/>
              <c:layout>
                <c:manualLayout>
                  <c:x val="0.0497630331753555"/>
                  <c:y val="-0.00606305578011318"/>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967</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solidFill>
                <a:latin typeface="+mn-lt"/>
                <a:ea typeface="+mn-ea"/>
                <a:cs typeface="+mn-cs"/>
              </a:defRPr>
            </a:pPr>
            <a:r>
              <a:rPr lang="zh-CN" altLang="en-US" b="1">
                <a:solidFill>
                  <a:schemeClr val="tx1"/>
                </a:solidFill>
              </a:rPr>
              <a:t>支出预算总体情况</a:t>
            </a:r>
            <a:endParaRPr lang="zh-CN" altLang="en-US" b="1">
              <a:solidFill>
                <a:schemeClr val="tx1"/>
              </a:solidFill>
            </a:endParaRPr>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a:solidFill>
                          <a:schemeClr val="tx1"/>
                        </a:solidFill>
                      </a:rPr>
                      <a:t>基本支出</a:t>
                    </a:r>
                    <a:endParaRPr>
                      <a:solidFill>
                        <a:schemeClr val="tx1"/>
                      </a:solidFill>
                    </a:endParaRPr>
                  </a:p>
                  <a:p>
                    <a:pPr defTabSz="914400">
                      <a:defRPr lang="zh-CN" sz="1000" b="0" i="0" u="none" strike="noStrike" kern="1200" baseline="0">
                        <a:solidFill>
                          <a:schemeClr val="tx1"/>
                        </a:solidFill>
                        <a:latin typeface="+mn-lt"/>
                        <a:ea typeface="+mn-ea"/>
                        <a:cs typeface="+mn-cs"/>
                      </a:defRPr>
                    </a:pPr>
                    <a:r>
                      <a:rPr lang="en-US" altLang="zh-CN">
                        <a:solidFill>
                          <a:schemeClr val="tx1"/>
                        </a:solidFill>
                      </a:rPr>
                      <a:t>18.41</a:t>
                    </a:r>
                    <a:r>
                      <a:rPr>
                        <a:solidFill>
                          <a:schemeClr val="tx1"/>
                        </a:solidFill>
                      </a:rPr>
                      <a:t>%</a:t>
                    </a:r>
                    <a:endParaRPr>
                      <a:solidFill>
                        <a:schemeClr val="tx1"/>
                      </a:solidFill>
                    </a:endParaRPr>
                  </a:p>
                </c:rich>
              </c:tx>
              <c:numFmt formatCode="General" sourceLinked="1"/>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rPr>
                        <a:solidFill>
                          <a:schemeClr val="tx1"/>
                        </a:solidFill>
                      </a:rPr>
                      <a:t>项目支出</a:t>
                    </a:r>
                    <a:endParaRPr>
                      <a:solidFill>
                        <a:schemeClr val="tx1"/>
                      </a:solidFill>
                    </a:endParaRPr>
                  </a:p>
                  <a:p>
                    <a:pPr defTabSz="914400">
                      <a:defRPr lang="zh-CN" sz="1000" b="0" i="0" u="none" strike="noStrike" kern="1200" baseline="0">
                        <a:solidFill>
                          <a:schemeClr val="tx1"/>
                        </a:solidFill>
                        <a:latin typeface="+mn-lt"/>
                        <a:ea typeface="+mn-ea"/>
                        <a:cs typeface="+mn-cs"/>
                      </a:defRPr>
                    </a:pPr>
                    <a:r>
                      <a:rPr lang="en-US" altLang="zh-CN">
                        <a:solidFill>
                          <a:schemeClr val="tx1"/>
                        </a:solidFill>
                      </a:rPr>
                      <a:t>81.59</a:t>
                    </a:r>
                    <a:r>
                      <a:rPr>
                        <a:solidFill>
                          <a:schemeClr val="tx1"/>
                        </a:solidFill>
                      </a:rPr>
                      <a:t>%</a:t>
                    </a:r>
                    <a:endParaRPr>
                      <a:solidFill>
                        <a:schemeClr val="tx1"/>
                      </a:solidFill>
                    </a:endParaRPr>
                  </a:p>
                </c:rich>
              </c:tx>
              <c:numFmt formatCode="General" sourceLinked="1"/>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178</c:v>
                </c:pt>
                <c:pt idx="1">
                  <c:v>789</c:v>
                </c:pt>
              </c:numCache>
            </c:numRef>
          </c:val>
        </c:ser>
        <c:dLbls>
          <c:showLegendKey val="0"/>
          <c:showVal val="0"/>
          <c:showCatName val="0"/>
          <c:showSerName val="0"/>
          <c:showPercent val="0"/>
          <c:showBubbleSize val="0"/>
          <c:showLeaderLines val="0"/>
        </c:dLbls>
        <c:firstSliceAng val="29"/>
      </c:pieChart>
      <c:spPr>
        <a:noFill/>
        <a:ln>
          <a:noFill/>
        </a:ln>
        <a:effectLst/>
      </c:spPr>
    </c:plotArea>
    <c:legend>
      <c:legendPos val="b"/>
      <c:legendEntry>
        <c:idx val="0"/>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manualLayout>
          <c:layoutTarget val="inner"/>
          <c:xMode val="edge"/>
          <c:yMode val="edge"/>
          <c:x val="0.0691789068143511"/>
          <c:y val="0.139899171768095"/>
          <c:w val="0.908668432458464"/>
          <c:h val="0.693986316168527"/>
        </c:manualLayout>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dLbl>
              <c:idx val="0"/>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428.59</a:t>
                    </a:r>
                    <a:endParaRPr lang="en-US" altLang="zh-CN"/>
                  </a:p>
                </c:rich>
              </c:tx>
              <c:numFmt formatCode="General" sourceLinked="1"/>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967</a:t>
                    </a:r>
                    <a:endParaRPr lang="en-US" altLang="zh-CN"/>
                  </a:p>
                </c:rich>
              </c:tx>
              <c:numFmt formatCode="General" sourceLinked="1"/>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428.59</c:v>
                </c:pt>
                <c:pt idx="1">
                  <c:v>967</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dLbl>
              <c:idx val="0"/>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428.59</a:t>
                    </a:r>
                    <a:endParaRPr lang="en-US" altLang="zh-CN"/>
                  </a:p>
                </c:rich>
              </c:tx>
              <c:numFmt formatCode="General" sourceLinked="1"/>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0343125451480857"/>
                  <c:y val="0"/>
                </c:manualLayout>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967</a:t>
                    </a:r>
                    <a:endParaRPr lang="en-US" altLang="zh-CN"/>
                  </a:p>
                </c:rich>
              </c:tx>
              <c:numFmt formatCode="General" sourceLinked="1"/>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428.59</c:v>
                </c:pt>
                <c:pt idx="1">
                  <c:v>967</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1" vertOverflow="clip" vert="horz" wrap="square" lIns="38100" tIns="19050" rIns="38100" bIns="19050" anchor="ctr" anchorCtr="1"/>
                  <a:lstStyle/>
                  <a:p>
                    <a:pPr defTabSz="914400">
                      <a:defRPr lang="zh-CN" sz="900" b="0" i="0" u="none" strike="noStrike" kern="1200" baseline="0">
                        <a:solidFill>
                          <a:schemeClr val="dk1">
                            <a:lumMod val="65000"/>
                            <a:lumOff val="35000"/>
                          </a:schemeClr>
                        </a:solidFill>
                        <a:latin typeface="+mn-lt"/>
                        <a:ea typeface="+mn-ea"/>
                        <a:cs typeface="+mn-cs"/>
                      </a:defRPr>
                    </a:pPr>
                    <a:r>
                      <a:t>基本支出</a:t>
                    </a:r>
                  </a:p>
                  <a:p>
                    <a:pPr defTabSz="914400">
                      <a:defRPr lang="zh-CN" sz="900" b="0" i="0" u="none" strike="noStrike" kern="1200" baseline="0">
                        <a:solidFill>
                          <a:schemeClr val="dk1">
                            <a:lumMod val="65000"/>
                            <a:lumOff val="35000"/>
                          </a:schemeClr>
                        </a:solidFill>
                        <a:latin typeface="+mn-lt"/>
                        <a:ea typeface="+mn-ea"/>
                        <a:cs typeface="+mn-cs"/>
                      </a:defRPr>
                    </a:pPr>
                    <a:r>
                      <a:rPr lang="en-US" altLang="zh-CN"/>
                      <a:t>18.41</a:t>
                    </a:r>
                    <a:r>
                      <a:t>%</a:t>
                    </a:r>
                  </a:p>
                </c:rich>
              </c:tx>
              <c:numFmt formatCode="General" sourceLinked="1"/>
              <c:spPr>
                <a:solidFill>
                  <a:sysClr val="window" lastClr="FFFFFF"/>
                </a:solidFill>
                <a:ln>
                  <a:solidFill>
                    <a:sysClr val="windowText" lastClr="000000">
                      <a:lumMod val="25000"/>
                      <a:lumOff val="75000"/>
                    </a:sysClr>
                  </a:solidFill>
                </a:ln>
                <a:effectLst/>
              </c:spPr>
              <c:txPr>
                <a:bodyPr rot="0" spcFirstLastPara="1" vertOverflow="clip" vert="horz" wrap="square" lIns="38100" tIns="19050" rIns="38100" bIns="19050" anchor="ctr" anchorCtr="1"/>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1" vertOverflow="clip" vert="horz" wrap="square" lIns="38100" tIns="19050" rIns="38100" bIns="19050" anchor="ctr" anchorCtr="1"/>
                  <a:lstStyle/>
                  <a:p>
                    <a:pPr defTabSz="914400">
                      <a:defRPr lang="zh-CN" sz="900" b="0" i="0" u="none" strike="noStrike" kern="1200" baseline="0">
                        <a:solidFill>
                          <a:schemeClr val="dk1">
                            <a:lumMod val="65000"/>
                            <a:lumOff val="35000"/>
                          </a:schemeClr>
                        </a:solidFill>
                        <a:latin typeface="+mn-lt"/>
                        <a:ea typeface="+mn-ea"/>
                        <a:cs typeface="+mn-cs"/>
                      </a:defRPr>
                    </a:pPr>
                    <a:r>
                      <a:t>项目支出</a:t>
                    </a:r>
                  </a:p>
                  <a:p>
                    <a:pPr defTabSz="914400">
                      <a:defRPr lang="zh-CN" sz="900" b="0" i="0" u="none" strike="noStrike" kern="1200" baseline="0">
                        <a:solidFill>
                          <a:schemeClr val="dk1">
                            <a:lumMod val="65000"/>
                            <a:lumOff val="35000"/>
                          </a:schemeClr>
                        </a:solidFill>
                        <a:latin typeface="+mn-lt"/>
                        <a:ea typeface="+mn-ea"/>
                        <a:cs typeface="+mn-cs"/>
                      </a:defRPr>
                    </a:pPr>
                    <a:r>
                      <a:rPr lang="en-US" altLang="zh-CN"/>
                      <a:t>81.59</a:t>
                    </a:r>
                    <a:r>
                      <a:t>%</a:t>
                    </a:r>
                  </a:p>
                </c:rich>
              </c:tx>
              <c:numFmt formatCode="General" sourceLinked="1"/>
              <c:spPr>
                <a:solidFill>
                  <a:sysClr val="window" lastClr="FFFFFF"/>
                </a:solidFill>
                <a:ln>
                  <a:solidFill>
                    <a:sysClr val="windowText" lastClr="000000">
                      <a:lumMod val="25000"/>
                      <a:lumOff val="75000"/>
                    </a:sysClr>
                  </a:solidFill>
                </a:ln>
                <a:effectLst/>
              </c:spPr>
              <c:txPr>
                <a:bodyPr rot="0" spcFirstLastPara="1" vertOverflow="clip" vert="horz" wrap="square" lIns="38100" tIns="19050" rIns="38100" bIns="19050" anchor="ctr" anchorCtr="1"/>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178</c:v>
                </c:pt>
                <c:pt idx="1">
                  <c:v>789</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manualLayout>
          <c:layoutTarget val="inner"/>
          <c:xMode val="edge"/>
          <c:yMode val="edge"/>
          <c:x val="0.323024319768842"/>
          <c:y val="0.19949226006192"/>
          <c:w val="0.361175054177703"/>
          <c:h val="0.619178534571723"/>
        </c:manualLayout>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tx>
                <c:rich>
                  <a:bodyPr rot="0" spcFirstLastPara="1" vertOverflow="clip" vert="horz" wrap="square" lIns="38100" tIns="19050" rIns="38100" bIns="19050" anchor="ctr" anchorCtr="1"/>
                  <a:lstStyle/>
                  <a:p>
                    <a:pPr defTabSz="914400">
                      <a:defRPr lang="zh-CN" sz="900" b="0" i="0" u="none" strike="noStrike" kern="1200" baseline="0">
                        <a:solidFill>
                          <a:schemeClr val="dk1">
                            <a:lumMod val="65000"/>
                            <a:lumOff val="35000"/>
                          </a:schemeClr>
                        </a:solidFill>
                        <a:latin typeface="+mn-lt"/>
                        <a:ea typeface="+mn-ea"/>
                        <a:cs typeface="+mn-cs"/>
                      </a:defRPr>
                    </a:pPr>
                    <a:r>
                      <a:t>人员经费</a:t>
                    </a:r>
                  </a:p>
                  <a:p>
                    <a:pPr defTabSz="914400">
                      <a:defRPr lang="zh-CN" sz="900" b="0" i="0" u="none" strike="noStrike" kern="1200" baseline="0">
                        <a:solidFill>
                          <a:schemeClr val="dk1">
                            <a:lumMod val="65000"/>
                            <a:lumOff val="35000"/>
                          </a:schemeClr>
                        </a:solidFill>
                        <a:latin typeface="+mn-lt"/>
                        <a:ea typeface="+mn-ea"/>
                        <a:cs typeface="+mn-cs"/>
                      </a:defRPr>
                    </a:pPr>
                    <a:r>
                      <a:rPr lang="en-US" altLang="zh-CN"/>
                      <a:t>94.94</a:t>
                    </a:r>
                    <a:r>
                      <a:t>%</a:t>
                    </a:r>
                  </a:p>
                </c:rich>
              </c:tx>
              <c:numFmt formatCode="General" sourceLinked="1"/>
              <c:spPr>
                <a:solidFill>
                  <a:sysClr val="window" lastClr="FFFFFF"/>
                </a:solidFill>
                <a:ln>
                  <a:solidFill>
                    <a:sysClr val="windowText" lastClr="000000">
                      <a:lumMod val="25000"/>
                      <a:lumOff val="75000"/>
                    </a:sysClr>
                  </a:solidFill>
                </a:ln>
                <a:effectLst/>
              </c:spPr>
              <c:txPr>
                <a:bodyPr rot="0" spcFirstLastPara="1" vertOverflow="clip" vert="horz" wrap="square" lIns="38100" tIns="19050" rIns="38100" bIns="19050" anchor="ctr" anchorCtr="1"/>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1" vertOverflow="clip" vert="horz" wrap="square" lIns="38100" tIns="19050" rIns="38100" bIns="19050" anchor="ctr" anchorCtr="1"/>
                  <a:lstStyle/>
                  <a:p>
                    <a:pPr defTabSz="914400">
                      <a:defRPr lang="zh-CN" sz="900" b="0" i="0" u="none" strike="noStrike" kern="1200" baseline="0">
                        <a:solidFill>
                          <a:schemeClr val="dk1">
                            <a:lumMod val="65000"/>
                            <a:lumOff val="35000"/>
                          </a:schemeClr>
                        </a:solidFill>
                        <a:latin typeface="+mn-lt"/>
                        <a:ea typeface="+mn-ea"/>
                        <a:cs typeface="+mn-cs"/>
                      </a:defRPr>
                    </a:pPr>
                    <a:r>
                      <a:t>公用经费</a:t>
                    </a:r>
                  </a:p>
                  <a:p>
                    <a:pPr defTabSz="914400">
                      <a:defRPr lang="zh-CN" sz="900" b="0" i="0" u="none" strike="noStrike" kern="1200" baseline="0">
                        <a:solidFill>
                          <a:schemeClr val="dk1">
                            <a:lumMod val="65000"/>
                            <a:lumOff val="35000"/>
                          </a:schemeClr>
                        </a:solidFill>
                        <a:latin typeface="+mn-lt"/>
                        <a:ea typeface="+mn-ea"/>
                        <a:cs typeface="+mn-cs"/>
                      </a:defRPr>
                    </a:pPr>
                    <a:r>
                      <a:rPr lang="en-US" altLang="zh-CN"/>
                      <a:t>5.06</a:t>
                    </a:r>
                    <a:r>
                      <a:t>%</a:t>
                    </a:r>
                  </a:p>
                </c:rich>
              </c:tx>
              <c:numFmt formatCode="General" sourceLinked="1"/>
              <c:spPr>
                <a:solidFill>
                  <a:sysClr val="window" lastClr="FFFFFF"/>
                </a:solidFill>
                <a:ln>
                  <a:solidFill>
                    <a:sysClr val="windowText" lastClr="000000">
                      <a:lumMod val="25000"/>
                      <a:lumOff val="75000"/>
                    </a:sysClr>
                  </a:solidFill>
                </a:ln>
                <a:effectLst/>
              </c:spPr>
              <c:txPr>
                <a:bodyPr rot="0" spcFirstLastPara="1" vertOverflow="clip" vert="horz" wrap="square" lIns="38100" tIns="19050" rIns="38100" bIns="19050" anchor="ctr" anchorCtr="1"/>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eparator>
</c:separator>
              <c:extLst>
                <c:ext xmlns:c15="http://schemas.microsoft.com/office/drawing/2012/chart" uri="{CE6537A1-D6FC-4f65-9D91-7224C49458BB}"/>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94.94</c:v>
                </c:pt>
                <c:pt idx="1">
                  <c:v>5.06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manualLayout>
          <c:xMode val="edge"/>
          <c:yMode val="edge"/>
          <c:x val="0.379665302191187"/>
          <c:y val="0.924871001031992"/>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56657837707682"/>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4.34</a:t>
                    </a:r>
                    <a:endParaRPr lang="en-US" altLang="zh-CN"/>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
                  <c:y val="0.0092879256965944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4.34</a:t>
                    </a:r>
                    <a:endParaRPr lang="en-US" altLang="zh-CN"/>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4.34</c:v>
                </c:pt>
                <c:pt idx="1">
                  <c:v>4.34</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dLbl>
              <c:idx val="0"/>
              <c:layout>
                <c:manualLayout>
                  <c:x val="0.0361184685769323"/>
                  <c:y val="0.16408668730650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64.62</a:t>
                    </a:r>
                    <a:endParaRPr lang="en-US" altLang="zh-CN"/>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manualLayout>
                      <c:w val="0.0476763785215507"/>
                      <c:h val="0.0573787409700722"/>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64.62</c:v>
                </c:pt>
                <c:pt idx="1">
                  <c:v>64.62</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2404</Words>
  <Characters>2769</Characters>
  <Lines>20</Lines>
  <Paragraphs>5</Paragraphs>
  <ScaleCrop>false</ScaleCrop>
  <LinksUpToDate>false</LinksUpToDate>
  <CharactersWithSpaces>2802</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2023-03-07T07:09:52Z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2F606E965C3F47A2A23C8CF82E347772</vt:lpwstr>
  </property>
</Properties>
</file>