
<file path=[Content_Types].xml><?xml version="1.0" encoding="utf-8"?>
<Types xmlns="http://schemas.openxmlformats.org/package/2006/content-types">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年淮滨县质量技术监督检验测试中心部门预算说明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淮滨县质量技术监督检验测试中心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before="12" w:line="357" w:lineRule="auto"/>
        <w:ind w:right="126"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二、内设机构设置情况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黑体"/>
          <w:spacing w:val="-7"/>
          <w:sz w:val="32"/>
          <w:szCs w:val="32"/>
        </w:rPr>
        <w:t>质量技术监督检验测试中心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黑体"/>
          <w:spacing w:val="-7"/>
          <w:sz w:val="32"/>
          <w:szCs w:val="32"/>
        </w:rPr>
        <w:t>质量技术监督检验测试中心</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ascii="黑体" w:hAnsi="黑体" w:eastAsia="黑体" w:cs="黑体"/>
          <w:spacing w:val="-7"/>
          <w:sz w:val="36"/>
          <w:szCs w:val="36"/>
        </w:rPr>
        <w:t>质量技术监督检验测试中心</w:t>
      </w:r>
      <w:r>
        <w:rPr>
          <w:rFonts w:ascii="黑体" w:hAnsi="黑体" w:eastAsia="黑体" w:cs="黑体"/>
          <w:b w:val="0"/>
          <w:bCs/>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ascii="黑体" w:hAnsi="黑体" w:eastAsia="黑体" w:cs="黑体"/>
          <w:spacing w:val="-7"/>
          <w:szCs w:val="32"/>
        </w:rPr>
        <w:t>质量技术监督检验测试中心</w:t>
      </w:r>
      <w:r>
        <w:rPr>
          <w:rFonts w:ascii="黑体" w:hAnsi="黑体" w:eastAsia="黑体" w:cs="黑体"/>
          <w:bCs/>
          <w:szCs w:val="32"/>
        </w:rPr>
        <w:t>主要职责</w:t>
      </w:r>
    </w:p>
    <w:p>
      <w:pPr>
        <w:pStyle w:val="3"/>
        <w:tabs>
          <w:tab w:val="left" w:pos="880"/>
        </w:tabs>
        <w:kinsoku w:val="0"/>
        <w:overflowPunct w:val="0"/>
        <w:spacing w:before="0"/>
        <w:ind w:left="420" w:leftChars="200" w:firstLine="280" w:firstLineChars="100"/>
        <w:jc w:val="left"/>
        <w:rPr>
          <w:rFonts w:hint="default" w:cs="仿宋_GB2312" w:asciiTheme="minorEastAsia" w:hAnsiTheme="minorEastAsia" w:eastAsiaTheme="minorEastAsia"/>
          <w:bCs/>
          <w:sz w:val="28"/>
          <w:szCs w:val="28"/>
        </w:rPr>
      </w:pPr>
      <w:r>
        <w:rPr>
          <w:rFonts w:cs="仿宋_GB2312" w:asciiTheme="minorEastAsia" w:hAnsiTheme="minorEastAsia" w:eastAsiaTheme="minorEastAsia"/>
          <w:bCs/>
          <w:sz w:val="28"/>
          <w:szCs w:val="28"/>
        </w:rPr>
        <w:t>淮滨县</w:t>
      </w:r>
      <w:r>
        <w:rPr>
          <w:rFonts w:cs="黑体" w:asciiTheme="minorEastAsia" w:hAnsiTheme="minorEastAsia" w:eastAsiaTheme="minorEastAsia"/>
          <w:spacing w:val="-7"/>
          <w:sz w:val="28"/>
          <w:szCs w:val="28"/>
        </w:rPr>
        <w:t>质量技术监督检验测试中心</w:t>
      </w:r>
      <w:r>
        <w:rPr>
          <w:rFonts w:cs="仿宋_GB2312" w:asciiTheme="minorEastAsia" w:hAnsiTheme="minorEastAsia" w:eastAsiaTheme="minorEastAsia"/>
          <w:bCs/>
          <w:sz w:val="28"/>
          <w:szCs w:val="28"/>
        </w:rPr>
        <w:t>主要职责是：</w:t>
      </w:r>
    </w:p>
    <w:p>
      <w:pPr>
        <w:pStyle w:val="3"/>
        <w:numPr>
          <w:ilvl w:val="0"/>
          <w:numId w:val="4"/>
        </w:numPr>
        <w:tabs>
          <w:tab w:val="left" w:pos="880"/>
        </w:tabs>
        <w:kinsoku w:val="0"/>
        <w:overflowPunct w:val="0"/>
        <w:spacing w:before="0"/>
        <w:ind w:left="420" w:leftChars="200" w:firstLine="280" w:firstLineChars="100"/>
        <w:jc w:val="left"/>
        <w:rPr>
          <w:rFonts w:hint="default" w:cs="仿宋_GB2312" w:asciiTheme="minorEastAsia" w:hAnsiTheme="minorEastAsia" w:eastAsiaTheme="minorEastAsia"/>
          <w:bCs/>
          <w:sz w:val="28"/>
          <w:szCs w:val="28"/>
        </w:rPr>
      </w:pPr>
      <w:r>
        <w:rPr>
          <w:rFonts w:cs="宋体" w:asciiTheme="minorEastAsia" w:hAnsiTheme="minorEastAsia" w:eastAsiaTheme="minorEastAsia"/>
          <w:bCs/>
          <w:sz w:val="28"/>
          <w:szCs w:val="28"/>
        </w:rPr>
        <w:t>建立、保存、使用本地区社会公用计量标准和质量检验设备装置；</w:t>
      </w:r>
      <w:r>
        <w:rPr>
          <w:rFonts w:hint="default" w:cs="仿宋_GB2312" w:asciiTheme="minorEastAsia" w:hAnsiTheme="minorEastAsia" w:eastAsiaTheme="minorEastAsia"/>
          <w:bCs/>
          <w:sz w:val="28"/>
          <w:szCs w:val="28"/>
        </w:rPr>
        <w:t xml:space="preserve"> </w:t>
      </w:r>
    </w:p>
    <w:p>
      <w:pPr>
        <w:pStyle w:val="3"/>
        <w:numPr>
          <w:ilvl w:val="0"/>
          <w:numId w:val="4"/>
        </w:numPr>
        <w:tabs>
          <w:tab w:val="left" w:pos="880"/>
        </w:tabs>
        <w:kinsoku w:val="0"/>
        <w:overflowPunct w:val="0"/>
        <w:spacing w:before="0"/>
        <w:ind w:left="420" w:leftChars="200" w:firstLine="280" w:firstLineChars="100"/>
        <w:jc w:val="left"/>
        <w:rPr>
          <w:rFonts w:hint="default" w:cs="仿宋_GB2312" w:asciiTheme="minorEastAsia" w:hAnsiTheme="minorEastAsia" w:eastAsiaTheme="minorEastAsia"/>
          <w:bCs/>
          <w:sz w:val="28"/>
          <w:szCs w:val="28"/>
        </w:rPr>
      </w:pPr>
      <w:r>
        <w:rPr>
          <w:rFonts w:cs="宋体" w:asciiTheme="minorEastAsia" w:hAnsiTheme="minorEastAsia" w:eastAsiaTheme="minorEastAsia"/>
          <w:bCs/>
          <w:sz w:val="28"/>
          <w:szCs w:val="28"/>
        </w:rPr>
        <w:t>承担</w:t>
      </w:r>
      <w:r>
        <w:rPr>
          <w:rFonts w:hint="eastAsia" w:cs="宋体" w:asciiTheme="minorEastAsia" w:hAnsiTheme="minorEastAsia" w:eastAsiaTheme="minorEastAsia"/>
          <w:bCs/>
          <w:sz w:val="28"/>
          <w:szCs w:val="28"/>
          <w:lang w:eastAsia="zh-CN"/>
        </w:rPr>
        <w:t>量值传递、仲裁检定、委托检定、</w:t>
      </w:r>
      <w:r>
        <w:rPr>
          <w:rFonts w:cs="宋体" w:asciiTheme="minorEastAsia" w:hAnsiTheme="minorEastAsia" w:eastAsiaTheme="minorEastAsia"/>
          <w:bCs/>
          <w:sz w:val="28"/>
          <w:szCs w:val="28"/>
        </w:rPr>
        <w:t>强制检定、非强制检定和测试任务；</w:t>
      </w:r>
    </w:p>
    <w:p>
      <w:pPr>
        <w:pStyle w:val="18"/>
        <w:numPr>
          <w:ilvl w:val="0"/>
          <w:numId w:val="4"/>
        </w:numPr>
        <w:ind w:firstLineChars="0"/>
        <w:rPr>
          <w:rFonts w:cs="宋体" w:asciiTheme="minorEastAsia" w:hAnsiTheme="minorEastAsia"/>
          <w:bCs/>
          <w:sz w:val="28"/>
          <w:szCs w:val="28"/>
        </w:rPr>
      </w:pPr>
      <w:r>
        <w:rPr>
          <w:rFonts w:hint="eastAsia" w:cs="宋体" w:asciiTheme="minorEastAsia" w:hAnsiTheme="minorEastAsia"/>
          <w:bCs/>
          <w:sz w:val="28"/>
          <w:szCs w:val="28"/>
        </w:rPr>
        <w:t>承担与本地区经济发展相适应的产品质量检验任务和适应市场监管行政执法需要的监督检验任务。</w:t>
      </w:r>
    </w:p>
    <w:p>
      <w:pPr>
        <w:pStyle w:val="3"/>
        <w:numPr>
          <w:ilvl w:val="0"/>
          <w:numId w:val="4"/>
        </w:numPr>
        <w:tabs>
          <w:tab w:val="left" w:pos="880"/>
        </w:tabs>
        <w:kinsoku w:val="0"/>
        <w:overflowPunct w:val="0"/>
        <w:spacing w:before="0"/>
        <w:ind w:left="420" w:leftChars="200" w:firstLine="280" w:firstLineChars="100"/>
        <w:jc w:val="left"/>
        <w:rPr>
          <w:rFonts w:hint="default" w:cs="仿宋_GB2312" w:asciiTheme="minorEastAsia" w:hAnsiTheme="minorEastAsia" w:eastAsiaTheme="minorEastAsia"/>
          <w:bCs/>
          <w:sz w:val="28"/>
          <w:szCs w:val="28"/>
        </w:rPr>
      </w:pPr>
      <w:r>
        <w:rPr>
          <w:rFonts w:cs="宋体" w:asciiTheme="minorEastAsia" w:hAnsiTheme="minorEastAsia" w:eastAsiaTheme="minorEastAsia"/>
          <w:sz w:val="28"/>
          <w:szCs w:val="28"/>
        </w:rPr>
        <w:t>负责政府部门下达的相关产品质量监督抽查、质量监督等检验任务。</w:t>
      </w:r>
      <w:bookmarkStart w:id="0" w:name="_GoBack"/>
      <w:bookmarkEnd w:id="0"/>
    </w:p>
    <w:p>
      <w:pPr>
        <w:pStyle w:val="3"/>
        <w:numPr>
          <w:ilvl w:val="0"/>
          <w:numId w:val="0"/>
        </w:numPr>
        <w:tabs>
          <w:tab w:val="left" w:pos="880"/>
        </w:tabs>
        <w:kinsoku w:val="0"/>
        <w:overflowPunct w:val="0"/>
        <w:spacing w:before="0"/>
        <w:ind w:firstLine="640" w:firstLineChars="200"/>
        <w:jc w:val="left"/>
        <w:rPr>
          <w:rFonts w:hint="eastAsia" w:ascii="黑体" w:hAnsi="黑体" w:eastAsia="黑体" w:cs="黑体"/>
          <w:bCs/>
          <w:szCs w:val="32"/>
        </w:rPr>
      </w:pPr>
      <w:r>
        <w:rPr>
          <w:rFonts w:hint="eastAsia" w:ascii="黑体" w:hAnsi="黑体" w:eastAsia="黑体" w:cs="黑体"/>
          <w:bCs/>
          <w:szCs w:val="32"/>
        </w:rPr>
        <w:t>二、</w:t>
      </w:r>
      <w:r>
        <w:rPr>
          <w:rFonts w:hint="eastAsia" w:ascii="黑体" w:hAnsi="黑体" w:eastAsia="黑体" w:cs="黑体"/>
          <w:bCs/>
          <w:sz w:val="32"/>
          <w:szCs w:val="32"/>
          <w:lang w:eastAsia="zh-CN"/>
        </w:rPr>
        <w:t>淮滨</w:t>
      </w:r>
      <w:r>
        <w:rPr>
          <w:rFonts w:hint="eastAsia" w:ascii="黑体" w:hAnsi="黑体" w:eastAsia="黑体" w:cs="黑体"/>
          <w:spacing w:val="-7"/>
          <w:sz w:val="32"/>
          <w:szCs w:val="32"/>
        </w:rPr>
        <w:t>质量技术监督检验测试中心</w:t>
      </w:r>
      <w:r>
        <w:rPr>
          <w:rFonts w:hint="eastAsia" w:ascii="黑体" w:hAnsi="黑体" w:eastAsia="黑体" w:cs="黑体"/>
          <w:bCs/>
          <w:sz w:val="32"/>
          <w:szCs w:val="32"/>
        </w:rPr>
        <w:t>内设机构设置情况</w:t>
      </w:r>
    </w:p>
    <w:p>
      <w:pPr>
        <w:pStyle w:val="3"/>
        <w:numPr>
          <w:ilvl w:val="0"/>
          <w:numId w:val="0"/>
        </w:numPr>
        <w:tabs>
          <w:tab w:val="left" w:pos="880"/>
        </w:tabs>
        <w:kinsoku w:val="0"/>
        <w:overflowPunct w:val="0"/>
        <w:spacing w:before="0"/>
        <w:ind w:firstLine="560" w:firstLineChars="200"/>
        <w:jc w:val="left"/>
        <w:rPr>
          <w:rFonts w:hint="eastAsia" w:ascii="宋体" w:hAnsi="宋体" w:eastAsia="宋体" w:cs="宋体"/>
          <w:bCs/>
          <w:sz w:val="28"/>
          <w:szCs w:val="28"/>
          <w:lang w:val="en-US" w:eastAsia="zh-CN"/>
        </w:rPr>
      </w:pPr>
      <w:r>
        <w:rPr>
          <w:rFonts w:hint="eastAsia" w:ascii="宋体" w:hAnsi="宋体" w:eastAsia="宋体" w:cs="宋体"/>
          <w:bCs/>
          <w:sz w:val="28"/>
          <w:szCs w:val="28"/>
        </w:rPr>
        <w:t>淮滨县</w:t>
      </w:r>
      <w:r>
        <w:rPr>
          <w:rFonts w:hint="eastAsia" w:ascii="宋体" w:hAnsi="宋体" w:eastAsia="宋体" w:cs="宋体"/>
          <w:spacing w:val="-7"/>
          <w:sz w:val="28"/>
          <w:szCs w:val="28"/>
        </w:rPr>
        <w:t>质量技术监督检验测试中心</w:t>
      </w:r>
      <w:r>
        <w:rPr>
          <w:rFonts w:hint="eastAsia" w:ascii="宋体" w:hAnsi="宋体" w:eastAsia="宋体" w:cs="宋体"/>
          <w:spacing w:val="-7"/>
          <w:sz w:val="28"/>
          <w:szCs w:val="28"/>
          <w:lang w:eastAsia="zh-CN"/>
        </w:rPr>
        <w:t>现有白酒中心、办公室、财务股、人事股、党建办、总工办、业务股、收发室、衡器股、流量股、医疗器械股、抽样股、建材股、检验室等</w:t>
      </w:r>
      <w:r>
        <w:rPr>
          <w:rFonts w:hint="eastAsia" w:ascii="宋体" w:hAnsi="宋体" w:eastAsia="宋体" w:cs="宋体"/>
          <w:spacing w:val="-7"/>
          <w:sz w:val="28"/>
          <w:szCs w:val="28"/>
          <w:lang w:val="en-US" w:eastAsia="zh-CN"/>
        </w:rPr>
        <w:t>14个内设机构，无所属二级机构。</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ascii="黑体" w:hAnsi="黑体" w:eastAsia="黑体" w:cs="黑体"/>
          <w:spacing w:val="-7"/>
          <w:szCs w:val="32"/>
        </w:rPr>
        <w:t>质量技术监督检验测试中心</w:t>
      </w:r>
      <w:r>
        <w:rPr>
          <w:rFonts w:ascii="黑体" w:hAnsi="黑体" w:eastAsia="黑体" w:cs="黑体"/>
          <w:bCs/>
          <w:szCs w:val="32"/>
        </w:rPr>
        <w:t>预算单位构成情况</w:t>
      </w:r>
    </w:p>
    <w:p>
      <w:pPr>
        <w:ind w:firstLine="560" w:firstLineChars="200"/>
        <w:jc w:val="left"/>
        <w:rPr>
          <w:rFonts w:cs="仿宋_GB2312" w:asciiTheme="minorEastAsia" w:hAnsiTheme="minorEastAsia"/>
          <w:bCs/>
          <w:sz w:val="28"/>
          <w:szCs w:val="28"/>
        </w:rPr>
      </w:pPr>
      <w:r>
        <w:rPr>
          <w:rFonts w:hint="eastAsia" w:cs="仿宋_GB2312" w:asciiTheme="minorEastAsia" w:hAnsiTheme="minorEastAsia"/>
          <w:bCs/>
          <w:sz w:val="28"/>
          <w:szCs w:val="28"/>
        </w:rPr>
        <w:t>淮滨县</w:t>
      </w:r>
      <w:r>
        <w:rPr>
          <w:rFonts w:hint="eastAsia" w:cs="黑体" w:asciiTheme="minorEastAsia" w:hAnsiTheme="minorEastAsia"/>
          <w:spacing w:val="-7"/>
          <w:sz w:val="28"/>
          <w:szCs w:val="28"/>
        </w:rPr>
        <w:t>质量技术监督检验测试中心</w:t>
      </w:r>
      <w:r>
        <w:rPr>
          <w:rFonts w:hint="eastAsia" w:cs="仿宋_GB2312" w:asciiTheme="minorEastAsia" w:hAnsiTheme="minorEastAsia"/>
          <w:bCs/>
          <w:sz w:val="28"/>
          <w:szCs w:val="28"/>
          <w:lang w:eastAsia="zh-CN"/>
        </w:rPr>
        <w:t>2023</w:t>
      </w:r>
      <w:r>
        <w:rPr>
          <w:rFonts w:hint="eastAsia" w:cs="仿宋_GB2312" w:asciiTheme="minorEastAsia" w:hAnsiTheme="minorEastAsia"/>
          <w:bCs/>
          <w:sz w:val="28"/>
          <w:szCs w:val="28"/>
        </w:rPr>
        <w:t>年部门预算包括中心本级预算。</w:t>
      </w:r>
    </w:p>
    <w:p>
      <w:pPr>
        <w:ind w:firstLine="560" w:firstLineChars="200"/>
        <w:rPr>
          <w:rFonts w:cs="宋体" w:asciiTheme="minorEastAsia" w:hAnsiTheme="minorEastAsia"/>
          <w:sz w:val="28"/>
          <w:szCs w:val="28"/>
        </w:rPr>
      </w:pPr>
      <w:r>
        <w:rPr>
          <w:rFonts w:hint="eastAsia" w:cs="仿宋_GB2312" w:asciiTheme="minorEastAsia" w:hAnsiTheme="minorEastAsia"/>
          <w:bCs/>
          <w:sz w:val="28"/>
          <w:szCs w:val="28"/>
        </w:rPr>
        <w:t>中心机关本级预算包括：</w:t>
      </w:r>
      <w:r>
        <w:rPr>
          <w:rFonts w:hint="eastAsia" w:cs="宋体" w:asciiTheme="minorEastAsia" w:hAnsiTheme="minorEastAsia"/>
          <w:sz w:val="28"/>
          <w:szCs w:val="28"/>
        </w:rPr>
        <w:t>白酒中心、办公室、财务股、人事股、党建办、总工办、业务股、收发室、衡器股、流量股、医疗器械股、抽样股、建材股、检验室</w:t>
      </w:r>
      <w:r>
        <w:rPr>
          <w:rFonts w:hint="eastAsia" w:cs="仿宋_GB2312" w:asciiTheme="minorEastAsia" w:hAnsiTheme="minorEastAsia"/>
          <w:bCs/>
          <w:sz w:val="28"/>
          <w:szCs w:val="28"/>
        </w:rPr>
        <w:t>等股室的预算。</w:t>
      </w:r>
    </w:p>
    <w:p>
      <w:pPr>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spacing w:val="-7"/>
          <w:sz w:val="36"/>
          <w:szCs w:val="36"/>
        </w:rPr>
        <w:t>质量技术监督检验测试中心</w:t>
      </w:r>
      <w:r>
        <w:rPr>
          <w:rFonts w:hint="eastAsia" w:ascii="黑体" w:hAnsi="黑体" w:eastAsia="黑体" w:cs="黑体"/>
          <w:b/>
          <w:bCs/>
          <w:sz w:val="36"/>
          <w:szCs w:val="36"/>
          <w:lang w:eastAsia="zh-CN"/>
        </w:rPr>
        <w:t>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5"/>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560" w:firstLineChars="200"/>
        <w:jc w:val="left"/>
        <w:rPr>
          <w:rFonts w:cs="仿宋" w:asciiTheme="minorEastAsia" w:hAnsiTheme="minorEastAsia"/>
          <w:sz w:val="28"/>
          <w:szCs w:val="28"/>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年收入总计</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万元，支出总计</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万元,与</w:t>
      </w:r>
      <w:r>
        <w:rPr>
          <w:rFonts w:hint="eastAsia" w:cs="仿宋" w:asciiTheme="minorEastAsia" w:hAnsiTheme="minorEastAsia"/>
          <w:sz w:val="28"/>
          <w:szCs w:val="28"/>
          <w:lang w:eastAsia="zh-CN"/>
        </w:rPr>
        <w:t>2022</w:t>
      </w:r>
      <w:r>
        <w:rPr>
          <w:rFonts w:hint="eastAsia" w:cs="仿宋" w:asciiTheme="minorEastAsia" w:hAnsiTheme="minorEastAsia"/>
          <w:sz w:val="28"/>
          <w:szCs w:val="28"/>
        </w:rPr>
        <w:t>年相比，收、支总计各</w:t>
      </w:r>
      <w:r>
        <w:rPr>
          <w:rFonts w:hint="eastAsia" w:cs="仿宋" w:asciiTheme="minorEastAsia" w:hAnsiTheme="minorEastAsia"/>
          <w:sz w:val="28"/>
          <w:szCs w:val="28"/>
          <w:lang w:val="en-US" w:eastAsia="zh-CN"/>
        </w:rPr>
        <w:t>增加34.01</w:t>
      </w:r>
      <w:r>
        <w:rPr>
          <w:rFonts w:hint="eastAsia" w:cs="仿宋" w:asciiTheme="minorEastAsia" w:hAnsiTheme="minorEastAsia"/>
          <w:sz w:val="28"/>
          <w:szCs w:val="28"/>
        </w:rPr>
        <w:t>万元，</w:t>
      </w:r>
      <w:r>
        <w:rPr>
          <w:rFonts w:hint="eastAsia" w:asciiTheme="minorEastAsia" w:hAnsiTheme="minorEastAsia"/>
          <w:sz w:val="28"/>
          <w:szCs w:val="28"/>
          <w:lang w:val="en-US" w:eastAsia="zh-CN"/>
        </w:rPr>
        <w:t>增长</w:t>
      </w:r>
      <w:r>
        <w:rPr>
          <w:rFonts w:hint="eastAsia" w:cs="仿宋" w:asciiTheme="minorEastAsia" w:hAnsiTheme="minorEastAsia"/>
          <w:sz w:val="28"/>
          <w:szCs w:val="28"/>
          <w:lang w:val="en-US" w:eastAsia="zh-CN"/>
        </w:rPr>
        <w:t>7.9</w:t>
      </w:r>
      <w:r>
        <w:rPr>
          <w:rFonts w:hint="eastAsia" w:cs="仿宋" w:asciiTheme="minorEastAsia" w:hAnsiTheme="minorEastAsia"/>
          <w:sz w:val="28"/>
          <w:szCs w:val="28"/>
        </w:rPr>
        <w:t>%。主要原因是：</w:t>
      </w:r>
      <w:r>
        <w:rPr>
          <w:rFonts w:hint="eastAsia" w:cs="仿宋" w:asciiTheme="minorEastAsia" w:hAnsiTheme="minorEastAsia"/>
          <w:sz w:val="28"/>
          <w:szCs w:val="28"/>
          <w:lang w:val="en-US" w:eastAsia="zh-CN"/>
        </w:rPr>
        <w:t>与去年相比，我单位人员有新增和调入，因此人员经费支出有所增加</w:t>
      </w:r>
      <w:r>
        <w:rPr>
          <w:rFonts w:hint="eastAsia" w:cs="仿宋" w:asciiTheme="minorEastAsia" w:hAnsiTheme="minorEastAsia"/>
          <w:sz w:val="28"/>
          <w:szCs w:val="28"/>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收入预算总体情况说明</w:t>
      </w:r>
    </w:p>
    <w:p>
      <w:pPr>
        <w:ind w:firstLine="560" w:firstLineChars="200"/>
        <w:jc w:val="left"/>
        <w:rPr>
          <w:rFonts w:cs="仿宋" w:asciiTheme="minorEastAsia" w:hAnsiTheme="minorEastAsia"/>
          <w:sz w:val="28"/>
          <w:szCs w:val="28"/>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年收入合计</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万元，其中：一般公共预算收入</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万元，上年结转结余0万元。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支出预算总体情况说明</w:t>
      </w:r>
    </w:p>
    <w:p>
      <w:pPr>
        <w:ind w:firstLine="560" w:firstLineChars="200"/>
        <w:jc w:val="left"/>
        <w:rPr>
          <w:rFonts w:cs="仿宋" w:asciiTheme="minorEastAsia" w:hAnsiTheme="minorEastAsia"/>
          <w:sz w:val="28"/>
          <w:szCs w:val="28"/>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年支出合计</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万元，其中：基本支出</w:t>
      </w:r>
      <w:r>
        <w:rPr>
          <w:rFonts w:hint="eastAsia" w:cs="仿宋" w:asciiTheme="minorEastAsia" w:hAnsiTheme="minorEastAsia"/>
          <w:sz w:val="28"/>
          <w:szCs w:val="28"/>
          <w:lang w:val="en-US" w:eastAsia="zh-CN"/>
        </w:rPr>
        <w:t>436.19</w:t>
      </w:r>
      <w:r>
        <w:rPr>
          <w:rFonts w:hint="eastAsia" w:cs="仿宋" w:asciiTheme="minorEastAsia" w:hAnsiTheme="minorEastAsia"/>
          <w:sz w:val="28"/>
          <w:szCs w:val="28"/>
        </w:rPr>
        <w:t>万元，占</w:t>
      </w:r>
      <w:r>
        <w:rPr>
          <w:rFonts w:hint="eastAsia" w:cs="仿宋" w:asciiTheme="minorEastAsia" w:hAnsiTheme="minorEastAsia"/>
          <w:sz w:val="28"/>
          <w:szCs w:val="28"/>
          <w:lang w:val="en-US" w:eastAsia="zh-CN"/>
        </w:rPr>
        <w:t>94</w:t>
      </w:r>
      <w:r>
        <w:rPr>
          <w:rFonts w:hint="eastAsia" w:cs="仿宋" w:asciiTheme="minorEastAsia" w:hAnsiTheme="minorEastAsia"/>
          <w:sz w:val="28"/>
          <w:szCs w:val="28"/>
        </w:rPr>
        <w:t>%；项目支出30万元，占6%。</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5"/>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560" w:firstLineChars="200"/>
        <w:jc w:val="left"/>
        <w:rPr>
          <w:rFonts w:ascii="仿宋" w:hAnsi="仿宋" w:eastAsia="仿宋" w:cs="仿宋"/>
          <w:sz w:val="32"/>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年财政拨款收支预算</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万元，无政府性基金预算和国有资本经营预算。与</w:t>
      </w:r>
      <w:r>
        <w:rPr>
          <w:rFonts w:hint="eastAsia" w:cs="仿宋" w:asciiTheme="minorEastAsia" w:hAnsiTheme="minorEastAsia"/>
          <w:sz w:val="28"/>
          <w:szCs w:val="28"/>
          <w:lang w:eastAsia="zh-CN"/>
        </w:rPr>
        <w:t>2022</w:t>
      </w:r>
      <w:r>
        <w:rPr>
          <w:rFonts w:hint="eastAsia" w:cs="仿宋" w:asciiTheme="minorEastAsia" w:hAnsiTheme="minorEastAsia"/>
          <w:sz w:val="28"/>
          <w:szCs w:val="28"/>
        </w:rPr>
        <w:t>年相比，一般公共预算收支预算</w:t>
      </w:r>
      <w:r>
        <w:rPr>
          <w:rFonts w:hint="eastAsia" w:cs="仿宋" w:asciiTheme="minorEastAsia" w:hAnsiTheme="minorEastAsia"/>
          <w:sz w:val="28"/>
          <w:szCs w:val="28"/>
          <w:lang w:val="en-US" w:eastAsia="zh-CN"/>
        </w:rPr>
        <w:t>增加34.01</w:t>
      </w:r>
      <w:r>
        <w:rPr>
          <w:rFonts w:hint="eastAsia" w:cs="仿宋" w:asciiTheme="minorEastAsia" w:hAnsiTheme="minorEastAsia"/>
          <w:sz w:val="28"/>
          <w:szCs w:val="28"/>
        </w:rPr>
        <w:t>万元，</w:t>
      </w:r>
      <w:r>
        <w:rPr>
          <w:rFonts w:hint="eastAsia" w:asciiTheme="minorEastAsia" w:hAnsiTheme="minorEastAsia"/>
          <w:sz w:val="28"/>
          <w:szCs w:val="28"/>
          <w:lang w:val="en-US" w:eastAsia="zh-CN"/>
        </w:rPr>
        <w:t>增长</w:t>
      </w:r>
      <w:r>
        <w:rPr>
          <w:rFonts w:hint="eastAsia" w:cs="仿宋" w:asciiTheme="minorEastAsia" w:hAnsiTheme="minorEastAsia"/>
          <w:sz w:val="28"/>
          <w:szCs w:val="28"/>
          <w:lang w:val="en-US" w:eastAsia="zh-CN"/>
        </w:rPr>
        <w:t>7.9</w:t>
      </w:r>
      <w:r>
        <w:rPr>
          <w:rFonts w:hint="eastAsia" w:cs="仿宋" w:asciiTheme="minorEastAsia" w:hAnsiTheme="minorEastAsia"/>
          <w:sz w:val="28"/>
          <w:szCs w:val="28"/>
        </w:rPr>
        <w:t>%。主要原因是：</w:t>
      </w:r>
      <w:r>
        <w:rPr>
          <w:rFonts w:hint="eastAsia" w:cs="仿宋" w:asciiTheme="minorEastAsia" w:hAnsiTheme="minorEastAsia"/>
          <w:sz w:val="28"/>
          <w:szCs w:val="28"/>
          <w:lang w:val="en-US" w:eastAsia="zh-CN"/>
        </w:rPr>
        <w:t>与去年相比，我单位人员有新增和调入，因此人员经费支出有所增加</w:t>
      </w:r>
      <w:r>
        <w:rPr>
          <w:rFonts w:hint="eastAsia" w:cs="仿宋" w:asciiTheme="minorEastAsia" w:hAnsiTheme="minorEastAsia"/>
          <w:sz w:val="28"/>
          <w:szCs w:val="28"/>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560" w:firstLineChars="200"/>
        <w:jc w:val="left"/>
        <w:rPr>
          <w:rFonts w:cs="仿宋" w:asciiTheme="minorEastAsia" w:hAnsiTheme="minorEastAsia"/>
          <w:sz w:val="28"/>
          <w:szCs w:val="28"/>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年一般公共预算支出年初预算为</w:t>
      </w:r>
      <w:r>
        <w:rPr>
          <w:rFonts w:hint="eastAsia" w:cs="仿宋" w:asciiTheme="minorEastAsia" w:hAnsiTheme="minorEastAsia"/>
          <w:sz w:val="28"/>
          <w:szCs w:val="28"/>
          <w:lang w:val="en-US" w:eastAsia="zh-CN"/>
        </w:rPr>
        <w:t>466.19</w:t>
      </w:r>
      <w:r>
        <w:rPr>
          <w:rFonts w:hint="eastAsia" w:cs="仿宋" w:asciiTheme="minorEastAsia" w:hAnsiTheme="minorEastAsia"/>
          <w:sz w:val="28"/>
          <w:szCs w:val="28"/>
        </w:rPr>
        <w:t>万元。其中：基本支出</w:t>
      </w:r>
      <w:r>
        <w:rPr>
          <w:rFonts w:hint="eastAsia" w:cs="仿宋" w:asciiTheme="minorEastAsia" w:hAnsiTheme="minorEastAsia"/>
          <w:sz w:val="28"/>
          <w:szCs w:val="28"/>
          <w:lang w:val="en-US" w:eastAsia="zh-CN"/>
        </w:rPr>
        <w:t>436.19</w:t>
      </w:r>
      <w:r>
        <w:rPr>
          <w:rFonts w:hint="eastAsia" w:cs="仿宋" w:asciiTheme="minorEastAsia" w:hAnsiTheme="minorEastAsia"/>
          <w:sz w:val="28"/>
          <w:szCs w:val="28"/>
        </w:rPr>
        <w:t>万元，占</w:t>
      </w:r>
      <w:r>
        <w:rPr>
          <w:rFonts w:hint="eastAsia" w:cs="仿宋" w:asciiTheme="minorEastAsia" w:hAnsiTheme="minorEastAsia"/>
          <w:sz w:val="28"/>
          <w:szCs w:val="28"/>
          <w:lang w:val="en-US" w:eastAsia="zh-CN"/>
        </w:rPr>
        <w:t>94</w:t>
      </w:r>
      <w:r>
        <w:rPr>
          <w:rFonts w:hint="eastAsia" w:cs="仿宋" w:asciiTheme="minorEastAsia" w:hAnsiTheme="minorEastAsia"/>
          <w:sz w:val="28"/>
          <w:szCs w:val="28"/>
        </w:rPr>
        <w:t>%;项目支出30万元，占</w:t>
      </w:r>
      <w:r>
        <w:rPr>
          <w:rFonts w:hint="eastAsia" w:cs="仿宋" w:asciiTheme="minorEastAsia" w:hAnsiTheme="minorEastAsia"/>
          <w:sz w:val="28"/>
          <w:szCs w:val="28"/>
          <w:lang w:val="en-US" w:eastAsia="zh-CN"/>
        </w:rPr>
        <w:t>6</w:t>
      </w:r>
      <w:r>
        <w:rPr>
          <w:rFonts w:hint="eastAsia" w:cs="仿宋" w:asciiTheme="minorEastAsia" w:hAnsiTheme="minorEastAsia"/>
          <w:sz w:val="28"/>
          <w:szCs w:val="28"/>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5"/>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560" w:firstLineChars="200"/>
        <w:jc w:val="left"/>
        <w:rPr>
          <w:rFonts w:cs="仿宋" w:asciiTheme="minorEastAsia" w:hAnsiTheme="minorEastAsia"/>
          <w:color w:val="000000"/>
          <w:sz w:val="28"/>
          <w:szCs w:val="28"/>
        </w:rPr>
      </w:pPr>
      <w:r>
        <w:rPr>
          <w:rFonts w:hint="eastAsia" w:cs="仿宋" w:asciiTheme="minorEastAsia" w:hAnsiTheme="minorEastAsia"/>
          <w:color w:val="000000"/>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color w:val="000000"/>
          <w:sz w:val="28"/>
          <w:szCs w:val="28"/>
          <w:lang w:eastAsia="zh-CN"/>
        </w:rPr>
        <w:t>2023</w:t>
      </w:r>
      <w:r>
        <w:rPr>
          <w:rFonts w:hint="eastAsia" w:cs="仿宋" w:asciiTheme="minorEastAsia" w:hAnsiTheme="minorEastAsia"/>
          <w:color w:val="000000"/>
          <w:sz w:val="28"/>
          <w:szCs w:val="28"/>
        </w:rPr>
        <w:t>年一般公共预算基本支出年初预算为</w:t>
      </w:r>
      <w:r>
        <w:rPr>
          <w:rFonts w:hint="eastAsia" w:cs="仿宋" w:asciiTheme="minorEastAsia" w:hAnsiTheme="minorEastAsia"/>
          <w:color w:val="000000"/>
          <w:sz w:val="28"/>
          <w:szCs w:val="28"/>
          <w:lang w:val="en-US" w:eastAsia="zh-CN"/>
        </w:rPr>
        <w:t>436.19</w:t>
      </w:r>
      <w:r>
        <w:rPr>
          <w:rFonts w:hint="eastAsia" w:cs="仿宋" w:asciiTheme="minorEastAsia" w:hAnsiTheme="minorEastAsia"/>
          <w:color w:val="000000"/>
          <w:sz w:val="28"/>
          <w:szCs w:val="28"/>
        </w:rPr>
        <w:t>万元。其中：人员经费支出</w:t>
      </w:r>
      <w:r>
        <w:rPr>
          <w:rFonts w:hint="eastAsia" w:cs="仿宋" w:asciiTheme="minorEastAsia" w:hAnsiTheme="minorEastAsia"/>
          <w:color w:val="000000"/>
          <w:sz w:val="28"/>
          <w:szCs w:val="28"/>
          <w:lang w:val="en-US" w:eastAsia="zh-CN"/>
        </w:rPr>
        <w:t>415.93</w:t>
      </w:r>
      <w:r>
        <w:rPr>
          <w:rFonts w:hint="eastAsia" w:cs="仿宋" w:asciiTheme="minorEastAsia" w:hAnsiTheme="minorEastAsia"/>
          <w:color w:val="000000"/>
          <w:sz w:val="28"/>
          <w:szCs w:val="28"/>
        </w:rPr>
        <w:t>万元，占</w:t>
      </w:r>
      <w:r>
        <w:rPr>
          <w:rFonts w:hint="eastAsia" w:cs="仿宋" w:asciiTheme="minorEastAsia" w:hAnsiTheme="minorEastAsia"/>
          <w:color w:val="000000"/>
          <w:sz w:val="28"/>
          <w:szCs w:val="28"/>
          <w:lang w:val="en-US" w:eastAsia="zh-CN"/>
        </w:rPr>
        <w:t>95</w:t>
      </w:r>
      <w:r>
        <w:rPr>
          <w:rFonts w:hint="eastAsia" w:cs="仿宋" w:asciiTheme="minorEastAsia" w:hAnsiTheme="minorEastAsia"/>
          <w:color w:val="000000"/>
          <w:sz w:val="28"/>
          <w:szCs w:val="28"/>
        </w:rPr>
        <w:t>%；公用经费支出</w:t>
      </w:r>
      <w:r>
        <w:rPr>
          <w:rFonts w:hint="eastAsia" w:cs="仿宋" w:asciiTheme="minorEastAsia" w:hAnsiTheme="minorEastAsia"/>
          <w:color w:val="000000"/>
          <w:sz w:val="28"/>
          <w:szCs w:val="28"/>
          <w:lang w:val="en-US" w:eastAsia="zh-CN"/>
        </w:rPr>
        <w:t>20.26</w:t>
      </w:r>
      <w:r>
        <w:rPr>
          <w:rFonts w:hint="eastAsia" w:cs="仿宋" w:asciiTheme="minorEastAsia" w:hAnsiTheme="minorEastAsia"/>
          <w:color w:val="000000"/>
          <w:sz w:val="28"/>
          <w:szCs w:val="28"/>
        </w:rPr>
        <w:t>万元，占</w:t>
      </w:r>
      <w:r>
        <w:rPr>
          <w:rFonts w:hint="eastAsia" w:cs="仿宋" w:asciiTheme="minorEastAsia" w:hAnsiTheme="minorEastAsia"/>
          <w:color w:val="000000"/>
          <w:sz w:val="28"/>
          <w:szCs w:val="28"/>
          <w:lang w:val="en-US" w:eastAsia="zh-CN"/>
        </w:rPr>
        <w:t>5</w:t>
      </w:r>
      <w:r>
        <w:rPr>
          <w:rFonts w:hint="eastAsia" w:cs="仿宋" w:asciiTheme="minorEastAsia" w:hAnsiTheme="minorEastAsia"/>
          <w:color w:val="000000"/>
          <w:sz w:val="28"/>
          <w:szCs w:val="28"/>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5"/>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560" w:firstLineChars="200"/>
        <w:jc w:val="left"/>
        <w:rPr>
          <w:rFonts w:hint="eastAsia" w:ascii="宋体" w:hAnsi="宋体" w:eastAsia="宋体" w:cs="宋体"/>
          <w:sz w:val="28"/>
          <w:szCs w:val="28"/>
        </w:rPr>
      </w:pPr>
      <w:r>
        <w:rPr>
          <w:rFonts w:hint="eastAsia" w:cs="仿宋" w:asciiTheme="minorEastAsia" w:hAnsiTheme="minorEastAsia"/>
          <w:sz w:val="28"/>
          <w:szCs w:val="28"/>
        </w:rPr>
        <w:t>淮滨县</w:t>
      </w:r>
      <w:r>
        <w:rPr>
          <w:rFonts w:hint="eastAsia" w:cs="黑体" w:asciiTheme="minorEastAsia" w:hAnsiTheme="minorEastAsia"/>
          <w:spacing w:val="-7"/>
          <w:sz w:val="28"/>
          <w:szCs w:val="28"/>
        </w:rPr>
        <w:t>质量技术监督检验测试中心</w:t>
      </w:r>
      <w:r>
        <w:rPr>
          <w:rFonts w:hint="eastAsia" w:cs="仿宋" w:asciiTheme="minorEastAsia" w:hAnsiTheme="minorEastAsia"/>
          <w:sz w:val="28"/>
          <w:szCs w:val="28"/>
          <w:lang w:eastAsia="zh-CN"/>
        </w:rPr>
        <w:t>2023</w:t>
      </w:r>
      <w:r>
        <w:rPr>
          <w:rFonts w:hint="eastAsia" w:cs="仿宋" w:asciiTheme="minorEastAsia" w:hAnsiTheme="minorEastAsia"/>
          <w:sz w:val="28"/>
          <w:szCs w:val="28"/>
        </w:rPr>
        <w:t>年“三公”经费支出预算为</w:t>
      </w:r>
      <w:r>
        <w:rPr>
          <w:rFonts w:hint="eastAsia" w:cs="仿宋" w:asciiTheme="minorEastAsia" w:hAnsiTheme="minorEastAsia"/>
          <w:sz w:val="28"/>
          <w:szCs w:val="28"/>
          <w:lang w:val="en-US" w:eastAsia="zh-CN"/>
        </w:rPr>
        <w:t>7.9</w:t>
      </w:r>
      <w:r>
        <w:rPr>
          <w:rFonts w:hint="eastAsia" w:cs="仿宋" w:asciiTheme="minorEastAsia" w:hAnsiTheme="minorEastAsia"/>
          <w:sz w:val="28"/>
          <w:szCs w:val="28"/>
        </w:rPr>
        <w:t>万元,</w:t>
      </w:r>
      <w:r>
        <w:rPr>
          <w:rFonts w:asciiTheme="minorEastAsia" w:hAnsiTheme="minorEastAsia"/>
          <w:sz w:val="28"/>
          <w:szCs w:val="28"/>
        </w:rPr>
        <w:t>预算数与</w:t>
      </w:r>
      <w:r>
        <w:rPr>
          <w:rFonts w:hint="eastAsia" w:asciiTheme="minorEastAsia" w:hAnsiTheme="minorEastAsia"/>
          <w:sz w:val="28"/>
          <w:szCs w:val="28"/>
          <w:lang w:eastAsia="zh-CN"/>
        </w:rPr>
        <w:t>2022</w:t>
      </w:r>
      <w:r>
        <w:rPr>
          <w:rFonts w:asciiTheme="minorEastAsia" w:hAnsiTheme="minorEastAsia"/>
          <w:sz w:val="28"/>
          <w:szCs w:val="28"/>
        </w:rPr>
        <w:t>年保持不变。主要原因：</w:t>
      </w:r>
      <w:r>
        <w:rPr>
          <w:rFonts w:hint="eastAsia" w:asciiTheme="minorEastAsia" w:hAnsiTheme="minorEastAsia"/>
          <w:sz w:val="28"/>
          <w:szCs w:val="28"/>
          <w:lang w:val="en-US" w:eastAsia="zh-CN"/>
        </w:rPr>
        <w:t>本单位</w:t>
      </w:r>
      <w:r>
        <w:rPr>
          <w:rFonts w:hint="eastAsia" w:ascii="宋体" w:hAnsi="宋体" w:eastAsia="宋体" w:cs="宋体"/>
          <w:kern w:val="0"/>
          <w:sz w:val="28"/>
          <w:szCs w:val="28"/>
          <w:lang w:eastAsia="zh-CN"/>
        </w:rPr>
        <w:t>严格</w:t>
      </w:r>
      <w:r>
        <w:rPr>
          <w:rFonts w:hint="eastAsia" w:ascii="宋体" w:hAnsi="宋体" w:eastAsia="宋体" w:cs="宋体"/>
          <w:kern w:val="0"/>
          <w:sz w:val="28"/>
          <w:szCs w:val="28"/>
        </w:rPr>
        <w:t>按照中央</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八项规定</w:t>
      </w:r>
      <w:r>
        <w:rPr>
          <w:rFonts w:hint="eastAsia" w:ascii="宋体" w:hAnsi="宋体" w:eastAsia="宋体" w:cs="宋体"/>
          <w:kern w:val="0"/>
          <w:sz w:val="28"/>
          <w:szCs w:val="28"/>
          <w:lang w:val="en-US" w:eastAsia="zh-CN"/>
        </w:rPr>
        <w:t>”</w:t>
      </w:r>
      <w:r>
        <w:rPr>
          <w:rFonts w:hint="eastAsia" w:ascii="宋体" w:hAnsi="宋体" w:eastAsia="宋体" w:cs="宋体"/>
          <w:kern w:val="0"/>
          <w:sz w:val="28"/>
          <w:szCs w:val="28"/>
        </w:rPr>
        <w:t>和省委省政府厉行节约的相关规定要求，</w:t>
      </w:r>
      <w:r>
        <w:rPr>
          <w:rFonts w:hint="eastAsia" w:ascii="宋体" w:hAnsi="宋体" w:eastAsia="宋体" w:cs="宋体"/>
          <w:kern w:val="0"/>
          <w:sz w:val="28"/>
          <w:szCs w:val="28"/>
          <w:lang w:eastAsia="zh-CN"/>
        </w:rPr>
        <w:t>压减“三公”经费，</w:t>
      </w:r>
      <w:r>
        <w:rPr>
          <w:rFonts w:hint="eastAsia" w:ascii="宋体" w:hAnsi="宋体" w:eastAsia="宋体" w:cs="宋体"/>
          <w:kern w:val="0"/>
          <w:sz w:val="28"/>
          <w:szCs w:val="28"/>
        </w:rPr>
        <w:t>严格管控“三公”经费支出</w:t>
      </w:r>
      <w:r>
        <w:rPr>
          <w:rFonts w:hint="eastAsia" w:ascii="宋体" w:hAnsi="宋体" w:eastAsia="宋体" w:cs="宋体"/>
          <w:kern w:val="0"/>
          <w:sz w:val="28"/>
          <w:szCs w:val="28"/>
          <w:lang w:eastAsia="zh-CN"/>
        </w:rPr>
        <w:t>。</w:t>
      </w:r>
    </w:p>
    <w:p>
      <w:pPr>
        <w:ind w:firstLine="560" w:firstLineChars="200"/>
        <w:jc w:val="left"/>
        <w:rPr>
          <w:rFonts w:cs="仿宋" w:asciiTheme="minorEastAsia" w:hAnsiTheme="minorEastAsia"/>
          <w:sz w:val="28"/>
          <w:szCs w:val="28"/>
        </w:rPr>
      </w:pPr>
      <w:r>
        <w:rPr>
          <w:rFonts w:hint="eastAsia" w:cs="仿宋" w:asciiTheme="minorEastAsia" w:hAnsiTheme="minorEastAsia"/>
          <w:sz w:val="28"/>
          <w:szCs w:val="28"/>
        </w:rPr>
        <w:t>具体支出情况如下：</w:t>
      </w:r>
    </w:p>
    <w:p>
      <w:pPr>
        <w:ind w:firstLine="562" w:firstLineChars="200"/>
        <w:jc w:val="left"/>
        <w:rPr>
          <w:rFonts w:cs="仿宋" w:asciiTheme="minorEastAsia" w:hAnsiTheme="minorEastAsia"/>
          <w:sz w:val="28"/>
          <w:szCs w:val="28"/>
        </w:rPr>
      </w:pPr>
      <w:r>
        <w:rPr>
          <w:rFonts w:hint="eastAsia" w:cs="仿宋" w:asciiTheme="minorEastAsia" w:hAnsiTheme="minorEastAsia"/>
          <w:b/>
          <w:bCs/>
          <w:sz w:val="28"/>
          <w:szCs w:val="28"/>
        </w:rPr>
        <w:t>（一）因公出国（境）费用</w:t>
      </w:r>
      <w:r>
        <w:rPr>
          <w:rFonts w:hint="eastAsia" w:cs="仿宋" w:asciiTheme="minorEastAsia" w:hAnsiTheme="minorEastAsia"/>
          <w:sz w:val="28"/>
          <w:szCs w:val="28"/>
        </w:rPr>
        <w:t>0万元，预算数与</w:t>
      </w:r>
      <w:r>
        <w:rPr>
          <w:rFonts w:hint="eastAsia" w:cs="仿宋" w:asciiTheme="minorEastAsia" w:hAnsiTheme="minorEastAsia"/>
          <w:sz w:val="28"/>
          <w:szCs w:val="28"/>
          <w:lang w:eastAsia="zh-CN"/>
        </w:rPr>
        <w:t>2022</w:t>
      </w:r>
      <w:r>
        <w:rPr>
          <w:rFonts w:hint="eastAsia" w:cs="仿宋" w:asciiTheme="minorEastAsia" w:hAnsiTheme="minorEastAsia"/>
          <w:sz w:val="28"/>
          <w:szCs w:val="28"/>
        </w:rPr>
        <w:t>年保持一致。</w:t>
      </w:r>
    </w:p>
    <w:p>
      <w:pPr>
        <w:ind w:firstLine="562" w:firstLineChars="200"/>
        <w:jc w:val="left"/>
        <w:rPr>
          <w:rFonts w:cs="仿宋" w:asciiTheme="minorEastAsia" w:hAnsiTheme="minorEastAsia"/>
          <w:sz w:val="28"/>
          <w:szCs w:val="28"/>
        </w:rPr>
      </w:pPr>
      <w:r>
        <w:rPr>
          <w:rFonts w:hint="eastAsia" w:cs="仿宋" w:asciiTheme="minorEastAsia" w:hAnsiTheme="minorEastAsia"/>
          <w:b/>
          <w:bCs/>
          <w:sz w:val="28"/>
          <w:szCs w:val="28"/>
        </w:rPr>
        <w:t>（二）公务接待费</w:t>
      </w:r>
      <w:r>
        <w:rPr>
          <w:rFonts w:hint="eastAsia" w:cs="仿宋" w:asciiTheme="minorEastAsia" w:hAnsiTheme="minorEastAsia"/>
          <w:sz w:val="28"/>
          <w:szCs w:val="28"/>
        </w:rPr>
        <w:t>3.9万元。主要用于按规定开支的各类公务接待支出。预算数与</w:t>
      </w:r>
      <w:r>
        <w:rPr>
          <w:rFonts w:hint="eastAsia" w:cs="仿宋" w:asciiTheme="minorEastAsia" w:hAnsiTheme="minorEastAsia"/>
          <w:sz w:val="28"/>
          <w:szCs w:val="28"/>
          <w:lang w:eastAsia="zh-CN"/>
        </w:rPr>
        <w:t>2022</w:t>
      </w:r>
      <w:r>
        <w:rPr>
          <w:rFonts w:hint="eastAsia" w:cs="仿宋" w:asciiTheme="minorEastAsia" w:hAnsiTheme="minorEastAsia"/>
          <w:sz w:val="28"/>
          <w:szCs w:val="28"/>
        </w:rPr>
        <w:t>年保持一致。</w:t>
      </w:r>
    </w:p>
    <w:p>
      <w:pPr>
        <w:ind w:firstLine="562" w:firstLineChars="200"/>
        <w:jc w:val="left"/>
        <w:rPr>
          <w:rFonts w:cs="仿宋" w:asciiTheme="minorEastAsia" w:hAnsiTheme="minorEastAsia"/>
          <w:sz w:val="28"/>
          <w:szCs w:val="28"/>
        </w:rPr>
      </w:pPr>
      <w:r>
        <w:rPr>
          <w:rFonts w:hint="eastAsia" w:cs="仿宋" w:asciiTheme="minorEastAsia" w:hAnsiTheme="minorEastAsia"/>
          <w:b/>
          <w:bCs/>
          <w:sz w:val="28"/>
          <w:szCs w:val="28"/>
        </w:rPr>
        <w:t>（三）公务用车购置及运行费</w:t>
      </w:r>
      <w:r>
        <w:rPr>
          <w:rFonts w:hint="eastAsia" w:cs="仿宋" w:asciiTheme="minorEastAsia" w:hAnsiTheme="minorEastAsia"/>
          <w:sz w:val="28"/>
          <w:szCs w:val="28"/>
        </w:rPr>
        <w:t>4万元，其中：公务用车运行维护费4万元，预算数与</w:t>
      </w:r>
      <w:r>
        <w:rPr>
          <w:rFonts w:hint="eastAsia" w:cs="仿宋" w:asciiTheme="minorEastAsia" w:hAnsiTheme="minorEastAsia"/>
          <w:sz w:val="28"/>
          <w:szCs w:val="28"/>
          <w:lang w:eastAsia="zh-CN"/>
        </w:rPr>
        <w:t>2022</w:t>
      </w:r>
      <w:r>
        <w:rPr>
          <w:rFonts w:hint="eastAsia" w:cs="仿宋" w:asciiTheme="minorEastAsia" w:hAnsiTheme="minorEastAsia"/>
          <w:sz w:val="28"/>
          <w:szCs w:val="28"/>
        </w:rPr>
        <w:t>年保持一致。公务用车购置0万元。</w:t>
      </w:r>
    </w:p>
    <w:p>
      <w:pPr>
        <w:ind w:firstLine="560" w:firstLineChars="200"/>
        <w:jc w:val="left"/>
        <w:rPr>
          <w:rFonts w:cs="仿宋" w:asciiTheme="minorEastAsia" w:hAnsiTheme="minorEastAsia"/>
          <w:sz w:val="28"/>
          <w:szCs w:val="28"/>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5"/>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 w:cs="仿宋"/>
          <w:sz w:val="32"/>
          <w:lang w:eastAsia="zh-CN"/>
        </w:rPr>
      </w:pPr>
      <w:r>
        <w:rPr>
          <w:rFonts w:hint="eastAsia" w:ascii="仿宋" w:hAnsi="仿宋" w:eastAsia="仿宋" w:cs="仿宋"/>
          <w:sz w:val="32"/>
        </w:rPr>
        <w:t>我单位</w:t>
      </w:r>
      <w:r>
        <w:rPr>
          <w:rFonts w:hint="eastAsia" w:ascii="仿宋" w:hAnsi="仿宋" w:eastAsia="仿宋" w:cs="仿宋"/>
          <w:sz w:val="32"/>
          <w:lang w:eastAsia="zh-CN"/>
        </w:rPr>
        <w:t>202</w:t>
      </w:r>
      <w:r>
        <w:rPr>
          <w:rFonts w:hint="eastAsia" w:ascii="仿宋" w:hAnsi="仿宋" w:eastAsia="仿宋" w:cs="仿宋"/>
          <w:sz w:val="32"/>
          <w:lang w:val="en-US" w:eastAsia="zh-CN"/>
        </w:rPr>
        <w:t>3</w:t>
      </w:r>
      <w:r>
        <w:rPr>
          <w:rFonts w:hint="eastAsia" w:ascii="仿宋" w:hAnsi="仿宋" w:eastAsia="仿宋" w:cs="仿宋"/>
          <w:sz w:val="32"/>
          <w:lang w:eastAsia="zh-CN"/>
        </w:rPr>
        <w:t>年没有政府性基金预算拨款收入，也没有政府性基金预算安排的支出，故无数据情况说明。</w:t>
      </w:r>
    </w:p>
    <w:p>
      <w:pPr>
        <w:numPr>
          <w:ilvl w:val="0"/>
          <w:numId w:val="5"/>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年运行经费支出预算</w:t>
      </w:r>
      <w:r>
        <w:rPr>
          <w:rFonts w:hint="eastAsia" w:ascii="仿宋" w:hAnsi="仿宋" w:eastAsia="仿宋" w:cs="仿宋"/>
          <w:sz w:val="32"/>
          <w:lang w:val="en-US" w:eastAsia="zh-CN"/>
        </w:rPr>
        <w:t>28.16</w:t>
      </w:r>
      <w:r>
        <w:rPr>
          <w:rFonts w:hint="eastAsia" w:ascii="仿宋" w:hAnsi="仿宋" w:eastAsia="仿宋" w:cs="仿宋"/>
          <w:sz w:val="32"/>
        </w:rPr>
        <w:t>万元，</w:t>
      </w:r>
      <w:r>
        <w:rPr>
          <w:rFonts w:hint="eastAsia" w:ascii="仿宋" w:hAnsi="仿宋" w:eastAsia="仿宋" w:cs="仿宋"/>
          <w:sz w:val="32"/>
          <w:lang w:val="en-US" w:eastAsia="zh-CN"/>
        </w:rPr>
        <w:t>金额与去年保持一致，主要原因是本单位严格按照中央八项规定精神，严格预算机关运行经费支出，</w:t>
      </w: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运行经费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年政府采购预算安排0万元，其中：货物类采购预算0万元，工程类采购预算0万元，服务类采购预算0万元。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 w:hAnsi="仿宋" w:eastAsia="仿宋" w:cs="仿宋"/>
          <w:sz w:val="32"/>
        </w:rPr>
        <w:t>20</w:t>
      </w:r>
      <w:r>
        <w:rPr>
          <w:rFonts w:hint="eastAsia" w:ascii="仿宋" w:hAnsi="仿宋" w:eastAsia="仿宋" w:cs="仿宋"/>
          <w:sz w:val="32"/>
          <w:lang w:val="en-US" w:eastAsia="zh-CN"/>
        </w:rPr>
        <w:t>23</w:t>
      </w:r>
      <w:r>
        <w:rPr>
          <w:rFonts w:hint="eastAsia" w:ascii="仿宋" w:hAnsi="仿宋" w:eastAsia="仿宋" w:cs="仿宋"/>
          <w:sz w:val="32"/>
        </w:rPr>
        <w:t>年部门预算金额共计</w:t>
      </w:r>
      <w:r>
        <w:rPr>
          <w:rFonts w:hint="eastAsia" w:ascii="仿宋" w:hAnsi="仿宋" w:eastAsia="仿宋" w:cs="仿宋"/>
          <w:sz w:val="32"/>
          <w:lang w:val="en-US" w:eastAsia="zh-CN"/>
        </w:rPr>
        <w:t>466.19</w:t>
      </w:r>
      <w:r>
        <w:rPr>
          <w:rFonts w:hint="eastAsia" w:ascii="仿宋" w:hAnsi="仿宋" w:eastAsia="仿宋" w:cs="仿宋"/>
          <w:sz w:val="32"/>
        </w:rPr>
        <w:t>万元，其中项目共</w:t>
      </w:r>
      <w:r>
        <w:rPr>
          <w:rFonts w:hint="eastAsia" w:ascii="仿宋" w:hAnsi="仿宋" w:eastAsia="仿宋" w:cs="仿宋"/>
          <w:sz w:val="32"/>
          <w:lang w:val="en-US" w:eastAsia="zh-CN"/>
        </w:rPr>
        <w:t>2</w:t>
      </w:r>
      <w:r>
        <w:rPr>
          <w:rFonts w:hint="eastAsia" w:ascii="仿宋" w:hAnsi="仿宋" w:eastAsia="仿宋" w:cs="仿宋"/>
          <w:sz w:val="32"/>
        </w:rPr>
        <w:t>个，金额为</w:t>
      </w:r>
      <w:r>
        <w:rPr>
          <w:rFonts w:hint="eastAsia" w:ascii="仿宋" w:hAnsi="仿宋" w:eastAsia="仿宋" w:cs="仿宋"/>
          <w:sz w:val="32"/>
          <w:lang w:val="en-US" w:eastAsia="zh-CN"/>
        </w:rPr>
        <w:t>30</w:t>
      </w:r>
      <w:r>
        <w:rPr>
          <w:rFonts w:hint="eastAsia" w:ascii="仿宋" w:hAnsi="仿宋" w:eastAsia="仿宋" w:cs="仿宋"/>
          <w:sz w:val="32"/>
        </w:rPr>
        <w:t>万元。</w:t>
      </w:r>
    </w:p>
    <w:p>
      <w:pPr>
        <w:numPr>
          <w:ilvl w:val="0"/>
          <w:numId w:val="6"/>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年期末，我单位共有车辆3辆，其中：一般公务用车0辆、一般执法执勤用车0辆、其他用车3辆；单价50万元以上通用设备8套，单位价值100万元以上专用设备0套。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我单位负责管理的专项转移支付项目共有0项。主要是:0专项资金。我单位将按照《预算法》等有关规定，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both"/>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7"/>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7"/>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7"/>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r>
        <w:rPr>
          <w:rFonts w:hint="eastAsia" w:ascii="仿宋" w:hAnsi="仿宋" w:eastAsia="仿宋" w:cs="仿宋"/>
          <w:sz w:val="32"/>
          <w:lang w:eastAsia="zh-CN"/>
        </w:rPr>
        <w:t>。</w:t>
      </w:r>
    </w:p>
    <w:p>
      <w:pPr>
        <w:numPr>
          <w:ilvl w:val="0"/>
          <w:numId w:val="7"/>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00" w:firstLineChars="200"/>
        <w:jc w:val="left"/>
        <w:rPr>
          <w:rFonts w:ascii="黑体" w:hAnsi="黑体" w:eastAsia="黑体" w:cs="黑体"/>
          <w:sz w:val="30"/>
          <w:szCs w:val="30"/>
        </w:rPr>
      </w:pPr>
      <w:r>
        <w:rPr>
          <w:rFonts w:hint="eastAsia" w:ascii="黑体" w:hAnsi="黑体" w:eastAsia="黑体" w:cs="黑体"/>
          <w:sz w:val="30"/>
          <w:szCs w:val="30"/>
        </w:rPr>
        <w:t>附件：淮滨县</w:t>
      </w:r>
      <w:r>
        <w:rPr>
          <w:rFonts w:hint="eastAsia" w:ascii="黑体" w:hAnsi="黑体" w:eastAsia="黑体" w:cs="黑体"/>
          <w:spacing w:val="-7"/>
          <w:sz w:val="30"/>
          <w:szCs w:val="30"/>
        </w:rPr>
        <w:t>质量技术监督检验测试中心</w:t>
      </w:r>
      <w:r>
        <w:rPr>
          <w:rFonts w:hint="eastAsia" w:ascii="黑体" w:hAnsi="黑体" w:eastAsia="黑体" w:cs="黑体"/>
          <w:sz w:val="30"/>
          <w:szCs w:val="30"/>
          <w:lang w:eastAsia="zh-CN"/>
        </w:rPr>
        <w:t>2023</w:t>
      </w:r>
      <w:r>
        <w:rPr>
          <w:rFonts w:hint="eastAsia" w:ascii="黑体" w:hAnsi="黑体" w:eastAsia="黑体" w:cs="黑体"/>
          <w:sz w:val="30"/>
          <w:szCs w:val="30"/>
        </w:rPr>
        <w:t>年部门预算表</w:t>
      </w:r>
    </w:p>
    <w:p/>
    <w:p>
      <w:pPr>
        <w:rPr>
          <w:rFonts w:hint="eastAsia" w:eastAsiaTheme="minorEastAsia"/>
          <w:lang w:eastAsia="zh-CN"/>
        </w:rPr>
      </w:pPr>
    </w:p>
    <w:p/>
    <w:p/>
    <w:p/>
    <w:p>
      <w:pPr>
        <w:rPr>
          <w:rFonts w:hint="eastAsia" w:eastAsiaTheme="minorEastAsia"/>
          <w:lang w:eastAsia="zh-CN"/>
        </w:rPr>
      </w:pPr>
      <w:r>
        <w:rPr>
          <w:rFonts w:hint="eastAsia" w:eastAsiaTheme="minorEastAsia"/>
          <w:lang w:eastAsia="zh-CN"/>
        </w:rPr>
        <w:object>
          <v:shape id="_x0000_i1025" o:spt="75" type="#_x0000_t75" style="height:66pt;width:72.75pt;" o:ole="t" filled="f" o:preferrelative="t" stroked="f" coordsize="21600,21600">
            <v:path/>
            <v:fill on="f" focussize="0,0"/>
            <v:stroke on="f"/>
            <v:imagedata r:id="rId12" o:title=""/>
            <o:lock v:ext="edit" aspectratio="t"/>
            <w10:wrap type="none"/>
            <w10:anchorlock/>
          </v:shape>
          <o:OLEObject Type="Embed" ProgID="Excel.Sheet.8" ShapeID="_x0000_i1025" DrawAspect="Icon" ObjectID="_1468075725" r:id="rId11">
            <o:LockedField>false</o:LockedField>
          </o:OLEObject>
        </w:obje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1D09A37"/>
    <w:multiLevelType w:val="singleLevel"/>
    <w:tmpl w:val="61D09A37"/>
    <w:lvl w:ilvl="0" w:tentative="0">
      <w:start w:val="1"/>
      <w:numFmt w:val="chineseCounting"/>
      <w:suff w:val="nothing"/>
      <w:lvlText w:val="（%1）"/>
      <w:lvlJc w:val="left"/>
      <w:rPr>
        <w:rFonts w:hint="eastAsia"/>
      </w:rPr>
    </w:lvl>
  </w:abstractNum>
  <w:abstractNum w:abstractNumId="5">
    <w:nsid w:val="6EC1A300"/>
    <w:multiLevelType w:val="singleLevel"/>
    <w:tmpl w:val="6EC1A300"/>
    <w:lvl w:ilvl="0" w:tentative="0">
      <w:start w:val="1"/>
      <w:numFmt w:val="chineseCounting"/>
      <w:suff w:val="nothing"/>
      <w:lvlText w:val="%1、"/>
      <w:lvlJc w:val="left"/>
      <w:rPr>
        <w:rFonts w:hint="eastAsia"/>
      </w:rPr>
    </w:lvl>
  </w:abstractNum>
  <w:abstractNum w:abstractNumId="6">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5"/>
  </w:num>
  <w:num w:numId="4">
    <w:abstractNumId w:val="4"/>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EwMzNjYjE2Y2Y1ZjI5NTc0YjQ5MGE1MTUyNzVmY2UifQ=="/>
    <w:docVar w:name="KSO_WPS_MARK_KEY" w:val="85b3e90e-3a5b-4192-9394-080ac41d9360"/>
  </w:docVars>
  <w:rsids>
    <w:rsidRoot w:val="3E5A6C85"/>
    <w:rsid w:val="00036E97"/>
    <w:rsid w:val="00077C0D"/>
    <w:rsid w:val="000A6609"/>
    <w:rsid w:val="000B6D9A"/>
    <w:rsid w:val="000D60B2"/>
    <w:rsid w:val="00143DF7"/>
    <w:rsid w:val="001742A7"/>
    <w:rsid w:val="00174CFC"/>
    <w:rsid w:val="001B17CE"/>
    <w:rsid w:val="001C1C18"/>
    <w:rsid w:val="001F4C06"/>
    <w:rsid w:val="003B0EB5"/>
    <w:rsid w:val="00437BC9"/>
    <w:rsid w:val="00490CAA"/>
    <w:rsid w:val="004B23A5"/>
    <w:rsid w:val="004B7307"/>
    <w:rsid w:val="004C7D32"/>
    <w:rsid w:val="005128CE"/>
    <w:rsid w:val="005A553F"/>
    <w:rsid w:val="005A78FC"/>
    <w:rsid w:val="005C5D65"/>
    <w:rsid w:val="00636383"/>
    <w:rsid w:val="00647F85"/>
    <w:rsid w:val="006D14AB"/>
    <w:rsid w:val="0072324A"/>
    <w:rsid w:val="007364A5"/>
    <w:rsid w:val="007B6521"/>
    <w:rsid w:val="008F67D4"/>
    <w:rsid w:val="0091161C"/>
    <w:rsid w:val="009238E3"/>
    <w:rsid w:val="00937FE5"/>
    <w:rsid w:val="009412CA"/>
    <w:rsid w:val="00997E16"/>
    <w:rsid w:val="009B5A16"/>
    <w:rsid w:val="009E4029"/>
    <w:rsid w:val="00AA7872"/>
    <w:rsid w:val="00AD7827"/>
    <w:rsid w:val="00B26A12"/>
    <w:rsid w:val="00B44F53"/>
    <w:rsid w:val="00B5482C"/>
    <w:rsid w:val="00B85D99"/>
    <w:rsid w:val="00BD1004"/>
    <w:rsid w:val="00BF03F5"/>
    <w:rsid w:val="00C1326D"/>
    <w:rsid w:val="00C40E6C"/>
    <w:rsid w:val="00C9610D"/>
    <w:rsid w:val="00CB1918"/>
    <w:rsid w:val="00CE20C7"/>
    <w:rsid w:val="00CF0B03"/>
    <w:rsid w:val="00D03BB9"/>
    <w:rsid w:val="00D1451C"/>
    <w:rsid w:val="00D67A39"/>
    <w:rsid w:val="00D84F17"/>
    <w:rsid w:val="00EA37A7"/>
    <w:rsid w:val="00F34296"/>
    <w:rsid w:val="00FB5B8C"/>
    <w:rsid w:val="01FD3A03"/>
    <w:rsid w:val="037B79F7"/>
    <w:rsid w:val="041D2A27"/>
    <w:rsid w:val="05377B18"/>
    <w:rsid w:val="06440A7A"/>
    <w:rsid w:val="071D4AEC"/>
    <w:rsid w:val="084542FA"/>
    <w:rsid w:val="0A6251B2"/>
    <w:rsid w:val="0D0F4ED6"/>
    <w:rsid w:val="0D513137"/>
    <w:rsid w:val="10602789"/>
    <w:rsid w:val="123258EF"/>
    <w:rsid w:val="12EF1A32"/>
    <w:rsid w:val="144A1E7D"/>
    <w:rsid w:val="15F07B94"/>
    <w:rsid w:val="173B6758"/>
    <w:rsid w:val="191C5F4B"/>
    <w:rsid w:val="1A764913"/>
    <w:rsid w:val="1B351FAC"/>
    <w:rsid w:val="1CA53161"/>
    <w:rsid w:val="1D0460DA"/>
    <w:rsid w:val="1D2E3157"/>
    <w:rsid w:val="1F046865"/>
    <w:rsid w:val="1FE67D19"/>
    <w:rsid w:val="21D0120B"/>
    <w:rsid w:val="228003BD"/>
    <w:rsid w:val="228C104B"/>
    <w:rsid w:val="246B28E3"/>
    <w:rsid w:val="24DA1A42"/>
    <w:rsid w:val="274F7F6E"/>
    <w:rsid w:val="279A1B15"/>
    <w:rsid w:val="27A42993"/>
    <w:rsid w:val="28196722"/>
    <w:rsid w:val="28447CD2"/>
    <w:rsid w:val="2AA67AA4"/>
    <w:rsid w:val="2AA8279A"/>
    <w:rsid w:val="2ACE5F14"/>
    <w:rsid w:val="2C081B10"/>
    <w:rsid w:val="2D4A0B6E"/>
    <w:rsid w:val="2D4D1759"/>
    <w:rsid w:val="2F072B71"/>
    <w:rsid w:val="2F8530AA"/>
    <w:rsid w:val="315E452A"/>
    <w:rsid w:val="32476D3D"/>
    <w:rsid w:val="33ED121E"/>
    <w:rsid w:val="3402116D"/>
    <w:rsid w:val="34030A42"/>
    <w:rsid w:val="34E010E6"/>
    <w:rsid w:val="358856A2"/>
    <w:rsid w:val="3699743B"/>
    <w:rsid w:val="38237904"/>
    <w:rsid w:val="3872263A"/>
    <w:rsid w:val="39D84127"/>
    <w:rsid w:val="3A2B0CF2"/>
    <w:rsid w:val="3A865F28"/>
    <w:rsid w:val="3C1F6635"/>
    <w:rsid w:val="3E5A6C85"/>
    <w:rsid w:val="419D0727"/>
    <w:rsid w:val="41FF59D4"/>
    <w:rsid w:val="43572B58"/>
    <w:rsid w:val="45554E75"/>
    <w:rsid w:val="456A4DC4"/>
    <w:rsid w:val="469D4D26"/>
    <w:rsid w:val="46D01A4F"/>
    <w:rsid w:val="483D40CA"/>
    <w:rsid w:val="4B86222C"/>
    <w:rsid w:val="4BBC3BEF"/>
    <w:rsid w:val="4CC72AFC"/>
    <w:rsid w:val="4E10402F"/>
    <w:rsid w:val="519E1D35"/>
    <w:rsid w:val="540A0A96"/>
    <w:rsid w:val="56CE6835"/>
    <w:rsid w:val="56E7105D"/>
    <w:rsid w:val="61F061FA"/>
    <w:rsid w:val="63514A76"/>
    <w:rsid w:val="647F6552"/>
    <w:rsid w:val="64BB489D"/>
    <w:rsid w:val="65921CF6"/>
    <w:rsid w:val="65DB5214"/>
    <w:rsid w:val="66A82BFF"/>
    <w:rsid w:val="67AE693B"/>
    <w:rsid w:val="67F105D6"/>
    <w:rsid w:val="69F65D89"/>
    <w:rsid w:val="6AAD2EDA"/>
    <w:rsid w:val="6C715A72"/>
    <w:rsid w:val="6EEF1D13"/>
    <w:rsid w:val="6F057006"/>
    <w:rsid w:val="71BD526D"/>
    <w:rsid w:val="72391667"/>
    <w:rsid w:val="746F63D8"/>
    <w:rsid w:val="747B790C"/>
    <w:rsid w:val="75A37A3E"/>
    <w:rsid w:val="75E31EA6"/>
    <w:rsid w:val="768A2321"/>
    <w:rsid w:val="76D0242A"/>
    <w:rsid w:val="791401EC"/>
    <w:rsid w:val="792702FB"/>
    <w:rsid w:val="7B6C0247"/>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5"/>
    <w:qFormat/>
    <w:uiPriority w:val="0"/>
    <w:rPr>
      <w:sz w:val="18"/>
      <w:szCs w:val="18"/>
    </w:rPr>
  </w:style>
  <w:style w:type="paragraph" w:styleId="5">
    <w:name w:val="footer"/>
    <w:basedOn w:val="1"/>
    <w:link w:val="17"/>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4"/>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批注文字 字符"/>
    <w:basedOn w:val="11"/>
    <w:link w:val="2"/>
    <w:qFormat/>
    <w:uiPriority w:val="0"/>
    <w:rPr>
      <w:rFonts w:asciiTheme="minorHAnsi" w:hAnsiTheme="minorHAnsi" w:eastAsiaTheme="minorEastAsia" w:cstheme="minorBidi"/>
      <w:kern w:val="2"/>
      <w:sz w:val="21"/>
      <w:szCs w:val="24"/>
    </w:rPr>
  </w:style>
  <w:style w:type="character" w:customStyle="1" w:styleId="14">
    <w:name w:val="批注主题 字符"/>
    <w:basedOn w:val="13"/>
    <w:link w:val="8"/>
    <w:qFormat/>
    <w:uiPriority w:val="0"/>
    <w:rPr>
      <w:rFonts w:asciiTheme="minorHAnsi" w:hAnsiTheme="minorHAnsi" w:eastAsiaTheme="minorEastAsia" w:cstheme="minorBidi"/>
      <w:b/>
      <w:bCs/>
      <w:kern w:val="2"/>
      <w:sz w:val="21"/>
      <w:szCs w:val="24"/>
    </w:rPr>
  </w:style>
  <w:style w:type="character" w:customStyle="1" w:styleId="15">
    <w:name w:val="批注框文本 字符"/>
    <w:basedOn w:val="11"/>
    <w:link w:val="4"/>
    <w:qFormat/>
    <w:uiPriority w:val="0"/>
    <w:rPr>
      <w:rFonts w:asciiTheme="minorHAnsi" w:hAnsiTheme="minorHAnsi" w:eastAsiaTheme="minorEastAsia" w:cstheme="minorBidi"/>
      <w:kern w:val="2"/>
      <w:sz w:val="18"/>
      <w:szCs w:val="18"/>
    </w:rPr>
  </w:style>
  <w:style w:type="character" w:customStyle="1" w:styleId="16">
    <w:name w:val="页眉 字符"/>
    <w:basedOn w:val="11"/>
    <w:link w:val="6"/>
    <w:qFormat/>
    <w:uiPriority w:val="0"/>
    <w:rPr>
      <w:rFonts w:asciiTheme="minorHAnsi" w:hAnsiTheme="minorHAnsi" w:eastAsiaTheme="minorEastAsia" w:cstheme="minorBidi"/>
      <w:kern w:val="2"/>
      <w:sz w:val="18"/>
      <w:szCs w:val="18"/>
    </w:rPr>
  </w:style>
  <w:style w:type="character" w:customStyle="1" w:styleId="17">
    <w:name w:val="页脚 字符"/>
    <w:basedOn w:val="11"/>
    <w:link w:val="5"/>
    <w:qFormat/>
    <w:uiPriority w:val="0"/>
    <w:rPr>
      <w:rFonts w:asciiTheme="minorHAnsi" w:hAnsiTheme="minorHAnsi" w:eastAsiaTheme="minorEastAsia" w:cstheme="minorBidi"/>
      <w:kern w:val="2"/>
      <w:sz w:val="18"/>
      <w:szCs w:val="18"/>
    </w:rPr>
  </w:style>
  <w:style w:type="paragraph" w:styleId="1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5.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6.bin"/></Relationships>
</file>

<file path=word/charts/_rels/chart7.xml.rels><?xml version="1.0" encoding="UTF-8" standalone="yes"?>
<Relationships xmlns="http://schemas.openxmlformats.org/package/2006/relationships"><Relationship Id="rId1" Type="http://schemas.openxmlformats.org/officeDocument/2006/relationships/oleObject" Target="../embeddings/oleObject7.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9"/>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432.18</c:v>
                </c:pt>
                <c:pt idx="1">
                  <c:v>466.19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432.18</c:v>
                </c:pt>
                <c:pt idx="1">
                  <c:v>466.19</c:v>
                </c:pt>
              </c:numCache>
            </c:numRef>
          </c:val>
        </c:ser>
        <c:dLbls>
          <c:showLegendKey val="0"/>
          <c:showVal val="1"/>
          <c:showCatName val="0"/>
          <c:showSerName val="0"/>
          <c:showPercent val="0"/>
          <c:showBubbleSize val="0"/>
        </c:dLbls>
        <c:gapWidth val="182"/>
        <c:axId val="178301952"/>
        <c:axId val="158343936"/>
      </c:barChart>
      <c:catAx>
        <c:axId val="1783019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58343936"/>
        <c:crosses val="autoZero"/>
        <c:auto val="1"/>
        <c:lblAlgn val="ctr"/>
        <c:lblOffset val="100"/>
        <c:noMultiLvlLbl val="0"/>
      </c:catAx>
      <c:valAx>
        <c:axId val="158343936"/>
        <c:scaling>
          <c:orientation val="minMax"/>
          <c:min val="5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830195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466.19</c:v>
                </c:pt>
                <c:pt idx="1">
                  <c:v>0</c:v>
                </c:pt>
                <c:pt idx="2">
                  <c:v>0</c:v>
                </c:pt>
                <c:pt idx="3">
                  <c:v>0</c:v>
                </c:pt>
                <c:pt idx="4">
                  <c:v>0</c:v>
                </c:pt>
                <c:pt idx="5">
                  <c:v>0</c:v>
                </c:pt>
                <c:pt idx="6">
                  <c:v>0</c:v>
                </c:pt>
                <c:pt idx="7">
                  <c:v>0</c:v>
                </c:pt>
                <c:pt idx="8">
                  <c:v>0</c:v>
                </c:pt>
                <c:pt idx="9">
                  <c:v>0</c:v>
                </c:pt>
              </c:numCache>
            </c:numRef>
          </c:val>
        </c:ser>
        <c:dLbls>
          <c:showLegendKey val="0"/>
          <c:showVal val="0"/>
          <c:showCatName val="0"/>
          <c:showSerName val="0"/>
          <c:showPercent val="0"/>
          <c:showBubbleSize val="0"/>
        </c:dLbls>
        <c:gapWidth val="100"/>
        <c:axId val="178771072"/>
        <c:axId val="178772608"/>
      </c:barChart>
      <c:catAx>
        <c:axId val="178771072"/>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8772608"/>
        <c:crosses val="autoZero"/>
        <c:auto val="1"/>
        <c:lblAlgn val="ctr"/>
        <c:lblOffset val="100"/>
        <c:noMultiLvlLbl val="0"/>
      </c:catAx>
      <c:valAx>
        <c:axId val="178772608"/>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8771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436.19</c:v>
                </c:pt>
                <c:pt idx="1">
                  <c:v>30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9"/>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432.18</c:v>
                </c:pt>
                <c:pt idx="1">
                  <c:v>466.19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432.18</c:v>
                </c:pt>
                <c:pt idx="1">
                  <c:v>466.19</c:v>
                </c:pt>
              </c:numCache>
            </c:numRef>
          </c:val>
        </c:ser>
        <c:dLbls>
          <c:showLegendKey val="0"/>
          <c:showVal val="1"/>
          <c:showCatName val="0"/>
          <c:showSerName val="0"/>
          <c:showPercent val="0"/>
          <c:showBubbleSize val="0"/>
        </c:dLbls>
        <c:gapWidth val="182"/>
        <c:axId val="178841856"/>
        <c:axId val="178843648"/>
      </c:barChart>
      <c:catAx>
        <c:axId val="178841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8843648"/>
        <c:crosses val="autoZero"/>
        <c:auto val="1"/>
        <c:lblAlgn val="ctr"/>
        <c:lblOffset val="100"/>
        <c:noMultiLvlLbl val="0"/>
      </c:catAx>
      <c:valAx>
        <c:axId val="178843648"/>
        <c:scaling>
          <c:orientation val="minMax"/>
          <c:min val="5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884185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436.19</c:v>
                </c:pt>
                <c:pt idx="1">
                  <c:v>30</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人员经费</c:v>
                </c:pt>
                <c:pt idx="1">
                  <c:v>公用经费</c:v>
                </c:pt>
              </c:strCache>
            </c:strRef>
          </c:cat>
          <c:val>
            <c:numRef>
              <c:f>Sheet1!$B$2:$B$3</c:f>
              <c:numCache>
                <c:formatCode>General</c:formatCode>
                <c:ptCount val="2"/>
                <c:pt idx="0">
                  <c:v>415.93</c:v>
                </c:pt>
                <c:pt idx="1">
                  <c:v>20.26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8"/>
        </c:manualLayout>
      </c:layout>
      <c:overlay val="0"/>
      <c:spPr>
        <a:noFill/>
        <a:ln>
          <a:noFill/>
        </a:ln>
        <a:effectLst/>
      </c:spPr>
    </c:title>
    <c:autoTitleDeleted val="0"/>
    <c:plotArea>
      <c:layout>
        <c:manualLayout>
          <c:layoutTarget val="inner"/>
          <c:xMode val="edge"/>
          <c:yMode val="edge"/>
          <c:x val="0.0992776306284614"/>
          <c:y val="0.154179566563467"/>
          <c:w val="0.876041415843969"/>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3.9</c:v>
                </c:pt>
                <c:pt idx="1">
                  <c:v>3.9</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4</c:v>
                </c:pt>
                <c:pt idx="1">
                  <c:v>4</c:v>
                </c:pt>
              </c:numCache>
            </c:numRef>
          </c:val>
        </c:ser>
        <c:dLbls>
          <c:showLegendKey val="0"/>
          <c:showVal val="1"/>
          <c:showCatName val="0"/>
          <c:showSerName val="0"/>
          <c:showPercent val="0"/>
          <c:showBubbleSize val="0"/>
        </c:dLbls>
        <c:gapWidth val="219"/>
        <c:axId val="178999296"/>
        <c:axId val="179000832"/>
      </c:barChart>
      <c:catAx>
        <c:axId val="1789992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9000832"/>
        <c:crosses val="autoZero"/>
        <c:auto val="1"/>
        <c:lblAlgn val="ctr"/>
        <c:lblOffset val="100"/>
        <c:noMultiLvlLbl val="0"/>
      </c:catAx>
      <c:valAx>
        <c:axId val="179000832"/>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899929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3041</Words>
  <Characters>3265</Characters>
  <Lines>22</Lines>
  <Paragraphs>6</Paragraphs>
  <TotalTime>1</TotalTime>
  <ScaleCrop>false</ScaleCrop>
  <LinksUpToDate>false</LinksUpToDate>
  <CharactersWithSpaces>3294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2022-06-12T09:09:00Z</dcterms:created>
  <dc:creator>Administrator</dc:creator>
  <cp:lastModifiedBy>dodo9527</cp:lastModifiedBy>
  <dcterms:modified xsi:type="dcterms:W3CDTF">2023-03-07T14:27:13Z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