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黑体" w:hAnsi="黑体" w:eastAsia="黑体" w:cs="黑体"/>
          <w:b/>
          <w:bCs/>
          <w:sz w:val="44"/>
          <w:szCs w:val="44"/>
        </w:rPr>
      </w:pPr>
    </w:p>
    <w:p>
      <w:pPr>
        <w:spacing w:line="480" w:lineRule="auto"/>
        <w:jc w:val="center"/>
        <w:rPr>
          <w:rFonts w:ascii="宋体" w:hAnsi="宋体" w:eastAsia="宋体" w:cs="宋体"/>
          <w:b/>
          <w:bCs/>
          <w:sz w:val="44"/>
          <w:szCs w:val="44"/>
        </w:rPr>
      </w:pPr>
      <w:r>
        <w:rPr>
          <w:rFonts w:hint="eastAsia" w:ascii="黑体" w:hAnsi="黑体" w:eastAsia="黑体" w:cs="黑体"/>
          <w:b/>
          <w:bCs/>
          <w:sz w:val="44"/>
          <w:szCs w:val="44"/>
          <w:lang w:eastAsia="zh-CN"/>
        </w:rPr>
        <w:t>2023</w:t>
      </w:r>
      <w:r>
        <w:rPr>
          <w:rFonts w:hint="eastAsia" w:ascii="黑体" w:hAnsi="黑体" w:eastAsia="黑体" w:cs="黑体"/>
          <w:b/>
          <w:bCs/>
          <w:sz w:val="44"/>
          <w:szCs w:val="44"/>
        </w:rPr>
        <w:t>年</w:t>
      </w:r>
      <w:r>
        <w:rPr>
          <w:rFonts w:hint="eastAsia" w:ascii="黑体" w:hAnsi="黑体" w:eastAsia="黑体" w:cs="黑体"/>
          <w:b/>
          <w:bCs/>
          <w:sz w:val="44"/>
          <w:szCs w:val="44"/>
          <w:lang w:eastAsia="zh-CN"/>
        </w:rPr>
        <w:t>淮滨县发投中心</w:t>
      </w:r>
      <w:r>
        <w:rPr>
          <w:rFonts w:hint="eastAsia" w:ascii="黑体" w:hAnsi="黑体" w:eastAsia="黑体" w:cs="黑体"/>
          <w:b/>
          <w:bCs/>
          <w:sz w:val="44"/>
          <w:szCs w:val="44"/>
        </w:rPr>
        <w:t>部门预算说明</w:t>
      </w:r>
    </w:p>
    <w:p>
      <w:pPr>
        <w:pStyle w:val="3"/>
        <w:tabs>
          <w:tab w:val="left" w:pos="880"/>
        </w:tabs>
        <w:kinsoku w:val="0"/>
        <w:overflowPunct w:val="0"/>
        <w:spacing w:before="0" w:line="480" w:lineRule="auto"/>
        <w:ind w:left="0"/>
        <w:jc w:val="center"/>
        <w:rPr>
          <w:rFonts w:hint="default" w:ascii="黑体" w:hAnsi="黑体" w:eastAsia="黑体" w:cs="黑体"/>
          <w:b/>
          <w:w w:val="95"/>
          <w:sz w:val="30"/>
          <w:szCs w:val="30"/>
        </w:rPr>
      </w:pPr>
    </w:p>
    <w:p>
      <w:pPr>
        <w:pStyle w:val="3"/>
        <w:tabs>
          <w:tab w:val="left" w:pos="880"/>
        </w:tabs>
        <w:kinsoku w:val="0"/>
        <w:overflowPunct w:val="0"/>
        <w:spacing w:before="0" w:line="480" w:lineRule="auto"/>
        <w:ind w:left="0"/>
        <w:jc w:val="center"/>
        <w:rPr>
          <w:rFonts w:hint="default" w:ascii="黑体" w:hAnsi="黑体" w:eastAsia="黑体" w:cs="黑体"/>
          <w:b/>
          <w:sz w:val="44"/>
          <w:szCs w:val="44"/>
        </w:rPr>
      </w:pPr>
      <w:r>
        <w:rPr>
          <w:rFonts w:ascii="黑体" w:hAnsi="黑体" w:eastAsia="黑体" w:cs="黑体"/>
          <w:b/>
          <w:w w:val="95"/>
          <w:sz w:val="44"/>
          <w:szCs w:val="44"/>
        </w:rPr>
        <w:t>目</w:t>
      </w:r>
      <w:r>
        <w:rPr>
          <w:rFonts w:ascii="黑体" w:hAnsi="黑体" w:eastAsia="黑体" w:cs="黑体"/>
          <w:b/>
          <w:w w:val="95"/>
          <w:sz w:val="44"/>
          <w:szCs w:val="44"/>
        </w:rPr>
        <w:tab/>
      </w:r>
      <w:r>
        <w:rPr>
          <w:rFonts w:ascii="黑体" w:hAnsi="黑体" w:eastAsia="黑体" w:cs="黑体"/>
          <w:b/>
          <w:sz w:val="44"/>
          <w:szCs w:val="44"/>
        </w:rPr>
        <w:t>录</w:t>
      </w:r>
    </w:p>
    <w:p>
      <w:pPr>
        <w:kinsoku w:val="0"/>
        <w:overflowPunct w:val="0"/>
        <w:autoSpaceDE w:val="0"/>
        <w:autoSpaceDN w:val="0"/>
        <w:adjustRightInd w:val="0"/>
        <w:spacing w:before="351"/>
        <w:ind w:right="126"/>
        <w:rPr>
          <w:rFonts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pacing w:val="-7"/>
          <w:sz w:val="32"/>
          <w:szCs w:val="32"/>
        </w:rPr>
        <w:t xml:space="preserve"> </w:t>
      </w:r>
      <w:r>
        <w:rPr>
          <w:rFonts w:hint="eastAsia" w:ascii="黑体" w:hAnsi="黑体" w:eastAsia="黑体" w:cs="黑体"/>
          <w:spacing w:val="-7"/>
          <w:sz w:val="32"/>
          <w:szCs w:val="32"/>
          <w:lang w:eastAsia="zh-CN"/>
        </w:rPr>
        <w:t>淮滨县发投中心</w:t>
      </w:r>
      <w:r>
        <w:rPr>
          <w:rFonts w:hint="eastAsia" w:ascii="黑体" w:hAnsi="黑体" w:eastAsia="黑体" w:cs="黑体"/>
          <w:sz w:val="32"/>
          <w:szCs w:val="32"/>
        </w:rPr>
        <w:t>概况</w:t>
      </w:r>
    </w:p>
    <w:p>
      <w:pPr>
        <w:kinsoku w:val="0"/>
        <w:overflowPunct w:val="0"/>
        <w:autoSpaceDE w:val="0"/>
        <w:autoSpaceDN w:val="0"/>
        <w:adjustRightInd w:val="0"/>
        <w:spacing w:line="560" w:lineRule="exact"/>
        <w:ind w:firstLine="320" w:firstLineChars="100"/>
        <w:rPr>
          <w:rFonts w:hint="eastAsia" w:ascii="仿宋" w:hAnsi="仿宋" w:eastAsia="仿宋" w:cs="Times New Roman"/>
          <w:w w:val="99"/>
          <w:sz w:val="32"/>
          <w:szCs w:val="32"/>
        </w:rPr>
      </w:pPr>
      <w:r>
        <w:rPr>
          <w:rFonts w:hint="eastAsia" w:ascii="仿宋" w:hAnsi="仿宋" w:eastAsia="仿宋" w:cs="Times New Roman"/>
          <w:sz w:val="32"/>
          <w:szCs w:val="32"/>
        </w:rPr>
        <w:t>一、主要职责</w:t>
      </w:r>
      <w:r>
        <w:rPr>
          <w:rFonts w:hint="eastAsia" w:ascii="仿宋" w:hAnsi="仿宋" w:eastAsia="仿宋" w:cs="Times New Roman"/>
          <w:w w:val="99"/>
          <w:sz w:val="32"/>
          <w:szCs w:val="32"/>
        </w:rPr>
        <w:t xml:space="preserve"> </w:t>
      </w:r>
    </w:p>
    <w:p>
      <w:pPr>
        <w:kinsoku w:val="0"/>
        <w:overflowPunct w:val="0"/>
        <w:autoSpaceDE w:val="0"/>
        <w:autoSpaceDN w:val="0"/>
        <w:adjustRightInd w:val="0"/>
        <w:spacing w:line="560" w:lineRule="exact"/>
        <w:ind w:firstLine="316" w:firstLineChars="100"/>
        <w:rPr>
          <w:rFonts w:hint="eastAsia" w:ascii="仿宋" w:hAnsi="仿宋" w:eastAsia="仿宋" w:cs="Times New Roman"/>
          <w:w w:val="99"/>
          <w:sz w:val="32"/>
          <w:szCs w:val="32"/>
        </w:rPr>
      </w:pPr>
      <w:r>
        <w:rPr>
          <w:rFonts w:hint="eastAsia" w:ascii="仿宋" w:hAnsi="仿宋" w:eastAsia="仿宋" w:cs="Times New Roman"/>
          <w:w w:val="99"/>
          <w:sz w:val="32"/>
          <w:szCs w:val="32"/>
          <w:lang w:eastAsia="zh-CN"/>
        </w:rPr>
        <w:t>二、</w:t>
      </w:r>
      <w:r>
        <w:rPr>
          <w:rFonts w:hint="eastAsia" w:ascii="仿宋" w:hAnsi="仿宋" w:eastAsia="仿宋" w:cs="仿宋"/>
          <w:sz w:val="32"/>
          <w:szCs w:val="32"/>
        </w:rPr>
        <w:t>内设机构设置情况</w:t>
      </w:r>
    </w:p>
    <w:p>
      <w:pPr>
        <w:kinsoku w:val="0"/>
        <w:overflowPunct w:val="0"/>
        <w:autoSpaceDE w:val="0"/>
        <w:autoSpaceDN w:val="0"/>
        <w:adjustRightInd w:val="0"/>
        <w:spacing w:line="560" w:lineRule="exact"/>
        <w:ind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三</w:t>
      </w:r>
      <w:r>
        <w:rPr>
          <w:rFonts w:hint="eastAsia" w:ascii="仿宋" w:hAnsi="仿宋" w:eastAsia="仿宋" w:cs="Times New Roman"/>
          <w:sz w:val="32"/>
          <w:szCs w:val="32"/>
        </w:rPr>
        <w:t>、部门所属预算单位构成情况</w:t>
      </w:r>
    </w:p>
    <w:p>
      <w:pPr>
        <w:kinsoku w:val="0"/>
        <w:overflowPunct w:val="0"/>
        <w:autoSpaceDE w:val="0"/>
        <w:autoSpaceDN w:val="0"/>
        <w:adjustRightInd w:val="0"/>
        <w:spacing w:before="12" w:line="357" w:lineRule="auto"/>
        <w:ind w:right="126"/>
        <w:rPr>
          <w:rFonts w:ascii="黑体" w:hAnsi="黑体" w:eastAsia="黑体" w:cs="Times New Roman"/>
          <w:w w:val="99"/>
          <w:sz w:val="32"/>
          <w:szCs w:val="32"/>
        </w:rPr>
      </w:pPr>
      <w:r>
        <w:rPr>
          <w:rFonts w:hint="eastAsia" w:ascii="黑体" w:hAnsi="黑体" w:eastAsia="黑体" w:cs="Times New Roman"/>
          <w:sz w:val="32"/>
          <w:szCs w:val="32"/>
        </w:rPr>
        <w:t>第二部分</w:t>
      </w:r>
      <w:r>
        <w:rPr>
          <w:rFonts w:hint="eastAsia" w:ascii="黑体" w:hAnsi="黑体" w:eastAsia="黑体" w:cs="Times New Roman"/>
          <w:spacing w:val="-5"/>
          <w:sz w:val="32"/>
          <w:szCs w:val="32"/>
        </w:rPr>
        <w:t xml:space="preserve"> </w:t>
      </w:r>
      <w:r>
        <w:rPr>
          <w:rFonts w:hint="eastAsia" w:ascii="黑体" w:hAnsi="黑体" w:eastAsia="黑体" w:cs="Times New Roman"/>
          <w:spacing w:val="-5"/>
          <w:sz w:val="32"/>
          <w:szCs w:val="32"/>
          <w:lang w:eastAsia="zh-CN"/>
        </w:rPr>
        <w:t>淮滨县发投中心</w:t>
      </w:r>
      <w:r>
        <w:rPr>
          <w:rFonts w:hint="eastAsia" w:ascii="黑体" w:hAnsi="黑体" w:eastAsia="黑体" w:cs="Times New Roman"/>
          <w:spacing w:val="-84"/>
          <w:sz w:val="32"/>
          <w:szCs w:val="32"/>
        </w:rPr>
        <w:t xml:space="preserve"> </w:t>
      </w:r>
      <w:r>
        <w:rPr>
          <w:rFonts w:hint="eastAsia" w:ascii="黑体" w:hAnsi="黑体" w:eastAsia="黑体" w:cs="Times New Roman"/>
          <w:sz w:val="32"/>
          <w:szCs w:val="32"/>
          <w:lang w:eastAsia="zh-CN"/>
        </w:rPr>
        <w:t>2023</w:t>
      </w:r>
      <w:r>
        <w:rPr>
          <w:rFonts w:hint="eastAsia" w:ascii="黑体" w:hAnsi="黑体" w:eastAsia="黑体" w:cs="Times New Roman"/>
          <w:spacing w:val="-83"/>
          <w:sz w:val="32"/>
          <w:szCs w:val="32"/>
        </w:rPr>
        <w:t xml:space="preserve"> </w:t>
      </w:r>
      <w:r>
        <w:rPr>
          <w:rFonts w:hint="eastAsia" w:ascii="黑体" w:hAnsi="黑体" w:eastAsia="黑体" w:cs="Times New Roman"/>
          <w:sz w:val="32"/>
          <w:szCs w:val="32"/>
        </w:rPr>
        <w:t>年度部门预算情况说明</w:t>
      </w:r>
      <w:r>
        <w:rPr>
          <w:rFonts w:hint="eastAsia" w:ascii="黑体" w:hAnsi="黑体" w:eastAsia="黑体" w:cs="Times New Roman"/>
          <w:w w:val="99"/>
          <w:sz w:val="32"/>
          <w:szCs w:val="32"/>
        </w:rPr>
        <w:t xml:space="preserve"> </w:t>
      </w:r>
    </w:p>
    <w:p>
      <w:pPr>
        <w:kinsoku w:val="0"/>
        <w:overflowPunct w:val="0"/>
        <w:autoSpaceDE w:val="0"/>
        <w:autoSpaceDN w:val="0"/>
        <w:adjustRightInd w:val="0"/>
        <w:spacing w:before="12" w:line="357" w:lineRule="auto"/>
        <w:ind w:right="126"/>
        <w:rPr>
          <w:rFonts w:ascii="黑体" w:hAnsi="黑体" w:eastAsia="黑体" w:cs="Times New Roman"/>
          <w:sz w:val="32"/>
          <w:szCs w:val="32"/>
        </w:rPr>
      </w:pPr>
      <w:r>
        <w:rPr>
          <w:rFonts w:hint="eastAsia" w:ascii="黑体" w:hAnsi="黑体" w:eastAsia="黑体" w:cs="Times New Roman"/>
          <w:sz w:val="32"/>
          <w:szCs w:val="32"/>
        </w:rPr>
        <w:t>第三部分</w:t>
      </w:r>
      <w:r>
        <w:rPr>
          <w:rFonts w:hint="eastAsia" w:ascii="黑体" w:hAnsi="黑体" w:eastAsia="黑体" w:cs="Times New Roman"/>
          <w:spacing w:val="-3"/>
          <w:sz w:val="32"/>
          <w:szCs w:val="32"/>
        </w:rPr>
        <w:t xml:space="preserve"> </w:t>
      </w:r>
      <w:r>
        <w:rPr>
          <w:rFonts w:hint="eastAsia" w:ascii="黑体" w:hAnsi="黑体" w:eastAsia="黑体" w:cs="Times New Roman"/>
          <w:sz w:val="32"/>
          <w:szCs w:val="32"/>
        </w:rPr>
        <w:t>名词解释</w:t>
      </w:r>
    </w:p>
    <w:p>
      <w:pPr>
        <w:kinsoku w:val="0"/>
        <w:overflowPunct w:val="0"/>
        <w:autoSpaceDE w:val="0"/>
        <w:autoSpaceDN w:val="0"/>
        <w:adjustRightInd w:val="0"/>
        <w:spacing w:before="48" w:line="345" w:lineRule="auto"/>
        <w:ind w:right="766"/>
        <w:rPr>
          <w:rFonts w:ascii="黑体" w:hAnsi="黑体" w:eastAsia="黑体" w:cs="Times New Roman"/>
          <w:sz w:val="32"/>
          <w:szCs w:val="32"/>
        </w:rPr>
      </w:pPr>
      <w:r>
        <w:rPr>
          <w:rFonts w:hint="eastAsia" w:ascii="黑体" w:hAnsi="黑体" w:eastAsia="黑体" w:cs="Times New Roman"/>
          <w:sz w:val="32"/>
          <w:szCs w:val="32"/>
        </w:rPr>
        <w:t>附件：</w:t>
      </w:r>
      <w:r>
        <w:rPr>
          <w:rFonts w:hint="eastAsia" w:ascii="黑体" w:hAnsi="黑体" w:eastAsia="黑体" w:cs="Times New Roman"/>
          <w:sz w:val="32"/>
          <w:szCs w:val="32"/>
          <w:lang w:eastAsia="zh-CN"/>
        </w:rPr>
        <w:t>淮滨县发投中心2023</w:t>
      </w:r>
      <w:r>
        <w:rPr>
          <w:rFonts w:hint="eastAsia" w:ascii="黑体" w:hAnsi="黑体" w:eastAsia="黑体" w:cs="Times New Roman"/>
          <w:sz w:val="32"/>
          <w:szCs w:val="32"/>
        </w:rPr>
        <w:t>年度部门预算表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年部门收入预算表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年财政拨款收支预算表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年一般公共预算基本支出预算表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年支出经济分类汇总表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年一般公共预算“三公”经费预算表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年政府性基金支出预算表</w:t>
      </w:r>
    </w:p>
    <w:p>
      <w:pPr>
        <w:numPr>
          <w:ilvl w:val="0"/>
          <w:numId w:val="1"/>
        </w:numPr>
        <w:kinsoku w:val="0"/>
        <w:overflowPunct w:val="0"/>
        <w:autoSpaceDE w:val="0"/>
        <w:autoSpaceDN w:val="0"/>
        <w:adjustRightInd w:val="0"/>
        <w:spacing w:before="48" w:line="560" w:lineRule="exact"/>
        <w:ind w:right="765" w:firstLine="28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年国有资本经营支出预算表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年项目支出预算表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年政府采购预算表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年部门(单位)整体绩效目标表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年部门(单位)预算项目绩效目标表</w:t>
      </w: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pStyle w:val="3"/>
        <w:numPr>
          <w:ilvl w:val="0"/>
          <w:numId w:val="2"/>
        </w:numPr>
        <w:tabs>
          <w:tab w:val="left" w:pos="880"/>
        </w:tabs>
        <w:kinsoku w:val="0"/>
        <w:overflowPunct w:val="0"/>
        <w:spacing w:before="0"/>
        <w:jc w:val="center"/>
        <w:rPr>
          <w:rFonts w:hint="default" w:ascii="黑体" w:hAnsi="黑体" w:eastAsia="黑体" w:cs="黑体"/>
          <w:b/>
          <w:sz w:val="36"/>
          <w:szCs w:val="36"/>
        </w:rPr>
      </w:pPr>
    </w:p>
    <w:p>
      <w:pPr>
        <w:pStyle w:val="3"/>
        <w:tabs>
          <w:tab w:val="left" w:pos="880"/>
        </w:tabs>
        <w:kinsoku w:val="0"/>
        <w:overflowPunct w:val="0"/>
        <w:spacing w:before="0"/>
        <w:ind w:left="0"/>
        <w:jc w:val="center"/>
        <w:rPr>
          <w:rFonts w:hint="default" w:ascii="黑体" w:hAnsi="黑体" w:eastAsia="黑体" w:cs="黑体"/>
          <w:b/>
          <w:sz w:val="36"/>
          <w:szCs w:val="36"/>
        </w:rPr>
      </w:pPr>
      <w:r>
        <w:rPr>
          <w:rFonts w:hint="eastAsia" w:ascii="黑体" w:hAnsi="黑体" w:eastAsia="黑体" w:cs="黑体"/>
          <w:b/>
          <w:sz w:val="36"/>
          <w:szCs w:val="36"/>
          <w:lang w:eastAsia="zh-CN"/>
        </w:rPr>
        <w:t>淮滨县发投中心</w:t>
      </w:r>
      <w:r>
        <w:rPr>
          <w:rFonts w:ascii="黑体" w:hAnsi="黑体" w:eastAsia="黑体" w:cs="黑体"/>
          <w:b/>
          <w:sz w:val="36"/>
          <w:szCs w:val="36"/>
        </w:rPr>
        <w:t>概况</w:t>
      </w:r>
    </w:p>
    <w:p>
      <w:pPr>
        <w:pStyle w:val="3"/>
        <w:tabs>
          <w:tab w:val="left" w:pos="880"/>
        </w:tabs>
        <w:kinsoku w:val="0"/>
        <w:overflowPunct w:val="0"/>
        <w:spacing w:before="0"/>
        <w:ind w:left="0"/>
        <w:jc w:val="center"/>
        <w:rPr>
          <w:rFonts w:hint="default" w:ascii="黑体" w:hAnsi="黑体" w:eastAsia="黑体" w:cs="黑体"/>
          <w:b/>
          <w:sz w:val="36"/>
          <w:szCs w:val="36"/>
        </w:rPr>
      </w:pPr>
    </w:p>
    <w:p>
      <w:pPr>
        <w:pStyle w:val="3"/>
        <w:numPr>
          <w:ilvl w:val="0"/>
          <w:numId w:val="3"/>
        </w:numPr>
        <w:tabs>
          <w:tab w:val="left" w:pos="880"/>
        </w:tabs>
        <w:kinsoku w:val="0"/>
        <w:overflowPunct w:val="0"/>
        <w:spacing w:before="0"/>
        <w:ind w:left="-10" w:leftChars="0" w:firstLine="640" w:firstLineChars="0"/>
        <w:jc w:val="left"/>
        <w:rPr>
          <w:rFonts w:hint="default" w:ascii="黑体" w:hAnsi="黑体" w:eastAsia="黑体" w:cs="黑体"/>
          <w:bCs/>
          <w:szCs w:val="32"/>
        </w:rPr>
      </w:pPr>
      <w:r>
        <w:rPr>
          <w:rFonts w:hint="eastAsia" w:ascii="黑体" w:hAnsi="黑体" w:eastAsia="黑体" w:cs="黑体"/>
          <w:bCs/>
          <w:szCs w:val="32"/>
          <w:lang w:eastAsia="zh-CN"/>
        </w:rPr>
        <w:t>淮滨县发投中心</w:t>
      </w:r>
      <w:r>
        <w:rPr>
          <w:rFonts w:hint="eastAsia" w:ascii="黑体" w:hAnsi="黑体" w:eastAsia="黑体" w:cs="黑体"/>
          <w:b w:val="0"/>
          <w:bCs/>
          <w:sz w:val="32"/>
          <w:szCs w:val="32"/>
        </w:rPr>
        <w:t>部门</w:t>
      </w:r>
      <w:r>
        <w:rPr>
          <w:rFonts w:ascii="黑体" w:hAnsi="黑体" w:eastAsia="黑体" w:cs="黑体"/>
          <w:bCs/>
          <w:szCs w:val="32"/>
        </w:rPr>
        <w:t>主要职责</w:t>
      </w:r>
    </w:p>
    <w:p>
      <w:pPr>
        <w:pStyle w:val="3"/>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hint="eastAsia" w:ascii="仿宋_GB2312" w:hAnsi="仿宋_GB2312" w:eastAsia="仿宋_GB2312" w:cs="仿宋_GB2312"/>
          <w:bCs/>
          <w:szCs w:val="32"/>
          <w:lang w:eastAsia="zh-CN"/>
        </w:rPr>
        <w:t>淮滨县发投中心</w:t>
      </w:r>
      <w:r>
        <w:rPr>
          <w:rFonts w:ascii="仿宋_GB2312" w:hAnsi="仿宋_GB2312" w:eastAsia="仿宋_GB2312" w:cs="仿宋_GB2312"/>
          <w:bCs/>
          <w:szCs w:val="32"/>
        </w:rPr>
        <w:t>主要职责是：</w:t>
      </w:r>
    </w:p>
    <w:p>
      <w:pPr>
        <w:pStyle w:val="3"/>
        <w:numPr>
          <w:ilvl w:val="0"/>
          <w:numId w:val="4"/>
        </w:numPr>
        <w:tabs>
          <w:tab w:val="left" w:pos="880"/>
        </w:tabs>
        <w:kinsoku w:val="0"/>
        <w:overflowPunct w:val="0"/>
        <w:spacing w:before="0"/>
        <w:ind w:left="310" w:leftChars="0" w:firstLine="320" w:firstLineChars="0"/>
        <w:jc w:val="left"/>
        <w:rPr>
          <w:rFonts w:hint="default" w:ascii="仿宋_GB2312" w:hAnsi="仿宋_GB2312" w:eastAsia="仿宋_GB2312" w:cs="仿宋_GB2312"/>
          <w:bCs/>
          <w:szCs w:val="32"/>
        </w:rPr>
      </w:pPr>
      <w:r>
        <w:rPr>
          <w:rFonts w:ascii="仿宋_GB2312" w:hAnsi="仿宋_GB2312" w:eastAsia="仿宋_GB2312" w:cs="仿宋_GB2312"/>
          <w:bCs/>
          <w:szCs w:val="32"/>
        </w:rPr>
        <w:t>、</w:t>
      </w:r>
      <w:r>
        <w:rPr>
          <w:rFonts w:hint="eastAsia" w:cs="仿宋"/>
          <w:b w:val="0"/>
          <w:bCs/>
          <w:sz w:val="32"/>
          <w:szCs w:val="32"/>
          <w:lang w:eastAsia="zh-CN"/>
        </w:rPr>
        <w:t>淮滨县发展投资有限公司作为政府性投融资平台公司，按照政府统筹，市场运作的原则实施政策性融资管理。</w:t>
      </w:r>
    </w:p>
    <w:p>
      <w:pPr>
        <w:pStyle w:val="3"/>
        <w:numPr>
          <w:ilvl w:val="0"/>
          <w:numId w:val="4"/>
        </w:numPr>
        <w:tabs>
          <w:tab w:val="left" w:pos="880"/>
        </w:tabs>
        <w:kinsoku w:val="0"/>
        <w:overflowPunct w:val="0"/>
        <w:spacing w:before="0"/>
        <w:ind w:left="310" w:leftChars="0" w:firstLine="320" w:firstLineChars="0"/>
        <w:jc w:val="left"/>
        <w:rPr>
          <w:rFonts w:hint="default" w:ascii="仿宋_GB2312" w:hAnsi="仿宋_GB2312" w:eastAsia="仿宋_GB2312" w:cs="仿宋_GB2312"/>
          <w:bCs/>
          <w:szCs w:val="32"/>
        </w:rPr>
      </w:pPr>
      <w:r>
        <w:rPr>
          <w:rFonts w:ascii="仿宋_GB2312" w:hAnsi="仿宋_GB2312" w:eastAsia="仿宋_GB2312" w:cs="仿宋_GB2312"/>
          <w:bCs/>
          <w:szCs w:val="32"/>
        </w:rPr>
        <w:t>、</w:t>
      </w:r>
      <w:r>
        <w:rPr>
          <w:rFonts w:hint="eastAsia" w:cs="仿宋"/>
          <w:b w:val="0"/>
          <w:bCs/>
          <w:sz w:val="32"/>
          <w:szCs w:val="32"/>
          <w:lang w:eastAsia="zh-CN"/>
        </w:rPr>
        <w:t>根据县政府确定的建设发展总目标及明确的建设项目，制定政策性融资计划，依法依规对取得政府性投资项目进行投资管理。</w:t>
      </w:r>
    </w:p>
    <w:p>
      <w:pPr>
        <w:pStyle w:val="3"/>
        <w:numPr>
          <w:ilvl w:val="0"/>
          <w:numId w:val="4"/>
        </w:numPr>
        <w:tabs>
          <w:tab w:val="left" w:pos="880"/>
        </w:tabs>
        <w:kinsoku w:val="0"/>
        <w:overflowPunct w:val="0"/>
        <w:spacing w:before="0"/>
        <w:ind w:left="310" w:leftChars="0" w:firstLine="320" w:firstLineChars="0"/>
        <w:jc w:val="left"/>
        <w:rPr>
          <w:rFonts w:hint="default" w:ascii="仿宋_GB2312" w:hAnsi="仿宋_GB2312" w:eastAsia="仿宋_GB2312" w:cs="仿宋_GB2312"/>
          <w:bCs/>
          <w:szCs w:val="32"/>
        </w:rPr>
      </w:pPr>
      <w:r>
        <w:rPr>
          <w:rFonts w:ascii="仿宋_GB2312" w:hAnsi="仿宋_GB2312" w:eastAsia="仿宋_GB2312" w:cs="仿宋_GB2312"/>
          <w:bCs/>
          <w:szCs w:val="32"/>
        </w:rPr>
        <w:t>、</w:t>
      </w:r>
      <w:r>
        <w:rPr>
          <w:rFonts w:ascii="仿宋_GB2312" w:hAnsi="仿宋_GB2312" w:eastAsia="仿宋_GB2312" w:cs="宋体"/>
          <w:bCs/>
          <w:kern w:val="1"/>
          <w:sz w:val="32"/>
          <w:szCs w:val="32"/>
        </w:rPr>
        <w:t>以政府出资人身份进行参股控股、投资，信用合作、土地开发、国有资产经营及政府授权经营的其他业务</w:t>
      </w:r>
      <w:r>
        <w:rPr>
          <w:rFonts w:hint="eastAsia" w:ascii="仿宋_GB2312" w:hAnsi="仿宋_GB2312" w:eastAsia="仿宋_GB2312" w:cs="宋体"/>
          <w:bCs/>
          <w:kern w:val="1"/>
          <w:sz w:val="32"/>
          <w:szCs w:val="32"/>
          <w:lang w:eastAsia="zh-CN"/>
        </w:rPr>
        <w:t>。</w:t>
      </w:r>
    </w:p>
    <w:p>
      <w:pPr>
        <w:kinsoku w:val="0"/>
        <w:overflowPunct w:val="0"/>
        <w:adjustRightInd w:val="0"/>
        <w:snapToGrid w:val="0"/>
        <w:spacing w:line="360" w:lineRule="auto"/>
        <w:ind w:right="51" w:firstLine="643" w:firstLineChars="200"/>
        <w:jc w:val="left"/>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二</w:t>
      </w:r>
      <w:bookmarkStart w:id="0" w:name="_GoBack"/>
      <w:r>
        <w:rPr>
          <w:rFonts w:hint="eastAsia" w:ascii="黑体" w:hAnsi="黑体" w:eastAsia="黑体" w:cs="黑体"/>
          <w:b w:val="0"/>
          <w:bCs w:val="0"/>
          <w:color w:val="000000"/>
          <w:sz w:val="32"/>
          <w:szCs w:val="32"/>
        </w:rPr>
        <w:t>、</w:t>
      </w:r>
      <w:r>
        <w:rPr>
          <w:rFonts w:hint="eastAsia" w:ascii="黑体" w:hAnsi="黑体" w:eastAsia="黑体" w:cs="黑体"/>
          <w:b w:val="0"/>
          <w:bCs w:val="0"/>
          <w:sz w:val="32"/>
          <w:szCs w:val="32"/>
          <w:lang w:eastAsia="zh-CN"/>
        </w:rPr>
        <w:t>淮滨县发投中心</w:t>
      </w:r>
      <w:r>
        <w:rPr>
          <w:rFonts w:hint="eastAsia" w:ascii="黑体" w:hAnsi="黑体" w:eastAsia="黑体" w:cs="黑体"/>
          <w:b w:val="0"/>
          <w:bCs w:val="0"/>
          <w:color w:val="000000"/>
          <w:sz w:val="32"/>
          <w:szCs w:val="32"/>
        </w:rPr>
        <w:t>内设机构设置情况</w:t>
      </w:r>
      <w:bookmarkEnd w:id="0"/>
    </w:p>
    <w:p>
      <w:pPr>
        <w:pStyle w:val="3"/>
        <w:numPr>
          <w:ilvl w:val="0"/>
          <w:numId w:val="0"/>
        </w:numPr>
        <w:tabs>
          <w:tab w:val="left" w:pos="880"/>
        </w:tabs>
        <w:kinsoku w:val="0"/>
        <w:overflowPunct w:val="0"/>
        <w:spacing w:before="0"/>
        <w:ind w:firstLine="640" w:firstLineChars="200"/>
        <w:jc w:val="left"/>
        <w:rPr>
          <w:rFonts w:hint="default" w:ascii="仿宋_GB2312" w:hAnsi="仿宋_GB2312" w:eastAsia="仿宋_GB2312" w:cs="仿宋_GB2312"/>
          <w:bCs/>
          <w:szCs w:val="32"/>
          <w:lang w:val="en-US"/>
        </w:rPr>
      </w:pPr>
      <w:r>
        <w:rPr>
          <w:rFonts w:hint="eastAsia" w:ascii="仿宋_GB2312" w:hAnsi="仿宋_GB2312" w:eastAsia="仿宋_GB2312" w:cs="仿宋_GB2312"/>
          <w:bCs/>
          <w:sz w:val="32"/>
          <w:szCs w:val="32"/>
          <w:lang w:eastAsia="zh-CN"/>
        </w:rPr>
        <w:t>淮滨县发投中心现有</w:t>
      </w:r>
      <w:r>
        <w:rPr>
          <w:rFonts w:hint="eastAsia" w:ascii="仿宋_GB2312" w:hAnsi="仿宋_GB2312" w:eastAsia="仿宋_GB2312" w:cs="仿宋_GB2312"/>
          <w:bCs/>
          <w:sz w:val="32"/>
          <w:szCs w:val="32"/>
        </w:rPr>
        <w:t>办公室、</w:t>
      </w:r>
      <w:r>
        <w:rPr>
          <w:rFonts w:hint="eastAsia" w:ascii="仿宋_GB2312" w:hAnsi="仿宋_GB2312" w:eastAsia="仿宋_GB2312" w:cs="仿宋_GB2312"/>
          <w:bCs/>
          <w:sz w:val="32"/>
          <w:szCs w:val="32"/>
          <w:lang w:eastAsia="zh-CN"/>
        </w:rPr>
        <w:t>产权管理信用合作</w:t>
      </w:r>
      <w:r>
        <w:rPr>
          <w:rFonts w:hint="eastAsia" w:ascii="仿宋_GB2312" w:hAnsi="仿宋_GB2312" w:eastAsia="仿宋_GB2312" w:cs="仿宋_GB2312"/>
          <w:bCs/>
          <w:sz w:val="32"/>
          <w:szCs w:val="32"/>
        </w:rPr>
        <w:t>股、</w:t>
      </w:r>
      <w:r>
        <w:rPr>
          <w:rFonts w:hint="eastAsia" w:ascii="仿宋_GB2312" w:hAnsi="仿宋_GB2312" w:eastAsia="仿宋_GB2312" w:cs="仿宋_GB2312"/>
          <w:bCs/>
          <w:sz w:val="32"/>
          <w:szCs w:val="32"/>
          <w:lang w:eastAsia="zh-CN"/>
        </w:rPr>
        <w:t>农业综合开发股等</w:t>
      </w:r>
      <w:r>
        <w:rPr>
          <w:rFonts w:hint="eastAsia" w:ascii="仿宋_GB2312" w:hAnsi="仿宋_GB2312" w:eastAsia="仿宋_GB2312" w:cs="仿宋_GB2312"/>
          <w:bCs/>
          <w:sz w:val="32"/>
          <w:szCs w:val="32"/>
          <w:lang w:val="en-US" w:eastAsia="zh-CN"/>
        </w:rPr>
        <w:t>3个内设机构，无所属二级机构。</w:t>
      </w:r>
    </w:p>
    <w:p>
      <w:pPr>
        <w:pStyle w:val="3"/>
        <w:numPr>
          <w:ilvl w:val="0"/>
          <w:numId w:val="0"/>
        </w:numPr>
        <w:tabs>
          <w:tab w:val="left" w:pos="880"/>
        </w:tabs>
        <w:kinsoku w:val="0"/>
        <w:overflowPunct w:val="0"/>
        <w:spacing w:before="0"/>
        <w:ind w:left="630" w:leftChars="0"/>
        <w:jc w:val="left"/>
        <w:rPr>
          <w:rFonts w:hint="default" w:ascii="黑体" w:hAnsi="黑体" w:eastAsia="黑体" w:cs="黑体"/>
          <w:bCs/>
          <w:szCs w:val="32"/>
        </w:rPr>
      </w:pPr>
      <w:r>
        <w:rPr>
          <w:rFonts w:hint="eastAsia" w:ascii="黑体" w:hAnsi="黑体" w:eastAsia="黑体" w:cs="黑体"/>
          <w:bCs/>
          <w:szCs w:val="32"/>
          <w:lang w:eastAsia="zh-CN"/>
        </w:rPr>
        <w:t>三、淮滨县发投中心</w:t>
      </w:r>
      <w:r>
        <w:rPr>
          <w:rFonts w:hint="eastAsia" w:ascii="黑体" w:hAnsi="黑体" w:eastAsia="黑体" w:cs="黑体"/>
          <w:b w:val="0"/>
          <w:bCs/>
          <w:sz w:val="32"/>
          <w:szCs w:val="32"/>
          <w:lang w:val="en-US" w:eastAsia="zh-CN"/>
        </w:rPr>
        <w:t>部门</w:t>
      </w:r>
      <w:r>
        <w:rPr>
          <w:rFonts w:ascii="黑体" w:hAnsi="黑体" w:eastAsia="黑体" w:cs="黑体"/>
          <w:bCs/>
          <w:szCs w:val="32"/>
        </w:rPr>
        <w:t>预算单位构成情况</w:t>
      </w:r>
    </w:p>
    <w:p>
      <w:pPr>
        <w:ind w:firstLine="640" w:firstLineChars="20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淮滨县发投中心2023</w:t>
      </w:r>
      <w:r>
        <w:rPr>
          <w:rFonts w:hint="eastAsia" w:ascii="仿宋_GB2312" w:hAnsi="仿宋_GB2312" w:eastAsia="仿宋_GB2312" w:cs="仿宋_GB2312"/>
          <w:bCs/>
          <w:sz w:val="32"/>
          <w:szCs w:val="32"/>
        </w:rPr>
        <w:t>年部门预算包括局机关本级预算</w:t>
      </w:r>
      <w:r>
        <w:rPr>
          <w:rFonts w:hint="eastAsia" w:ascii="仿宋_GB2312" w:hAnsi="仿宋_GB2312" w:eastAsia="仿宋_GB2312" w:cs="仿宋_GB2312"/>
          <w:bCs/>
          <w:sz w:val="32"/>
          <w:szCs w:val="32"/>
          <w:lang w:val="en-US" w:eastAsia="zh-CN"/>
        </w:rPr>
        <w:t>,</w:t>
      </w:r>
      <w:r>
        <w:rPr>
          <w:rFonts w:hint="eastAsia" w:ascii="仿宋_GB2312" w:hAnsi="仿宋_GB2312" w:eastAsia="仿宋_GB2312" w:cs="仿宋_GB2312"/>
          <w:bCs/>
          <w:sz w:val="32"/>
          <w:szCs w:val="32"/>
        </w:rPr>
        <w:t>本单位无所属二级机构预算。</w:t>
      </w:r>
    </w:p>
    <w:p>
      <w:pPr>
        <w:ind w:firstLine="640" w:firstLineChars="20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局机关本级预算包括：办公室、</w:t>
      </w:r>
      <w:r>
        <w:rPr>
          <w:rFonts w:hint="eastAsia" w:ascii="仿宋_GB2312" w:hAnsi="仿宋_GB2312" w:eastAsia="仿宋_GB2312" w:cs="仿宋_GB2312"/>
          <w:bCs/>
          <w:sz w:val="32"/>
          <w:szCs w:val="32"/>
          <w:lang w:eastAsia="zh-CN"/>
        </w:rPr>
        <w:t>产权管理信用合作</w:t>
      </w:r>
      <w:r>
        <w:rPr>
          <w:rFonts w:hint="eastAsia" w:ascii="仿宋_GB2312" w:hAnsi="仿宋_GB2312" w:eastAsia="仿宋_GB2312" w:cs="仿宋_GB2312"/>
          <w:bCs/>
          <w:sz w:val="32"/>
          <w:szCs w:val="32"/>
        </w:rPr>
        <w:t>股、</w:t>
      </w:r>
      <w:r>
        <w:rPr>
          <w:rFonts w:hint="eastAsia" w:ascii="仿宋_GB2312" w:hAnsi="仿宋_GB2312" w:eastAsia="仿宋_GB2312" w:cs="仿宋_GB2312"/>
          <w:bCs/>
          <w:sz w:val="32"/>
          <w:szCs w:val="32"/>
          <w:lang w:eastAsia="zh-CN"/>
        </w:rPr>
        <w:t>农业综合开发股</w:t>
      </w:r>
      <w:r>
        <w:rPr>
          <w:rFonts w:hint="eastAsia" w:ascii="仿宋_GB2312" w:hAnsi="仿宋_GB2312" w:eastAsia="仿宋_GB2312" w:cs="仿宋_GB2312"/>
          <w:bCs/>
          <w:sz w:val="32"/>
          <w:szCs w:val="32"/>
        </w:rPr>
        <w:t>的预算。</w:t>
      </w:r>
    </w:p>
    <w:p>
      <w:pPr>
        <w:ind w:firstLine="640" w:firstLineChars="200"/>
        <w:jc w:val="left"/>
        <w:rPr>
          <w:rFonts w:ascii="仿宋_GB2312" w:hAnsi="仿宋_GB2312" w:eastAsia="仿宋_GB2312" w:cs="仿宋_GB2312"/>
          <w:bCs/>
          <w:sz w:val="32"/>
          <w:szCs w:val="32"/>
        </w:rPr>
      </w:pPr>
    </w:p>
    <w:p>
      <w:pPr>
        <w:jc w:val="left"/>
        <w:rPr>
          <w:rFonts w:ascii="仿宋_GB2312" w:hAnsi="仿宋_GB2312" w:eastAsia="仿宋_GB2312" w:cs="仿宋_GB2312"/>
          <w:bCs/>
          <w:sz w:val="32"/>
          <w:szCs w:val="32"/>
        </w:rPr>
      </w:pPr>
    </w:p>
    <w:p>
      <w:pPr>
        <w:jc w:val="center"/>
        <w:rPr>
          <w:rFonts w:ascii="黑体" w:hAnsi="黑体" w:eastAsia="黑体" w:cs="黑体"/>
          <w:b/>
          <w:bCs/>
          <w:sz w:val="36"/>
          <w:szCs w:val="36"/>
        </w:rPr>
      </w:pPr>
    </w:p>
    <w:p>
      <w:pPr>
        <w:jc w:val="center"/>
        <w:rPr>
          <w:rFonts w:ascii="黑体" w:hAnsi="黑体" w:eastAsia="黑体" w:cs="黑体"/>
          <w:b/>
          <w:bCs/>
          <w:sz w:val="36"/>
          <w:szCs w:val="36"/>
        </w:rPr>
      </w:pPr>
      <w:r>
        <w:rPr>
          <w:rFonts w:hint="eastAsia" w:ascii="黑体" w:hAnsi="黑体" w:eastAsia="黑体" w:cs="黑体"/>
          <w:b/>
          <w:bCs/>
          <w:sz w:val="36"/>
          <w:szCs w:val="36"/>
        </w:rPr>
        <w:t>第二部分</w:t>
      </w:r>
    </w:p>
    <w:p>
      <w:pPr>
        <w:jc w:val="center"/>
        <w:rPr>
          <w:rFonts w:ascii="黑体" w:hAnsi="黑体" w:eastAsia="黑体" w:cs="黑体"/>
          <w:b/>
          <w:bCs/>
          <w:sz w:val="36"/>
          <w:szCs w:val="36"/>
        </w:rPr>
      </w:pPr>
      <w:r>
        <w:rPr>
          <w:rFonts w:hint="eastAsia" w:ascii="黑体" w:hAnsi="黑体" w:eastAsia="黑体" w:cs="黑体"/>
          <w:b/>
          <w:bCs/>
          <w:sz w:val="36"/>
          <w:szCs w:val="36"/>
          <w:lang w:eastAsia="zh-CN"/>
        </w:rPr>
        <w:t>淮滨县发投中心2023</w:t>
      </w:r>
      <w:r>
        <w:rPr>
          <w:rFonts w:hint="eastAsia" w:ascii="黑体" w:hAnsi="黑体" w:eastAsia="黑体" w:cs="黑体"/>
          <w:b/>
          <w:bCs/>
          <w:sz w:val="36"/>
          <w:szCs w:val="36"/>
        </w:rPr>
        <w:t>年度部门预算情况说明</w:t>
      </w:r>
    </w:p>
    <w:p>
      <w:pPr>
        <w:jc w:val="center"/>
        <w:rPr>
          <w:rFonts w:ascii="黑体" w:hAnsi="黑体" w:eastAsia="黑体" w:cs="黑体"/>
          <w:b/>
          <w:bCs/>
          <w:sz w:val="36"/>
          <w:szCs w:val="36"/>
        </w:rPr>
      </w:pPr>
    </w:p>
    <w:p>
      <w:pPr>
        <w:numPr>
          <w:ilvl w:val="0"/>
          <w:numId w:val="5"/>
        </w:numPr>
        <w:ind w:firstLine="640"/>
        <w:jc w:val="left"/>
        <w:rPr>
          <w:rFonts w:ascii="黑体" w:hAnsi="黑体" w:eastAsia="黑体" w:cs="黑体"/>
          <w:sz w:val="32"/>
          <w:szCs w:val="32"/>
        </w:rPr>
      </w:pPr>
      <w:r>
        <w:rPr>
          <w:rFonts w:hint="eastAsia" w:ascii="黑体" w:hAnsi="黑体" w:eastAsia="黑体" w:cs="黑体"/>
          <w:sz w:val="32"/>
          <w:szCs w:val="32"/>
        </w:rPr>
        <w:t>收入支出预算总体情况说明</w:t>
      </w:r>
    </w:p>
    <w:p>
      <w:pPr>
        <w:ind w:firstLine="640" w:firstLineChars="200"/>
        <w:jc w:val="left"/>
        <w:rPr>
          <w:rFonts w:ascii="仿宋" w:hAnsi="仿宋" w:eastAsia="仿宋" w:cs="仿宋"/>
          <w:sz w:val="32"/>
          <w:szCs w:val="32"/>
        </w:rPr>
      </w:pPr>
      <w:r>
        <w:rPr>
          <w:rFonts w:hint="eastAsia" w:ascii="仿宋" w:hAnsi="仿宋" w:eastAsia="仿宋" w:cs="仿宋"/>
          <w:sz w:val="32"/>
          <w:szCs w:val="32"/>
          <w:lang w:eastAsia="zh-CN"/>
        </w:rPr>
        <w:t>淮滨县发投中心2023</w:t>
      </w:r>
      <w:r>
        <w:rPr>
          <w:rFonts w:hint="eastAsia" w:ascii="仿宋" w:hAnsi="仿宋" w:eastAsia="仿宋" w:cs="仿宋"/>
          <w:sz w:val="32"/>
          <w:szCs w:val="32"/>
        </w:rPr>
        <w:t>年收入总计</w:t>
      </w:r>
      <w:r>
        <w:rPr>
          <w:rFonts w:hint="eastAsia" w:ascii="仿宋" w:hAnsi="仿宋" w:eastAsia="仿宋" w:cs="仿宋"/>
          <w:sz w:val="32"/>
          <w:szCs w:val="32"/>
          <w:lang w:val="en-US" w:eastAsia="zh-CN"/>
        </w:rPr>
        <w:t>73.47</w:t>
      </w:r>
      <w:r>
        <w:rPr>
          <w:rFonts w:hint="eastAsia" w:ascii="仿宋" w:hAnsi="仿宋" w:eastAsia="仿宋" w:cs="仿宋"/>
          <w:sz w:val="32"/>
          <w:szCs w:val="32"/>
        </w:rPr>
        <w:t>万元，支出总计</w:t>
      </w:r>
      <w:r>
        <w:rPr>
          <w:rFonts w:hint="eastAsia" w:ascii="仿宋" w:hAnsi="仿宋" w:eastAsia="仿宋" w:cs="仿宋"/>
          <w:sz w:val="32"/>
          <w:szCs w:val="32"/>
          <w:lang w:val="en-US" w:eastAsia="zh-CN"/>
        </w:rPr>
        <w:t>73.47</w:t>
      </w:r>
      <w:r>
        <w:rPr>
          <w:rFonts w:hint="eastAsia" w:ascii="仿宋" w:hAnsi="仿宋" w:eastAsia="仿宋" w:cs="仿宋"/>
          <w:sz w:val="32"/>
          <w:szCs w:val="32"/>
        </w:rPr>
        <w:t>万元,与</w:t>
      </w:r>
      <w:r>
        <w:rPr>
          <w:rFonts w:hint="eastAsia" w:ascii="仿宋" w:hAnsi="仿宋" w:eastAsia="仿宋" w:cs="仿宋"/>
          <w:sz w:val="32"/>
          <w:szCs w:val="32"/>
          <w:lang w:eastAsia="zh-CN"/>
        </w:rPr>
        <w:t>2022</w:t>
      </w:r>
      <w:r>
        <w:rPr>
          <w:rFonts w:hint="eastAsia" w:ascii="仿宋" w:hAnsi="仿宋" w:eastAsia="仿宋" w:cs="仿宋"/>
          <w:sz w:val="32"/>
          <w:szCs w:val="32"/>
        </w:rPr>
        <w:t>年相比，收、支总计各</w:t>
      </w:r>
      <w:r>
        <w:rPr>
          <w:rFonts w:hint="eastAsia" w:ascii="仿宋" w:hAnsi="仿宋" w:eastAsia="仿宋" w:cs="仿宋"/>
          <w:sz w:val="32"/>
          <w:szCs w:val="32"/>
          <w:lang w:val="en-US" w:eastAsia="zh-CN"/>
        </w:rPr>
        <w:t>增加5.47</w:t>
      </w:r>
      <w:r>
        <w:rPr>
          <w:rFonts w:hint="eastAsia" w:ascii="仿宋" w:hAnsi="仿宋" w:eastAsia="仿宋" w:cs="仿宋"/>
          <w:sz w:val="32"/>
          <w:szCs w:val="32"/>
        </w:rPr>
        <w:t>万元，增长</w:t>
      </w:r>
      <w:r>
        <w:rPr>
          <w:rFonts w:hint="eastAsia" w:ascii="仿宋" w:hAnsi="仿宋" w:eastAsia="仿宋" w:cs="仿宋"/>
          <w:sz w:val="32"/>
          <w:szCs w:val="32"/>
          <w:lang w:val="en-US" w:eastAsia="zh-CN"/>
        </w:rPr>
        <w:t>8</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人员经费支出增加</w:t>
      </w:r>
      <w:r>
        <w:rPr>
          <w:rFonts w:hint="eastAsia" w:ascii="仿宋" w:hAnsi="仿宋" w:eastAsia="仿宋" w:cs="仿宋"/>
          <w:sz w:val="32"/>
          <w:szCs w:val="32"/>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340350" cy="3567430"/>
            <wp:effectExtent l="0" t="0" r="12700" b="1397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numPr>
          <w:ilvl w:val="0"/>
          <w:numId w:val="5"/>
        </w:numPr>
        <w:ind w:firstLine="640"/>
        <w:jc w:val="left"/>
        <w:rPr>
          <w:rFonts w:ascii="黑体" w:hAnsi="黑体" w:eastAsia="黑体"/>
          <w:sz w:val="32"/>
        </w:rPr>
      </w:pPr>
      <w:r>
        <w:rPr>
          <w:rFonts w:hint="eastAsia" w:ascii="黑体" w:hAnsi="黑体" w:eastAsia="黑体"/>
          <w:sz w:val="32"/>
        </w:rPr>
        <w:t>收入预算总体情况说明</w:t>
      </w:r>
    </w:p>
    <w:p>
      <w:pPr>
        <w:ind w:firstLine="640" w:firstLineChars="200"/>
        <w:jc w:val="left"/>
        <w:rPr>
          <w:rFonts w:ascii="仿宋" w:hAnsi="仿宋" w:eastAsia="仿宋" w:cs="仿宋"/>
          <w:sz w:val="32"/>
        </w:rPr>
      </w:pPr>
      <w:r>
        <w:rPr>
          <w:rFonts w:hint="eastAsia" w:ascii="仿宋" w:hAnsi="仿宋" w:eastAsia="仿宋" w:cs="仿宋"/>
          <w:sz w:val="32"/>
          <w:lang w:eastAsia="zh-CN"/>
        </w:rPr>
        <w:t>淮滨县发投中心2023</w:t>
      </w:r>
      <w:r>
        <w:rPr>
          <w:rFonts w:hint="eastAsia" w:ascii="仿宋" w:hAnsi="仿宋" w:eastAsia="仿宋" w:cs="仿宋"/>
          <w:sz w:val="32"/>
        </w:rPr>
        <w:t>年收入合计</w:t>
      </w:r>
      <w:r>
        <w:rPr>
          <w:rFonts w:hint="eastAsia" w:ascii="仿宋" w:hAnsi="仿宋" w:eastAsia="仿宋" w:cs="仿宋"/>
          <w:sz w:val="32"/>
          <w:lang w:val="en-US" w:eastAsia="zh-CN"/>
        </w:rPr>
        <w:t>73.47</w:t>
      </w:r>
      <w:r>
        <w:rPr>
          <w:rFonts w:hint="eastAsia" w:ascii="仿宋" w:hAnsi="仿宋" w:eastAsia="仿宋" w:cs="仿宋"/>
          <w:sz w:val="32"/>
        </w:rPr>
        <w:t>万元，其中：一般公共预算收入</w:t>
      </w:r>
      <w:r>
        <w:rPr>
          <w:rFonts w:hint="eastAsia" w:ascii="仿宋" w:hAnsi="仿宋" w:eastAsia="仿宋" w:cs="仿宋"/>
          <w:sz w:val="32"/>
          <w:lang w:val="en-US" w:eastAsia="zh-CN"/>
        </w:rPr>
        <w:t>73.47</w:t>
      </w:r>
      <w:r>
        <w:rPr>
          <w:rFonts w:hint="eastAsia" w:ascii="仿宋" w:hAnsi="仿宋" w:eastAsia="仿宋" w:cs="仿宋"/>
          <w:sz w:val="32"/>
        </w:rPr>
        <w:t>万元，上年结转结余</w:t>
      </w:r>
      <w:r>
        <w:rPr>
          <w:rFonts w:hint="eastAsia" w:ascii="仿宋" w:hAnsi="仿宋" w:eastAsia="仿宋" w:cs="仿宋"/>
          <w:sz w:val="32"/>
          <w:lang w:val="en-US" w:eastAsia="zh-CN"/>
        </w:rPr>
        <w:t>0</w:t>
      </w:r>
      <w:r>
        <w:rPr>
          <w:rFonts w:hint="eastAsia" w:ascii="仿宋" w:hAnsi="仿宋" w:eastAsia="仿宋" w:cs="仿宋"/>
          <w:sz w:val="32"/>
        </w:rPr>
        <w:t>万元。</w:t>
      </w:r>
    </w:p>
    <w:p>
      <w:pPr>
        <w:jc w:val="left"/>
        <w:rPr>
          <w:rFonts w:ascii="仿宋" w:hAnsi="仿宋" w:eastAsia="仿宋" w:cs="仿宋"/>
          <w:sz w:val="32"/>
        </w:rPr>
      </w:pPr>
      <w:r>
        <w:rPr>
          <w:rFonts w:hint="eastAsia" w:ascii="仿宋" w:hAnsi="仿宋" w:eastAsia="仿宋" w:cs="仿宋"/>
          <w:sz w:val="32"/>
        </w:rPr>
        <w:drawing>
          <wp:inline distT="0" distB="0" distL="0" distR="0">
            <wp:extent cx="5359400" cy="3141980"/>
            <wp:effectExtent l="0" t="0" r="12700" b="127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numPr>
          <w:ilvl w:val="0"/>
          <w:numId w:val="5"/>
        </w:numPr>
        <w:ind w:firstLine="640"/>
        <w:jc w:val="left"/>
        <w:rPr>
          <w:rFonts w:ascii="黑体" w:hAnsi="黑体" w:eastAsia="黑体"/>
          <w:sz w:val="32"/>
        </w:rPr>
      </w:pPr>
      <w:r>
        <w:rPr>
          <w:rFonts w:hint="eastAsia" w:ascii="黑体" w:hAnsi="黑体" w:eastAsia="黑体"/>
          <w:sz w:val="32"/>
        </w:rPr>
        <w:t>支出预算总体情况说明</w:t>
      </w:r>
    </w:p>
    <w:p>
      <w:pPr>
        <w:ind w:firstLine="640" w:firstLineChars="200"/>
        <w:jc w:val="left"/>
        <w:rPr>
          <w:rFonts w:ascii="仿宋" w:hAnsi="仿宋" w:eastAsia="仿宋" w:cs="仿宋"/>
          <w:sz w:val="32"/>
        </w:rPr>
      </w:pPr>
      <w:r>
        <w:rPr>
          <w:rFonts w:hint="eastAsia" w:ascii="仿宋" w:hAnsi="仿宋" w:eastAsia="仿宋" w:cs="仿宋"/>
          <w:sz w:val="32"/>
          <w:lang w:eastAsia="zh-CN"/>
        </w:rPr>
        <w:t>淮滨县发投中心2023</w:t>
      </w:r>
      <w:r>
        <w:rPr>
          <w:rFonts w:hint="eastAsia" w:ascii="仿宋" w:hAnsi="仿宋" w:eastAsia="仿宋" w:cs="仿宋"/>
          <w:sz w:val="32"/>
        </w:rPr>
        <w:t>年支出合计</w:t>
      </w:r>
      <w:r>
        <w:rPr>
          <w:rFonts w:hint="eastAsia" w:ascii="仿宋" w:hAnsi="仿宋" w:eastAsia="仿宋" w:cs="仿宋"/>
          <w:sz w:val="32"/>
          <w:lang w:val="en-US" w:eastAsia="zh-CN"/>
        </w:rPr>
        <w:t>73.47</w:t>
      </w:r>
      <w:r>
        <w:rPr>
          <w:rFonts w:hint="eastAsia" w:ascii="仿宋" w:hAnsi="仿宋" w:eastAsia="仿宋" w:cs="仿宋"/>
          <w:sz w:val="32"/>
        </w:rPr>
        <w:t>万元，其中：基本支出</w:t>
      </w:r>
      <w:r>
        <w:rPr>
          <w:rFonts w:hint="eastAsia" w:ascii="仿宋" w:hAnsi="仿宋" w:eastAsia="仿宋" w:cs="仿宋"/>
          <w:sz w:val="32"/>
          <w:lang w:val="en-US" w:eastAsia="zh-CN"/>
        </w:rPr>
        <w:t>61.45</w:t>
      </w:r>
      <w:r>
        <w:rPr>
          <w:rFonts w:hint="eastAsia" w:ascii="仿宋" w:hAnsi="仿宋" w:eastAsia="仿宋" w:cs="仿宋"/>
          <w:sz w:val="32"/>
        </w:rPr>
        <w:t>万元，占</w:t>
      </w:r>
      <w:r>
        <w:rPr>
          <w:rFonts w:hint="eastAsia" w:ascii="仿宋" w:hAnsi="仿宋" w:eastAsia="仿宋" w:cs="仿宋"/>
          <w:sz w:val="32"/>
          <w:lang w:val="en-US" w:eastAsia="zh-CN"/>
        </w:rPr>
        <w:t>84</w:t>
      </w:r>
      <w:r>
        <w:rPr>
          <w:rFonts w:hint="eastAsia" w:ascii="仿宋" w:hAnsi="仿宋" w:eastAsia="仿宋" w:cs="仿宋"/>
          <w:sz w:val="32"/>
        </w:rPr>
        <w:t>%；项目支出</w:t>
      </w:r>
      <w:r>
        <w:rPr>
          <w:rFonts w:hint="eastAsia" w:ascii="仿宋" w:hAnsi="仿宋" w:eastAsia="仿宋" w:cs="仿宋"/>
          <w:sz w:val="32"/>
          <w:lang w:val="en-US" w:eastAsia="zh-CN"/>
        </w:rPr>
        <w:t>12.02</w:t>
      </w:r>
      <w:r>
        <w:rPr>
          <w:rFonts w:hint="eastAsia" w:ascii="仿宋" w:hAnsi="仿宋" w:eastAsia="仿宋" w:cs="仿宋"/>
          <w:sz w:val="32"/>
        </w:rPr>
        <w:t>万元，占</w:t>
      </w:r>
      <w:r>
        <w:rPr>
          <w:rFonts w:hint="eastAsia" w:ascii="仿宋" w:hAnsi="仿宋" w:eastAsia="仿宋" w:cs="仿宋"/>
          <w:sz w:val="32"/>
          <w:lang w:val="en-US" w:eastAsia="zh-CN"/>
        </w:rPr>
        <w:t>16</w:t>
      </w:r>
      <w:r>
        <w:rPr>
          <w:rFonts w:hint="eastAsia" w:ascii="仿宋" w:hAnsi="仿宋" w:eastAsia="仿宋" w:cs="仿宋"/>
          <w:sz w:val="32"/>
        </w:rPr>
        <w:t>%。</w:t>
      </w:r>
    </w:p>
    <w:p>
      <w:pPr>
        <w:jc w:val="left"/>
        <w:rPr>
          <w:rFonts w:ascii="仿宋" w:hAnsi="仿宋" w:eastAsia="仿宋" w:cs="仿宋"/>
          <w:sz w:val="32"/>
        </w:rPr>
      </w:pPr>
      <w:r>
        <w:rPr>
          <w:rFonts w:hint="eastAsia" w:ascii="仿宋" w:hAnsi="仿宋" w:eastAsia="仿宋" w:cs="仿宋"/>
          <w:sz w:val="32"/>
        </w:rPr>
        <w:drawing>
          <wp:inline distT="0" distB="0" distL="0" distR="0">
            <wp:extent cx="5233035" cy="3181350"/>
            <wp:effectExtent l="5080" t="4445" r="1968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numPr>
          <w:ilvl w:val="0"/>
          <w:numId w:val="5"/>
        </w:numPr>
        <w:ind w:firstLine="640"/>
        <w:jc w:val="left"/>
        <w:rPr>
          <w:rFonts w:ascii="黑体" w:hAnsi="黑体" w:eastAsia="黑体" w:cs="黑体"/>
          <w:sz w:val="32"/>
        </w:rPr>
      </w:pPr>
      <w:r>
        <w:rPr>
          <w:rFonts w:hint="eastAsia" w:ascii="黑体" w:hAnsi="黑体" w:eastAsia="黑体" w:cs="黑体"/>
          <w:sz w:val="32"/>
        </w:rPr>
        <w:t>财政拨款收支预算总体情况说明</w:t>
      </w:r>
    </w:p>
    <w:p>
      <w:pPr>
        <w:ind w:firstLine="640" w:firstLineChars="200"/>
        <w:jc w:val="left"/>
        <w:rPr>
          <w:rFonts w:ascii="仿宋" w:hAnsi="仿宋" w:eastAsia="仿宋" w:cs="仿宋"/>
          <w:sz w:val="32"/>
          <w:szCs w:val="32"/>
        </w:rPr>
      </w:pPr>
      <w:r>
        <w:rPr>
          <w:rFonts w:hint="eastAsia" w:ascii="仿宋" w:hAnsi="仿宋" w:eastAsia="仿宋" w:cs="仿宋"/>
          <w:sz w:val="32"/>
          <w:lang w:eastAsia="zh-CN"/>
        </w:rPr>
        <w:t>淮滨县发投中心2023</w:t>
      </w:r>
      <w:r>
        <w:rPr>
          <w:rFonts w:hint="eastAsia" w:ascii="仿宋" w:hAnsi="仿宋" w:eastAsia="仿宋" w:cs="仿宋"/>
          <w:sz w:val="32"/>
        </w:rPr>
        <w:t>年一般公共预算收支预算</w:t>
      </w:r>
      <w:r>
        <w:rPr>
          <w:rFonts w:hint="eastAsia" w:ascii="仿宋" w:hAnsi="仿宋" w:eastAsia="仿宋" w:cs="仿宋"/>
          <w:sz w:val="32"/>
          <w:lang w:val="en-US" w:eastAsia="zh-CN"/>
        </w:rPr>
        <w:t>73.47</w:t>
      </w:r>
      <w:r>
        <w:rPr>
          <w:rFonts w:hint="eastAsia" w:ascii="仿宋" w:hAnsi="仿宋" w:eastAsia="仿宋" w:cs="仿宋"/>
          <w:sz w:val="32"/>
        </w:rPr>
        <w:t>万元，无政府性基金预算和国有资本经营预算。与</w:t>
      </w:r>
      <w:r>
        <w:rPr>
          <w:rFonts w:hint="eastAsia" w:ascii="仿宋" w:hAnsi="仿宋" w:eastAsia="仿宋" w:cs="仿宋"/>
          <w:sz w:val="32"/>
          <w:lang w:eastAsia="zh-CN"/>
        </w:rPr>
        <w:t>2022</w:t>
      </w:r>
      <w:r>
        <w:rPr>
          <w:rFonts w:hint="eastAsia" w:ascii="仿宋" w:hAnsi="仿宋" w:eastAsia="仿宋" w:cs="仿宋"/>
          <w:sz w:val="32"/>
        </w:rPr>
        <w:t>年相比，一般公共预算收支预算</w:t>
      </w:r>
      <w:r>
        <w:rPr>
          <w:rFonts w:hint="eastAsia" w:ascii="仿宋" w:hAnsi="仿宋" w:eastAsia="仿宋" w:cs="仿宋"/>
          <w:sz w:val="32"/>
          <w:szCs w:val="32"/>
          <w:lang w:val="en-US" w:eastAsia="zh-CN"/>
        </w:rPr>
        <w:t>增加5.47</w:t>
      </w:r>
      <w:r>
        <w:rPr>
          <w:rFonts w:hint="eastAsia" w:ascii="仿宋" w:hAnsi="仿宋" w:eastAsia="仿宋" w:cs="仿宋"/>
          <w:sz w:val="32"/>
          <w:szCs w:val="32"/>
        </w:rPr>
        <w:t>万元，增长</w:t>
      </w:r>
      <w:r>
        <w:rPr>
          <w:rFonts w:hint="eastAsia" w:ascii="仿宋" w:hAnsi="仿宋" w:eastAsia="仿宋" w:cs="仿宋"/>
          <w:sz w:val="32"/>
          <w:szCs w:val="32"/>
          <w:lang w:val="en-US" w:eastAsia="zh-CN"/>
        </w:rPr>
        <w:t>8</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人员经费支出增加</w:t>
      </w:r>
      <w:r>
        <w:rPr>
          <w:rFonts w:hint="eastAsia" w:ascii="仿宋" w:hAnsi="仿宋" w:eastAsia="仿宋" w:cs="仿宋"/>
          <w:sz w:val="32"/>
          <w:szCs w:val="32"/>
        </w:rPr>
        <w:t>。</w:t>
      </w:r>
    </w:p>
    <w:p>
      <w:pPr>
        <w:ind w:firstLine="640" w:firstLineChars="200"/>
        <w:jc w:val="left"/>
        <w:rPr>
          <w:rFonts w:ascii="仿宋" w:hAnsi="仿宋" w:eastAsia="仿宋" w:cs="仿宋"/>
          <w:sz w:val="32"/>
        </w:rPr>
      </w:pPr>
    </w:p>
    <w:p>
      <w:pPr>
        <w:jc w:val="left"/>
        <w:rPr>
          <w:rFonts w:ascii="仿宋" w:hAnsi="仿宋" w:eastAsia="仿宋" w:cs="仿宋"/>
          <w:sz w:val="32"/>
        </w:rPr>
      </w:pPr>
      <w:r>
        <w:rPr>
          <w:rFonts w:hint="eastAsia" w:ascii="仿宋" w:hAnsi="仿宋" w:eastAsia="仿宋" w:cs="仿宋"/>
          <w:sz w:val="32"/>
          <w:szCs w:val="32"/>
        </w:rPr>
        <w:drawing>
          <wp:inline distT="0" distB="0" distL="0" distR="0">
            <wp:extent cx="5274310" cy="3526790"/>
            <wp:effectExtent l="0" t="0" r="2540" b="1651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0"/>
          <w:numId w:val="5"/>
        </w:numPr>
        <w:ind w:firstLine="640"/>
        <w:jc w:val="left"/>
        <w:rPr>
          <w:rFonts w:ascii="黑体" w:hAnsi="黑体" w:eastAsia="黑体"/>
          <w:sz w:val="32"/>
        </w:rPr>
      </w:pPr>
      <w:r>
        <w:rPr>
          <w:rFonts w:hint="eastAsia" w:ascii="黑体" w:hAnsi="黑体" w:eastAsia="黑体"/>
          <w:sz w:val="32"/>
        </w:rPr>
        <w:t>一般公共预算支出预算情况说明</w:t>
      </w:r>
    </w:p>
    <w:p>
      <w:pPr>
        <w:ind w:firstLine="640" w:firstLineChars="200"/>
        <w:jc w:val="left"/>
        <w:rPr>
          <w:rFonts w:ascii="仿宋" w:hAnsi="仿宋" w:eastAsia="仿宋" w:cs="仿宋"/>
          <w:sz w:val="32"/>
        </w:rPr>
      </w:pPr>
      <w:r>
        <w:rPr>
          <w:rFonts w:hint="eastAsia" w:ascii="仿宋" w:hAnsi="仿宋" w:eastAsia="仿宋" w:cs="仿宋"/>
          <w:sz w:val="32"/>
          <w:lang w:eastAsia="zh-CN"/>
        </w:rPr>
        <w:t>淮滨县发投中心2023</w:t>
      </w:r>
      <w:r>
        <w:rPr>
          <w:rFonts w:hint="eastAsia" w:ascii="仿宋" w:hAnsi="仿宋" w:eastAsia="仿宋" w:cs="仿宋"/>
          <w:sz w:val="32"/>
        </w:rPr>
        <w:t>年一般公共预算支出年初预算为</w:t>
      </w:r>
      <w:r>
        <w:rPr>
          <w:rFonts w:hint="eastAsia" w:ascii="仿宋" w:hAnsi="仿宋" w:eastAsia="仿宋" w:cs="仿宋"/>
          <w:sz w:val="32"/>
          <w:lang w:val="en-US" w:eastAsia="zh-CN"/>
        </w:rPr>
        <w:t>73.47</w:t>
      </w:r>
      <w:r>
        <w:rPr>
          <w:rFonts w:hint="eastAsia" w:ascii="仿宋" w:hAnsi="仿宋" w:eastAsia="仿宋" w:cs="仿宋"/>
          <w:sz w:val="32"/>
        </w:rPr>
        <w:t>万元。其中：基本支出</w:t>
      </w:r>
      <w:r>
        <w:rPr>
          <w:rFonts w:hint="eastAsia" w:ascii="仿宋" w:hAnsi="仿宋" w:eastAsia="仿宋" w:cs="仿宋"/>
          <w:sz w:val="32"/>
          <w:lang w:val="en-US" w:eastAsia="zh-CN"/>
        </w:rPr>
        <w:t>61.45</w:t>
      </w:r>
      <w:r>
        <w:rPr>
          <w:rFonts w:hint="eastAsia" w:ascii="仿宋" w:hAnsi="仿宋" w:eastAsia="仿宋" w:cs="仿宋"/>
          <w:sz w:val="32"/>
        </w:rPr>
        <w:t>万元，占</w:t>
      </w:r>
      <w:r>
        <w:rPr>
          <w:rFonts w:hint="eastAsia" w:ascii="仿宋" w:hAnsi="仿宋" w:eastAsia="仿宋" w:cs="仿宋"/>
          <w:sz w:val="32"/>
          <w:lang w:val="en-US" w:eastAsia="zh-CN"/>
        </w:rPr>
        <w:t>84</w:t>
      </w:r>
      <w:r>
        <w:rPr>
          <w:rFonts w:hint="eastAsia" w:ascii="仿宋" w:hAnsi="仿宋" w:eastAsia="仿宋" w:cs="仿宋"/>
          <w:sz w:val="32"/>
        </w:rPr>
        <w:t>%；项目支出</w:t>
      </w:r>
      <w:r>
        <w:rPr>
          <w:rFonts w:hint="eastAsia" w:ascii="仿宋" w:hAnsi="仿宋" w:eastAsia="仿宋" w:cs="仿宋"/>
          <w:sz w:val="32"/>
          <w:lang w:val="en-US" w:eastAsia="zh-CN"/>
        </w:rPr>
        <w:t>12.02</w:t>
      </w:r>
      <w:r>
        <w:rPr>
          <w:rFonts w:hint="eastAsia" w:ascii="仿宋" w:hAnsi="仿宋" w:eastAsia="仿宋" w:cs="仿宋"/>
          <w:sz w:val="32"/>
        </w:rPr>
        <w:t>万元，占</w:t>
      </w:r>
      <w:r>
        <w:rPr>
          <w:rFonts w:hint="eastAsia" w:ascii="仿宋" w:hAnsi="仿宋" w:eastAsia="仿宋" w:cs="仿宋"/>
          <w:sz w:val="32"/>
          <w:lang w:val="en-US" w:eastAsia="zh-CN"/>
        </w:rPr>
        <w:t>16</w:t>
      </w:r>
      <w:r>
        <w:rPr>
          <w:rFonts w:hint="eastAsia" w:ascii="仿宋" w:hAnsi="仿宋" w:eastAsia="仿宋" w:cs="仿宋"/>
          <w:sz w:val="32"/>
        </w:rPr>
        <w:t>%。</w:t>
      </w:r>
    </w:p>
    <w:p>
      <w:pPr>
        <w:ind w:firstLine="640" w:firstLineChars="200"/>
        <w:jc w:val="left"/>
        <w:rPr>
          <w:rFonts w:ascii="仿宋" w:hAnsi="仿宋" w:eastAsia="仿宋" w:cs="仿宋"/>
          <w:sz w:val="32"/>
        </w:rPr>
      </w:pP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0" t="0" r="2540" b="952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numPr>
          <w:ilvl w:val="0"/>
          <w:numId w:val="5"/>
        </w:numPr>
        <w:ind w:firstLine="640"/>
        <w:jc w:val="left"/>
        <w:rPr>
          <w:rFonts w:ascii="黑体" w:hAnsi="黑体" w:eastAsia="黑体" w:cs="黑体"/>
          <w:color w:val="000000"/>
          <w:sz w:val="32"/>
          <w:szCs w:val="32"/>
        </w:rPr>
      </w:pPr>
      <w:r>
        <w:rPr>
          <w:rFonts w:hint="eastAsia" w:ascii="黑体" w:hAnsi="黑体" w:eastAsia="黑体" w:cs="黑体"/>
          <w:color w:val="000000"/>
          <w:sz w:val="32"/>
          <w:szCs w:val="32"/>
        </w:rPr>
        <w:t>一般公共预算基本支出预算情况说明</w:t>
      </w:r>
    </w:p>
    <w:p>
      <w:pPr>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lang w:eastAsia="zh-CN"/>
        </w:rPr>
        <w:t>淮滨县发投中心2023</w:t>
      </w:r>
      <w:r>
        <w:rPr>
          <w:rFonts w:hint="eastAsia" w:ascii="仿宋" w:hAnsi="仿宋" w:eastAsia="仿宋" w:cs="仿宋"/>
          <w:color w:val="000000"/>
          <w:sz w:val="32"/>
          <w:szCs w:val="32"/>
        </w:rPr>
        <w:t xml:space="preserve">年一般公共预算基本支出年初预算为 </w:t>
      </w:r>
      <w:r>
        <w:rPr>
          <w:rFonts w:hint="eastAsia" w:ascii="仿宋" w:hAnsi="仿宋" w:eastAsia="仿宋" w:cs="仿宋"/>
          <w:color w:val="000000"/>
          <w:sz w:val="32"/>
          <w:szCs w:val="32"/>
          <w:lang w:val="en-US" w:eastAsia="zh-CN"/>
        </w:rPr>
        <w:t>61.45</w:t>
      </w:r>
      <w:r>
        <w:rPr>
          <w:rFonts w:hint="eastAsia" w:ascii="仿宋" w:hAnsi="仿宋" w:eastAsia="仿宋" w:cs="仿宋"/>
          <w:color w:val="000000"/>
          <w:sz w:val="32"/>
          <w:szCs w:val="32"/>
        </w:rPr>
        <w:t>万元。其中：人员经费支出</w:t>
      </w:r>
      <w:r>
        <w:rPr>
          <w:rFonts w:hint="eastAsia" w:ascii="仿宋" w:hAnsi="仿宋" w:eastAsia="仿宋" w:cs="仿宋"/>
          <w:color w:val="000000"/>
          <w:sz w:val="32"/>
          <w:szCs w:val="32"/>
          <w:lang w:val="en-US" w:eastAsia="zh-CN"/>
        </w:rPr>
        <w:t>58.28</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95</w:t>
      </w:r>
      <w:r>
        <w:rPr>
          <w:rFonts w:hint="eastAsia" w:ascii="仿宋" w:hAnsi="仿宋" w:eastAsia="仿宋" w:cs="仿宋"/>
          <w:color w:val="000000"/>
          <w:sz w:val="32"/>
          <w:szCs w:val="32"/>
        </w:rPr>
        <w:t>%；公用经费支出</w:t>
      </w:r>
      <w:r>
        <w:rPr>
          <w:rFonts w:hint="eastAsia" w:ascii="仿宋" w:hAnsi="仿宋" w:eastAsia="仿宋" w:cs="仿宋"/>
          <w:color w:val="000000"/>
          <w:sz w:val="32"/>
          <w:szCs w:val="32"/>
          <w:lang w:val="en-US" w:eastAsia="zh-CN"/>
        </w:rPr>
        <w:t>3.17</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w:t>
      </w:r>
    </w:p>
    <w:p>
      <w:pPr>
        <w:jc w:val="left"/>
        <w:rPr>
          <w:rFonts w:ascii="仿宋" w:hAnsi="仿宋" w:eastAsia="仿宋" w:cs="仿宋"/>
          <w:color w:val="000000"/>
          <w:sz w:val="32"/>
          <w:szCs w:val="32"/>
        </w:rPr>
      </w:pPr>
      <w:r>
        <w:rPr>
          <w:rFonts w:hint="eastAsia" w:ascii="仿宋" w:hAnsi="仿宋" w:eastAsia="仿宋" w:cs="仿宋"/>
          <w:sz w:val="32"/>
          <w:szCs w:val="32"/>
        </w:rPr>
        <w:drawing>
          <wp:inline distT="0" distB="0" distL="0" distR="0">
            <wp:extent cx="5274310" cy="3076575"/>
            <wp:effectExtent l="5080" t="4445" r="16510" b="50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numPr>
          <w:ilvl w:val="0"/>
          <w:numId w:val="5"/>
        </w:numPr>
        <w:ind w:firstLine="640"/>
        <w:jc w:val="left"/>
        <w:rPr>
          <w:rFonts w:ascii="黑体" w:hAnsi="黑体" w:eastAsia="黑体" w:cs="黑体"/>
          <w:sz w:val="32"/>
          <w:szCs w:val="32"/>
        </w:rPr>
      </w:pPr>
      <w:r>
        <w:rPr>
          <w:rFonts w:hint="eastAsia" w:ascii="黑体" w:hAnsi="黑体" w:eastAsia="黑体" w:cs="黑体"/>
          <w:color w:val="000000"/>
          <w:sz w:val="32"/>
          <w:szCs w:val="32"/>
        </w:rPr>
        <w:t>一般公共预算</w:t>
      </w:r>
      <w:r>
        <w:rPr>
          <w:rFonts w:hint="eastAsia" w:ascii="黑体" w:hAnsi="黑体" w:eastAsia="黑体" w:cs="黑体"/>
          <w:sz w:val="32"/>
          <w:szCs w:val="32"/>
        </w:rPr>
        <w:t>“三公”经费支出预算情况说明</w:t>
      </w:r>
    </w:p>
    <w:p>
      <w:pPr>
        <w:pStyle w:val="5"/>
        <w:widowControl/>
        <w:spacing w:beforeAutospacing="0" w:afterAutospacing="0" w:line="600" w:lineRule="atLeast"/>
        <w:ind w:firstLine="630"/>
        <w:jc w:val="both"/>
        <w:rPr>
          <w:rFonts w:ascii="仿宋" w:hAnsi="仿宋" w:eastAsia="仿宋" w:cs="仿宋"/>
          <w:sz w:val="32"/>
          <w:szCs w:val="32"/>
        </w:rPr>
      </w:pPr>
      <w:r>
        <w:rPr>
          <w:rFonts w:hint="eastAsia" w:ascii="仿宋" w:hAnsi="仿宋" w:eastAsia="仿宋" w:cs="仿宋"/>
          <w:sz w:val="32"/>
          <w:szCs w:val="32"/>
          <w:lang w:eastAsia="zh-CN"/>
        </w:rPr>
        <w:t>淮滨县发投中心2023</w:t>
      </w:r>
      <w:r>
        <w:rPr>
          <w:rFonts w:hint="eastAsia" w:ascii="仿宋" w:hAnsi="仿宋" w:eastAsia="仿宋" w:cs="仿宋"/>
          <w:sz w:val="32"/>
          <w:szCs w:val="32"/>
        </w:rPr>
        <w:t>年“三公”经费支出预算为</w:t>
      </w:r>
      <w:r>
        <w:rPr>
          <w:rFonts w:hint="eastAsia" w:ascii="仿宋" w:hAnsi="仿宋" w:eastAsia="仿宋" w:cs="仿宋"/>
          <w:sz w:val="32"/>
          <w:szCs w:val="32"/>
          <w:lang w:val="en-US" w:eastAsia="zh-CN"/>
        </w:rPr>
        <w:t>1</w:t>
      </w:r>
      <w:r>
        <w:rPr>
          <w:rFonts w:hint="eastAsia" w:ascii="仿宋" w:hAnsi="仿宋" w:eastAsia="仿宋" w:cs="仿宋"/>
          <w:sz w:val="32"/>
          <w:szCs w:val="32"/>
        </w:rPr>
        <w:t>万元,比</w:t>
      </w:r>
      <w:r>
        <w:rPr>
          <w:rFonts w:hint="eastAsia" w:ascii="仿宋" w:hAnsi="仿宋" w:eastAsia="仿宋" w:cs="仿宋"/>
          <w:sz w:val="32"/>
          <w:szCs w:val="32"/>
          <w:lang w:eastAsia="zh-CN"/>
        </w:rPr>
        <w:t>2022</w:t>
      </w:r>
      <w:r>
        <w:rPr>
          <w:rFonts w:hint="eastAsia" w:ascii="仿宋" w:hAnsi="仿宋" w:eastAsia="仿宋" w:cs="仿宋"/>
          <w:sz w:val="32"/>
          <w:szCs w:val="32"/>
        </w:rPr>
        <w:t>年增加(减少)</w:t>
      </w:r>
      <w:r>
        <w:rPr>
          <w:rFonts w:hint="eastAsia" w:ascii="仿宋" w:hAnsi="仿宋" w:eastAsia="仿宋" w:cs="仿宋"/>
          <w:sz w:val="32"/>
          <w:szCs w:val="32"/>
          <w:lang w:val="en-US" w:eastAsia="zh-CN"/>
        </w:rPr>
        <w:t>0</w:t>
      </w:r>
      <w:r>
        <w:rPr>
          <w:rFonts w:hint="eastAsia" w:ascii="仿宋" w:hAnsi="仿宋" w:eastAsia="仿宋" w:cs="仿宋"/>
          <w:sz w:val="32"/>
          <w:szCs w:val="32"/>
        </w:rPr>
        <w:t>万元，增长（下降）</w:t>
      </w:r>
      <w:r>
        <w:rPr>
          <w:rFonts w:hint="eastAsia" w:ascii="仿宋" w:hAnsi="仿宋" w:eastAsia="仿宋" w:cs="仿宋"/>
          <w:sz w:val="32"/>
          <w:szCs w:val="32"/>
          <w:lang w:val="en-US" w:eastAsia="zh-CN"/>
        </w:rPr>
        <w:t>0</w:t>
      </w:r>
      <w:r>
        <w:rPr>
          <w:rFonts w:hint="eastAsia" w:ascii="仿宋" w:hAnsi="仿宋" w:eastAsia="仿宋" w:cs="仿宋"/>
          <w:sz w:val="32"/>
          <w:szCs w:val="32"/>
        </w:rPr>
        <w:t>%。</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具体支出情况如下：</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（一）因公出国（境）费用</w:t>
      </w:r>
      <w:r>
        <w:rPr>
          <w:rFonts w:hint="eastAsia" w:ascii="仿宋" w:hAnsi="仿宋" w:eastAsia="仿宋" w:cs="仿宋"/>
          <w:sz w:val="32"/>
          <w:szCs w:val="32"/>
        </w:rPr>
        <w:t>0万元，预算数与</w:t>
      </w:r>
      <w:r>
        <w:rPr>
          <w:rFonts w:hint="eastAsia" w:ascii="仿宋" w:hAnsi="仿宋" w:eastAsia="仿宋" w:cs="仿宋"/>
          <w:sz w:val="32"/>
          <w:szCs w:val="32"/>
          <w:lang w:eastAsia="zh-CN"/>
        </w:rPr>
        <w:t>2022</w:t>
      </w:r>
      <w:r>
        <w:rPr>
          <w:rFonts w:hint="eastAsia" w:ascii="仿宋" w:hAnsi="仿宋" w:eastAsia="仿宋" w:cs="仿宋"/>
          <w:sz w:val="32"/>
          <w:szCs w:val="32"/>
        </w:rPr>
        <w:t>年保持一致。</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（二）公务接待费</w:t>
      </w:r>
      <w:r>
        <w:rPr>
          <w:rFonts w:hint="eastAsia" w:ascii="仿宋" w:hAnsi="仿宋" w:eastAsia="仿宋" w:cs="仿宋"/>
          <w:sz w:val="32"/>
          <w:szCs w:val="32"/>
          <w:lang w:val="en-US" w:eastAsia="zh-CN"/>
        </w:rPr>
        <w:t>1</w:t>
      </w:r>
      <w:r>
        <w:rPr>
          <w:rFonts w:hint="eastAsia" w:ascii="仿宋" w:hAnsi="仿宋" w:eastAsia="仿宋" w:cs="仿宋"/>
          <w:sz w:val="32"/>
          <w:szCs w:val="32"/>
        </w:rPr>
        <w:t>万元。主要用于按规定开支的各类公务接待支出。预算数比</w:t>
      </w:r>
      <w:r>
        <w:rPr>
          <w:rFonts w:hint="eastAsia" w:ascii="仿宋" w:hAnsi="仿宋" w:eastAsia="仿宋" w:cs="仿宋"/>
          <w:sz w:val="32"/>
          <w:szCs w:val="32"/>
          <w:lang w:eastAsia="zh-CN"/>
        </w:rPr>
        <w:t>2022</w:t>
      </w:r>
      <w:r>
        <w:rPr>
          <w:rFonts w:hint="eastAsia" w:ascii="仿宋" w:hAnsi="仿宋" w:eastAsia="仿宋" w:cs="仿宋"/>
          <w:sz w:val="32"/>
          <w:szCs w:val="32"/>
        </w:rPr>
        <w:t>年增加(减少)</w:t>
      </w:r>
      <w:r>
        <w:rPr>
          <w:rFonts w:hint="eastAsia" w:ascii="仿宋" w:hAnsi="仿宋" w:eastAsia="仿宋" w:cs="仿宋"/>
          <w:sz w:val="32"/>
          <w:szCs w:val="32"/>
          <w:lang w:val="en-US" w:eastAsia="zh-CN"/>
        </w:rPr>
        <w:t>0</w:t>
      </w:r>
      <w:r>
        <w:rPr>
          <w:rFonts w:hint="eastAsia" w:ascii="仿宋" w:hAnsi="仿宋" w:eastAsia="仿宋" w:cs="仿宋"/>
          <w:sz w:val="32"/>
          <w:szCs w:val="32"/>
        </w:rPr>
        <w:t>万元，增长（下降）</w:t>
      </w:r>
      <w:r>
        <w:rPr>
          <w:rFonts w:hint="eastAsia" w:ascii="仿宋" w:hAnsi="仿宋" w:eastAsia="仿宋" w:cs="仿宋"/>
          <w:sz w:val="32"/>
          <w:szCs w:val="32"/>
          <w:lang w:val="en-US" w:eastAsia="zh-CN"/>
        </w:rPr>
        <w:t>0</w:t>
      </w:r>
      <w:r>
        <w:rPr>
          <w:rFonts w:hint="eastAsia" w:ascii="仿宋" w:hAnsi="仿宋" w:eastAsia="仿宋" w:cs="仿宋"/>
          <w:sz w:val="32"/>
          <w:szCs w:val="32"/>
        </w:rPr>
        <w:t>%。</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（三）公务用车购置及运行费</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万元，其中：公务用车运行维护费</w:t>
      </w:r>
      <w:r>
        <w:rPr>
          <w:rFonts w:hint="eastAsia" w:ascii="仿宋" w:hAnsi="仿宋" w:eastAsia="仿宋" w:cs="仿宋"/>
          <w:sz w:val="32"/>
          <w:szCs w:val="32"/>
          <w:lang w:val="en-US" w:eastAsia="zh-CN"/>
        </w:rPr>
        <w:t>0</w:t>
      </w:r>
      <w:r>
        <w:rPr>
          <w:rFonts w:hint="eastAsia" w:ascii="仿宋" w:hAnsi="仿宋" w:eastAsia="仿宋" w:cs="仿宋"/>
          <w:sz w:val="32"/>
          <w:szCs w:val="32"/>
        </w:rPr>
        <w:t>万元，公务用车购置</w:t>
      </w:r>
      <w:r>
        <w:rPr>
          <w:rFonts w:hint="eastAsia" w:ascii="仿宋" w:hAnsi="仿宋" w:eastAsia="仿宋" w:cs="仿宋"/>
          <w:sz w:val="32"/>
          <w:szCs w:val="32"/>
          <w:lang w:val="en-US" w:eastAsia="zh-CN"/>
        </w:rPr>
        <w:t>0</w:t>
      </w:r>
      <w:r>
        <w:rPr>
          <w:rFonts w:hint="eastAsia" w:ascii="仿宋" w:hAnsi="仿宋" w:eastAsia="仿宋" w:cs="仿宋"/>
          <w:sz w:val="32"/>
          <w:szCs w:val="32"/>
        </w:rPr>
        <w:t>万元。预算数比</w:t>
      </w:r>
      <w:r>
        <w:rPr>
          <w:rFonts w:hint="eastAsia" w:ascii="仿宋" w:hAnsi="仿宋" w:eastAsia="仿宋" w:cs="仿宋"/>
          <w:sz w:val="32"/>
          <w:szCs w:val="32"/>
          <w:lang w:eastAsia="zh-CN"/>
        </w:rPr>
        <w:t>2022</w:t>
      </w:r>
      <w:r>
        <w:rPr>
          <w:rFonts w:hint="eastAsia" w:ascii="仿宋" w:hAnsi="仿宋" w:eastAsia="仿宋" w:cs="仿宋"/>
          <w:sz w:val="32"/>
          <w:szCs w:val="32"/>
        </w:rPr>
        <w:t>年增加(减少)</w:t>
      </w:r>
      <w:r>
        <w:rPr>
          <w:rFonts w:hint="eastAsia" w:ascii="仿宋" w:hAnsi="仿宋" w:eastAsia="仿宋" w:cs="仿宋"/>
          <w:sz w:val="32"/>
          <w:szCs w:val="32"/>
          <w:lang w:val="en-US" w:eastAsia="zh-CN"/>
        </w:rPr>
        <w:t>0</w:t>
      </w:r>
      <w:r>
        <w:rPr>
          <w:rFonts w:hint="eastAsia" w:ascii="仿宋" w:hAnsi="仿宋" w:eastAsia="仿宋" w:cs="仿宋"/>
          <w:sz w:val="32"/>
          <w:szCs w:val="32"/>
        </w:rPr>
        <w:t>万元，增长（下降）</w:t>
      </w:r>
      <w:r>
        <w:rPr>
          <w:rFonts w:hint="eastAsia" w:ascii="仿宋" w:hAnsi="仿宋" w:eastAsia="仿宋" w:cs="仿宋"/>
          <w:sz w:val="32"/>
          <w:szCs w:val="32"/>
          <w:lang w:val="en-US" w:eastAsia="zh-CN"/>
        </w:rPr>
        <w:t>0</w:t>
      </w:r>
      <w:r>
        <w:rPr>
          <w:rFonts w:hint="eastAsia" w:ascii="仿宋" w:hAnsi="仿宋" w:eastAsia="仿宋" w:cs="仿宋"/>
          <w:sz w:val="32"/>
          <w:szCs w:val="32"/>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5"/>
        </w:numPr>
        <w:ind w:firstLine="640"/>
        <w:jc w:val="left"/>
        <w:rPr>
          <w:rFonts w:ascii="黑体" w:hAnsi="黑体" w:eastAsia="黑体"/>
          <w:sz w:val="32"/>
        </w:rPr>
      </w:pPr>
      <w:r>
        <w:rPr>
          <w:rFonts w:hint="eastAsia" w:ascii="黑体" w:hAnsi="黑体" w:eastAsia="黑体"/>
          <w:sz w:val="32"/>
        </w:rPr>
        <w:t>政府性基金预算支出预算情况说明</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w:t>
      </w:r>
      <w:r>
        <w:rPr>
          <w:rFonts w:hint="eastAsia" w:ascii="仿宋_GB2312" w:eastAsia="仿宋_GB2312"/>
          <w:sz w:val="32"/>
          <w:szCs w:val="32"/>
        </w:rPr>
        <w:t>没有政府性基金预算拨款收入，也没有政府性基金预算安排的支出，故无数据情况说明</w:t>
      </w:r>
      <w:r>
        <w:rPr>
          <w:rFonts w:hint="eastAsia" w:ascii="仿宋" w:hAnsi="仿宋" w:eastAsia="仿宋" w:cs="仿宋"/>
          <w:sz w:val="32"/>
        </w:rPr>
        <w:t>。</w:t>
      </w:r>
    </w:p>
    <w:p>
      <w:pPr>
        <w:numPr>
          <w:ilvl w:val="0"/>
          <w:numId w:val="5"/>
        </w:numPr>
        <w:ind w:firstLine="640"/>
        <w:jc w:val="left"/>
        <w:rPr>
          <w:rFonts w:ascii="黑体" w:hAnsi="黑体" w:eastAsia="黑体"/>
          <w:sz w:val="32"/>
        </w:rPr>
      </w:pPr>
      <w:r>
        <w:rPr>
          <w:rFonts w:hint="eastAsia" w:ascii="黑体" w:hAnsi="黑体" w:eastAsia="黑体"/>
          <w:sz w:val="32"/>
        </w:rPr>
        <w:t>其他重要事项的情况说明</w:t>
      </w:r>
    </w:p>
    <w:p>
      <w:pPr>
        <w:ind w:left="420" w:leftChars="200"/>
        <w:jc w:val="left"/>
        <w:rPr>
          <w:rFonts w:ascii="仿宋" w:hAnsi="仿宋" w:eastAsia="仿宋" w:cs="仿宋"/>
          <w:b/>
          <w:bCs/>
          <w:sz w:val="32"/>
        </w:rPr>
      </w:pPr>
      <w:r>
        <w:rPr>
          <w:rFonts w:hint="eastAsia" w:ascii="仿宋" w:hAnsi="仿宋" w:eastAsia="仿宋" w:cs="仿宋"/>
          <w:b/>
          <w:bCs/>
          <w:sz w:val="32"/>
        </w:rPr>
        <w:t>（一）行政（事业）单位机构运转经费</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年运行经费支出预算</w:t>
      </w:r>
      <w:r>
        <w:rPr>
          <w:rFonts w:hint="eastAsia" w:ascii="仿宋" w:hAnsi="仿宋" w:eastAsia="仿宋" w:cs="仿宋"/>
          <w:sz w:val="32"/>
          <w:lang w:val="en-US" w:eastAsia="zh-CN"/>
        </w:rPr>
        <w:t>4.17</w:t>
      </w:r>
      <w:r>
        <w:rPr>
          <w:rFonts w:hint="eastAsia" w:ascii="仿宋" w:hAnsi="仿宋" w:eastAsia="仿宋" w:cs="仿宋"/>
          <w:sz w:val="32"/>
        </w:rPr>
        <w:t>万元，</w:t>
      </w:r>
      <w:r>
        <w:rPr>
          <w:rFonts w:hint="eastAsia" w:ascii="仿宋" w:hAnsi="仿宋" w:eastAsia="仿宋" w:cs="仿宋"/>
          <w:sz w:val="32"/>
          <w:lang w:val="en-US" w:eastAsia="zh-CN"/>
        </w:rPr>
        <w:t>比2022年减少了7.83，下降了288%，主要原因是本单位严格按照中央八项规定，严格控制运行经费开支，我单位2023年运行经费</w:t>
      </w:r>
      <w:r>
        <w:rPr>
          <w:rFonts w:hint="eastAsia" w:ascii="仿宋" w:hAnsi="仿宋" w:eastAsia="仿宋" w:cs="仿宋"/>
          <w:sz w:val="32"/>
        </w:rPr>
        <w:t>主要保障机构正常运转及正常履职需要，用于购买货物和服务的支出。包括办公及印刷费、邮电费、差旅费、会议费、福利费、日常维修费及一般设备购置费、办公用房水电费、办公用房取暖费、办公用房物业管理费、公务用车运行维护费以及其他费用。</w:t>
      </w:r>
    </w:p>
    <w:p>
      <w:pPr>
        <w:ind w:firstLine="643" w:firstLineChars="200"/>
        <w:jc w:val="left"/>
        <w:rPr>
          <w:rFonts w:ascii="仿宋" w:hAnsi="仿宋" w:eastAsia="仿宋" w:cs="仿宋"/>
          <w:b/>
          <w:bCs/>
          <w:sz w:val="32"/>
        </w:rPr>
      </w:pPr>
      <w:r>
        <w:rPr>
          <w:rFonts w:hint="eastAsia" w:ascii="仿宋" w:hAnsi="仿宋" w:eastAsia="仿宋" w:cs="仿宋"/>
          <w:b/>
          <w:bCs/>
          <w:sz w:val="32"/>
        </w:rPr>
        <w:t>（二）政府采购支出预算情况</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年政府采购预算安排</w:t>
      </w:r>
      <w:r>
        <w:rPr>
          <w:rFonts w:hint="eastAsia" w:ascii="仿宋" w:hAnsi="仿宋" w:eastAsia="仿宋" w:cs="仿宋"/>
          <w:sz w:val="32"/>
          <w:lang w:val="en-US" w:eastAsia="zh-CN"/>
        </w:rPr>
        <w:t>0</w:t>
      </w:r>
      <w:r>
        <w:rPr>
          <w:rFonts w:hint="eastAsia" w:ascii="仿宋" w:hAnsi="仿宋" w:eastAsia="仿宋" w:cs="仿宋"/>
          <w:sz w:val="32"/>
        </w:rPr>
        <w:t>万元，其中：货物类采购预算</w:t>
      </w:r>
      <w:r>
        <w:rPr>
          <w:rFonts w:hint="eastAsia" w:ascii="仿宋" w:hAnsi="仿宋" w:eastAsia="仿宋" w:cs="仿宋"/>
          <w:sz w:val="32"/>
          <w:lang w:val="en-US" w:eastAsia="zh-CN"/>
        </w:rPr>
        <w:t>0</w:t>
      </w:r>
      <w:r>
        <w:rPr>
          <w:rFonts w:hint="eastAsia" w:ascii="仿宋" w:hAnsi="仿宋" w:eastAsia="仿宋" w:cs="仿宋"/>
          <w:sz w:val="32"/>
        </w:rPr>
        <w:t>万元，工程类采购预算</w:t>
      </w:r>
      <w:r>
        <w:rPr>
          <w:rFonts w:hint="eastAsia" w:ascii="仿宋" w:hAnsi="仿宋" w:eastAsia="仿宋" w:cs="仿宋"/>
          <w:sz w:val="32"/>
          <w:lang w:val="en-US" w:eastAsia="zh-CN"/>
        </w:rPr>
        <w:t>0</w:t>
      </w:r>
      <w:r>
        <w:rPr>
          <w:rFonts w:hint="eastAsia" w:ascii="仿宋" w:hAnsi="仿宋" w:eastAsia="仿宋" w:cs="仿宋"/>
          <w:sz w:val="32"/>
        </w:rPr>
        <w:t>万元，服务类采购预算</w:t>
      </w:r>
      <w:r>
        <w:rPr>
          <w:rFonts w:hint="eastAsia" w:ascii="仿宋" w:hAnsi="仿宋" w:eastAsia="仿宋" w:cs="仿宋"/>
          <w:sz w:val="32"/>
          <w:lang w:val="en-US" w:eastAsia="zh-CN"/>
        </w:rPr>
        <w:t>0</w:t>
      </w:r>
      <w:r>
        <w:rPr>
          <w:rFonts w:hint="eastAsia" w:ascii="仿宋" w:hAnsi="仿宋" w:eastAsia="仿宋" w:cs="仿宋"/>
          <w:sz w:val="32"/>
        </w:rPr>
        <w:t>万元。</w:t>
      </w:r>
    </w:p>
    <w:p>
      <w:pPr>
        <w:numPr>
          <w:ilvl w:val="0"/>
          <w:numId w:val="6"/>
        </w:numPr>
        <w:ind w:firstLine="643" w:firstLineChars="200"/>
        <w:jc w:val="left"/>
        <w:rPr>
          <w:rFonts w:ascii="仿宋" w:hAnsi="仿宋" w:eastAsia="仿宋" w:cs="仿宋"/>
          <w:b/>
          <w:bCs/>
          <w:sz w:val="32"/>
        </w:rPr>
      </w:pPr>
      <w:r>
        <w:rPr>
          <w:rFonts w:hint="eastAsia" w:ascii="仿宋" w:hAnsi="仿宋" w:eastAsia="仿宋" w:cs="仿宋"/>
          <w:b/>
          <w:bCs/>
          <w:sz w:val="32"/>
        </w:rPr>
        <w:t>绩效目标设置情况</w:t>
      </w:r>
    </w:p>
    <w:p>
      <w:pPr>
        <w:ind w:firstLine="640" w:firstLineChars="200"/>
        <w:jc w:val="left"/>
        <w:rPr>
          <w:rFonts w:hint="eastAsia"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年预算项目均按要求编制了绩效目标，从 项目产出、项目效益、满意度等方面设置了绩效目标，综合 反映项目预期完成的数量、实效、质量，预期达到的社会经 济效益、可持续影响以及对象满意度等情况。</w:t>
      </w:r>
    </w:p>
    <w:p>
      <w:pPr>
        <w:ind w:firstLine="640" w:firstLineChars="200"/>
        <w:jc w:val="left"/>
        <w:rPr>
          <w:rFonts w:hint="eastAsia" w:ascii="仿宋" w:hAnsi="仿宋" w:eastAsia="仿宋" w:cs="仿宋"/>
          <w:sz w:val="32"/>
        </w:rPr>
      </w:pPr>
      <w:r>
        <w:rPr>
          <w:rFonts w:hint="eastAsia" w:ascii="仿宋_GB2312" w:hAnsi="仿宋_GB2312" w:eastAsia="仿宋_GB2312" w:cs="仿宋_GB2312"/>
          <w:color w:val="000000"/>
          <w:kern w:val="0"/>
          <w:sz w:val="32"/>
          <w:szCs w:val="32"/>
          <w:lang w:val="en-US" w:eastAsia="zh-CN"/>
        </w:rPr>
        <w:t>2023</w:t>
      </w:r>
      <w:r>
        <w:rPr>
          <w:rFonts w:hint="eastAsia" w:ascii="仿宋_GB2312" w:hAnsi="仿宋_GB2312" w:eastAsia="仿宋_GB2312" w:cs="仿宋_GB2312"/>
          <w:color w:val="000000"/>
          <w:kern w:val="0"/>
          <w:sz w:val="32"/>
          <w:szCs w:val="32"/>
        </w:rPr>
        <w:t>年部门预算金额共计</w:t>
      </w:r>
      <w:r>
        <w:rPr>
          <w:rFonts w:hint="eastAsia" w:ascii="仿宋" w:hAnsi="仿宋" w:eastAsia="仿宋" w:cs="仿宋"/>
          <w:sz w:val="32"/>
          <w:szCs w:val="32"/>
          <w:lang w:val="en-US" w:eastAsia="zh-CN"/>
        </w:rPr>
        <w:t>73.47</w:t>
      </w:r>
      <w:r>
        <w:rPr>
          <w:rFonts w:hint="eastAsia" w:ascii="仿宋" w:hAnsi="仿宋" w:eastAsia="仿宋" w:cs="仿宋"/>
          <w:sz w:val="32"/>
        </w:rPr>
        <w:t>万元</w:t>
      </w:r>
      <w:r>
        <w:rPr>
          <w:rFonts w:hint="eastAsia" w:ascii="仿宋" w:hAnsi="仿宋" w:eastAsia="仿宋" w:cs="仿宋"/>
          <w:sz w:val="32"/>
          <w:lang w:eastAsia="zh-CN"/>
        </w:rPr>
        <w:t>，其中项目共计</w:t>
      </w:r>
      <w:r>
        <w:rPr>
          <w:rFonts w:hint="eastAsia" w:ascii="仿宋" w:hAnsi="仿宋" w:eastAsia="仿宋" w:cs="仿宋"/>
          <w:sz w:val="32"/>
          <w:lang w:val="en-US" w:eastAsia="zh-CN"/>
        </w:rPr>
        <w:t>1个，金额为12.02万元。</w:t>
      </w:r>
    </w:p>
    <w:p>
      <w:pPr>
        <w:numPr>
          <w:ilvl w:val="0"/>
          <w:numId w:val="6"/>
        </w:numPr>
        <w:ind w:firstLine="643" w:firstLineChars="200"/>
        <w:jc w:val="left"/>
        <w:rPr>
          <w:rFonts w:ascii="仿宋" w:hAnsi="仿宋" w:eastAsia="仿宋" w:cs="仿宋"/>
          <w:b/>
          <w:bCs/>
          <w:sz w:val="32"/>
        </w:rPr>
      </w:pPr>
      <w:r>
        <w:rPr>
          <w:rFonts w:hint="eastAsia" w:ascii="仿宋" w:hAnsi="仿宋" w:eastAsia="仿宋" w:cs="仿宋"/>
          <w:b/>
          <w:bCs/>
          <w:sz w:val="32"/>
        </w:rPr>
        <w:t>国有资产占用情况</w:t>
      </w:r>
    </w:p>
    <w:p>
      <w:pPr>
        <w:ind w:firstLine="640" w:firstLineChars="200"/>
        <w:jc w:val="left"/>
        <w:rPr>
          <w:rFonts w:ascii="仿宋" w:hAnsi="仿宋" w:eastAsia="仿宋" w:cs="仿宋"/>
          <w:sz w:val="32"/>
        </w:rPr>
      </w:pPr>
      <w:r>
        <w:rPr>
          <w:rFonts w:hint="eastAsia" w:ascii="仿宋" w:hAnsi="仿宋" w:eastAsia="仿宋" w:cs="仿宋"/>
          <w:sz w:val="32"/>
          <w:lang w:eastAsia="zh-CN"/>
        </w:rPr>
        <w:t>2022</w:t>
      </w:r>
      <w:r>
        <w:rPr>
          <w:rFonts w:hint="eastAsia" w:ascii="仿宋" w:hAnsi="仿宋" w:eastAsia="仿宋" w:cs="仿宋"/>
          <w:sz w:val="32"/>
        </w:rPr>
        <w:t>年期末，我单位共有车辆</w:t>
      </w:r>
      <w:r>
        <w:rPr>
          <w:rFonts w:hint="eastAsia" w:ascii="仿宋" w:hAnsi="仿宋" w:eastAsia="仿宋" w:cs="仿宋"/>
          <w:sz w:val="32"/>
          <w:lang w:val="en-US" w:eastAsia="zh-CN"/>
        </w:rPr>
        <w:t>0</w:t>
      </w:r>
      <w:r>
        <w:rPr>
          <w:rFonts w:hint="eastAsia" w:ascii="仿宋" w:hAnsi="仿宋" w:eastAsia="仿宋" w:cs="仿宋"/>
          <w:sz w:val="32"/>
        </w:rPr>
        <w:t>辆，其中：一般公务用车</w:t>
      </w:r>
      <w:r>
        <w:rPr>
          <w:rFonts w:hint="eastAsia" w:ascii="仿宋" w:hAnsi="仿宋" w:eastAsia="仿宋" w:cs="仿宋"/>
          <w:sz w:val="32"/>
          <w:lang w:val="en-US" w:eastAsia="zh-CN"/>
        </w:rPr>
        <w:t>0</w:t>
      </w:r>
      <w:r>
        <w:rPr>
          <w:rFonts w:hint="eastAsia" w:ascii="仿宋" w:hAnsi="仿宋" w:eastAsia="仿宋" w:cs="仿宋"/>
          <w:sz w:val="32"/>
        </w:rPr>
        <w:t>辆、一般执法执勤用车</w:t>
      </w:r>
      <w:r>
        <w:rPr>
          <w:rFonts w:hint="eastAsia" w:ascii="仿宋" w:hAnsi="仿宋" w:eastAsia="仿宋" w:cs="仿宋"/>
          <w:sz w:val="32"/>
          <w:lang w:val="en-US" w:eastAsia="zh-CN"/>
        </w:rPr>
        <w:t>0</w:t>
      </w:r>
      <w:r>
        <w:rPr>
          <w:rFonts w:hint="eastAsia" w:ascii="仿宋" w:hAnsi="仿宋" w:eastAsia="仿宋" w:cs="仿宋"/>
          <w:sz w:val="32"/>
        </w:rPr>
        <w:t>辆、其他用车</w:t>
      </w:r>
      <w:r>
        <w:rPr>
          <w:rFonts w:hint="eastAsia" w:ascii="仿宋" w:hAnsi="仿宋" w:eastAsia="仿宋" w:cs="仿宋"/>
          <w:sz w:val="32"/>
          <w:lang w:val="en-US" w:eastAsia="zh-CN"/>
        </w:rPr>
        <w:t>0</w:t>
      </w:r>
      <w:r>
        <w:rPr>
          <w:rFonts w:hint="eastAsia" w:ascii="仿宋" w:hAnsi="仿宋" w:eastAsia="仿宋" w:cs="仿宋"/>
          <w:sz w:val="32"/>
        </w:rPr>
        <w:t>辆；单价50万元以上通用设备</w:t>
      </w:r>
      <w:r>
        <w:rPr>
          <w:rFonts w:hint="eastAsia" w:ascii="仿宋" w:hAnsi="仿宋" w:eastAsia="仿宋" w:cs="仿宋"/>
          <w:sz w:val="32"/>
          <w:lang w:val="en-US" w:eastAsia="zh-CN"/>
        </w:rPr>
        <w:t>0</w:t>
      </w:r>
      <w:r>
        <w:rPr>
          <w:rFonts w:hint="eastAsia" w:ascii="仿宋" w:hAnsi="仿宋" w:eastAsia="仿宋" w:cs="仿宋"/>
          <w:sz w:val="32"/>
        </w:rPr>
        <w:t>套，单位价值100万元以上专用设备</w:t>
      </w:r>
      <w:r>
        <w:rPr>
          <w:rFonts w:hint="eastAsia" w:ascii="仿宋" w:hAnsi="仿宋" w:eastAsia="仿宋" w:cs="仿宋"/>
          <w:sz w:val="32"/>
          <w:lang w:val="en-US" w:eastAsia="zh-CN"/>
        </w:rPr>
        <w:t>0</w:t>
      </w:r>
      <w:r>
        <w:rPr>
          <w:rFonts w:hint="eastAsia" w:ascii="仿宋" w:hAnsi="仿宋" w:eastAsia="仿宋" w:cs="仿宋"/>
          <w:sz w:val="32"/>
        </w:rPr>
        <w:t>套。</w:t>
      </w:r>
    </w:p>
    <w:p>
      <w:pPr>
        <w:ind w:firstLine="643" w:firstLineChars="200"/>
        <w:jc w:val="left"/>
        <w:rPr>
          <w:rFonts w:ascii="黑体" w:hAnsi="黑体" w:eastAsia="黑体"/>
          <w:b/>
          <w:bCs/>
          <w:sz w:val="32"/>
        </w:rPr>
      </w:pPr>
      <w:r>
        <w:rPr>
          <w:rFonts w:hint="eastAsia" w:ascii="仿宋" w:hAnsi="仿宋" w:eastAsia="仿宋" w:cs="仿宋"/>
          <w:b/>
          <w:bCs/>
          <w:sz w:val="32"/>
        </w:rPr>
        <w:t>（五）专项转移支付项目情况</w:t>
      </w:r>
    </w:p>
    <w:p>
      <w:pPr>
        <w:ind w:firstLine="640" w:firstLineChars="200"/>
        <w:jc w:val="left"/>
        <w:rPr>
          <w:rFonts w:ascii="仿宋" w:hAnsi="仿宋" w:eastAsia="仿宋" w:cs="仿宋"/>
          <w:sz w:val="32"/>
        </w:rPr>
      </w:pPr>
      <w:r>
        <w:rPr>
          <w:rFonts w:hint="eastAsia" w:ascii="仿宋" w:hAnsi="仿宋" w:eastAsia="仿宋" w:cs="仿宋"/>
          <w:sz w:val="32"/>
        </w:rPr>
        <w:t>我单位负责管理的专项转移支付项目共有</w:t>
      </w:r>
      <w:r>
        <w:rPr>
          <w:rFonts w:hint="eastAsia" w:ascii="仿宋" w:hAnsi="仿宋" w:eastAsia="仿宋" w:cs="仿宋"/>
          <w:sz w:val="32"/>
          <w:lang w:val="en-US" w:eastAsia="zh-CN"/>
        </w:rPr>
        <w:t>0</w:t>
      </w:r>
      <w:r>
        <w:rPr>
          <w:rFonts w:hint="eastAsia" w:ascii="仿宋" w:hAnsi="仿宋" w:eastAsia="仿宋" w:cs="仿宋"/>
          <w:sz w:val="32"/>
        </w:rPr>
        <w:t>项。我单位将按照《预算法》等有关规定， 积极做好项目分配前期准备工作，在规定的时间内向财政部门提出资金分配意见，根据有关要求做好项目申报公开等相关工作。</w:t>
      </w: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jc w:val="center"/>
        <w:rPr>
          <w:rFonts w:ascii="黑体" w:hAnsi="黑体" w:eastAsia="黑体"/>
          <w:b/>
          <w:bCs/>
          <w:sz w:val="36"/>
          <w:szCs w:val="36"/>
        </w:rPr>
      </w:pPr>
    </w:p>
    <w:p>
      <w:pPr>
        <w:jc w:val="center"/>
        <w:rPr>
          <w:rFonts w:ascii="黑体" w:hAnsi="黑体" w:eastAsia="黑体"/>
          <w:b/>
          <w:bCs/>
          <w:sz w:val="36"/>
          <w:szCs w:val="36"/>
        </w:rPr>
      </w:pPr>
      <w:r>
        <w:rPr>
          <w:rFonts w:hint="eastAsia" w:ascii="黑体" w:hAnsi="黑体" w:eastAsia="黑体"/>
          <w:b/>
          <w:bCs/>
          <w:sz w:val="36"/>
          <w:szCs w:val="36"/>
        </w:rPr>
        <w:t xml:space="preserve">第三部分 </w:t>
      </w:r>
    </w:p>
    <w:p>
      <w:pPr>
        <w:jc w:val="center"/>
        <w:rPr>
          <w:rFonts w:ascii="黑体" w:hAnsi="黑体" w:eastAsia="黑体"/>
          <w:b/>
          <w:bCs/>
          <w:sz w:val="36"/>
          <w:szCs w:val="36"/>
        </w:rPr>
      </w:pPr>
      <w:r>
        <w:rPr>
          <w:rFonts w:hint="eastAsia" w:ascii="黑体" w:hAnsi="黑体" w:eastAsia="黑体"/>
          <w:b/>
          <w:bCs/>
          <w:sz w:val="36"/>
          <w:szCs w:val="36"/>
        </w:rPr>
        <w:t>名词解释</w:t>
      </w:r>
    </w:p>
    <w:p>
      <w:pPr>
        <w:jc w:val="left"/>
        <w:rPr>
          <w:rFonts w:ascii="黑体" w:hAnsi="黑体" w:eastAsia="黑体"/>
          <w:sz w:val="32"/>
        </w:rPr>
      </w:pP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 xml:space="preserve">财政拨款收入：是指县级财政当年拨付的资金。 </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事业收入：是指事业单位开展专业活动及辅助活动</w:t>
      </w:r>
    </w:p>
    <w:p>
      <w:pPr>
        <w:jc w:val="left"/>
        <w:rPr>
          <w:rFonts w:ascii="仿宋" w:hAnsi="仿宋" w:eastAsia="仿宋" w:cs="仿宋"/>
          <w:sz w:val="32"/>
        </w:rPr>
      </w:pPr>
      <w:r>
        <w:rPr>
          <w:rFonts w:hint="eastAsia" w:ascii="仿宋" w:hAnsi="仿宋" w:eastAsia="仿宋" w:cs="仿宋"/>
          <w:sz w:val="32"/>
        </w:rPr>
        <w:t>所取得的收入。</w:t>
      </w:r>
    </w:p>
    <w:p>
      <w:pPr>
        <w:numPr>
          <w:ilvl w:val="0"/>
          <w:numId w:val="7"/>
        </w:numPr>
        <w:ind w:firstLine="640" w:firstLineChars="200"/>
        <w:jc w:val="left"/>
        <w:rPr>
          <w:rFonts w:ascii="宋体" w:hAnsi="宋体" w:eastAsia="宋体" w:cs="宋体"/>
          <w:color w:val="333333"/>
          <w:sz w:val="24"/>
        </w:rPr>
      </w:pPr>
      <w:r>
        <w:rPr>
          <w:rFonts w:hint="eastAsia" w:ascii="仿宋" w:hAnsi="仿宋" w:eastAsia="仿宋" w:cs="仿宋"/>
          <w:sz w:val="32"/>
        </w:rPr>
        <w:t>其他收入：是指部门取得的除“财政拨款”、“事 业收入”、“事业单位经营收入”等以外的收入。</w:t>
      </w:r>
    </w:p>
    <w:p>
      <w:pPr>
        <w:numPr>
          <w:ilvl w:val="0"/>
          <w:numId w:val="7"/>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上年结转：</w:t>
      </w:r>
      <w:r>
        <w:rPr>
          <w:rFonts w:hint="eastAsia" w:ascii="仿宋" w:hAnsi="仿宋" w:eastAsia="仿宋" w:cs="仿宋"/>
          <w:color w:val="333333"/>
          <w:sz w:val="32"/>
          <w:szCs w:val="32"/>
          <w:shd w:val="clear" w:color="auto" w:fill="FFFFFF"/>
        </w:rPr>
        <w:t>指以前年度安排、结转到本年仍按原用途继续使用的资金。</w:t>
      </w:r>
    </w:p>
    <w:p>
      <w:pPr>
        <w:numPr>
          <w:ilvl w:val="0"/>
          <w:numId w:val="7"/>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结转下年：</w:t>
      </w:r>
      <w:r>
        <w:rPr>
          <w:rFonts w:hint="eastAsia" w:ascii="仿宋" w:hAnsi="仿宋" w:eastAsia="仿宋" w:cs="仿宋"/>
          <w:color w:val="333333"/>
          <w:sz w:val="32"/>
          <w:szCs w:val="32"/>
          <w:shd w:val="clear" w:color="auto" w:fill="FFFFFF"/>
        </w:rPr>
        <w:t>指以前年度预算安排、因客观条件发生变化无法按原计划实施，需以后年度按原用途继续使用的资金。</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用事业基金弥补收支差额：是指事业单位在当年的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基本支出：是指为保障机构正常运转、完成日常工 作任务所必需的开支，其内容包括人员经费和日常公用经费 两部分。</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项目支出：是指在基本支出之外，为完成特定的行政工作任务或事业发展目标所发生的支出。</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“三公”经费：是指纳入市级财政预算管理，部门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jc w:val="left"/>
        <w:rPr>
          <w:rFonts w:ascii="仿宋" w:hAnsi="仿宋" w:eastAsia="仿宋" w:cs="仿宋"/>
          <w:sz w:val="32"/>
        </w:rPr>
      </w:pPr>
      <w:r>
        <w:rPr>
          <w:rFonts w:hint="eastAsia" w:ascii="仿宋" w:hAnsi="仿宋" w:eastAsia="仿宋" w:cs="仿宋"/>
          <w:sz w:val="32"/>
        </w:rPr>
        <w:t>（含外宾接待）支出。</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行政（事业）单位机构运转经费：是指为保障单位（包括行政单位和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r>
        <w:rPr>
          <w:rFonts w:hint="eastAsia" w:ascii="仿宋" w:hAnsi="仿宋" w:eastAsia="仿宋" w:cs="仿宋"/>
          <w:sz w:val="32"/>
          <w:lang w:eastAsia="zh-CN"/>
        </w:rPr>
        <w:t>。</w:t>
      </w:r>
    </w:p>
    <w:p>
      <w:pPr>
        <w:numPr>
          <w:ilvl w:val="0"/>
          <w:numId w:val="7"/>
        </w:numPr>
        <w:ind w:firstLine="620" w:firstLineChars="200"/>
        <w:jc w:val="left"/>
        <w:rPr>
          <w:rFonts w:ascii="仿宋" w:hAnsi="仿宋" w:eastAsia="仿宋" w:cs="仿宋"/>
          <w:sz w:val="32"/>
        </w:rPr>
      </w:pPr>
      <w:r>
        <w:rPr>
          <w:rFonts w:ascii="仿宋_GB2312" w:hAnsi="宋体" w:eastAsia="仿宋_GB2312" w:cs="仿宋_GB2312"/>
          <w:color w:val="000000"/>
          <w:sz w:val="31"/>
          <w:szCs w:val="31"/>
          <w:shd w:val="clear" w:color="auto" w:fill="FFFFFF"/>
        </w:rPr>
        <w:t>专项转移支付：</w:t>
      </w:r>
      <w:r>
        <w:rPr>
          <w:rFonts w:hint="eastAsia" w:ascii="仿宋_GB2312" w:hAnsi="宋体" w:eastAsia="仿宋_GB2312" w:cs="仿宋_GB2312"/>
          <w:color w:val="000000"/>
          <w:sz w:val="31"/>
          <w:szCs w:val="31"/>
          <w:shd w:val="clear" w:color="auto" w:fill="FFFFFF"/>
        </w:rPr>
        <w:t>是指上级政府(在我国一般指中央、省、市级政府)为实现特定的宏观政策目标，以及对委托下级政府代理的一些事务进行补偿而设立的专项补助资金。资金接受者需按规定用途使用资金。</w:t>
      </w:r>
    </w:p>
    <w:p>
      <w:pPr>
        <w:tabs>
          <w:tab w:val="left" w:pos="7506"/>
        </w:tabs>
        <w:ind w:firstLine="640" w:firstLineChars="200"/>
        <w:jc w:val="left"/>
      </w:pPr>
      <w:r>
        <w:rPr>
          <w:rFonts w:hint="eastAsia" w:ascii="黑体" w:hAnsi="黑体" w:eastAsia="黑体" w:cs="黑体"/>
          <w:sz w:val="32"/>
        </w:rPr>
        <w:t>附件：</w:t>
      </w:r>
      <w:r>
        <w:rPr>
          <w:rFonts w:hint="eastAsia" w:ascii="黑体" w:hAnsi="黑体" w:eastAsia="黑体" w:cs="黑体"/>
          <w:sz w:val="32"/>
          <w:lang w:eastAsia="zh-CN"/>
        </w:rPr>
        <w:t>淮滨县发投中心2023</w:t>
      </w:r>
      <w:r>
        <w:rPr>
          <w:rFonts w:hint="eastAsia" w:ascii="黑体" w:hAnsi="黑体" w:eastAsia="黑体" w:cs="黑体"/>
          <w:sz w:val="32"/>
        </w:rPr>
        <w:t>年部门预算表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DECAE212"/>
    <w:multiLevelType w:val="singleLevel"/>
    <w:tmpl w:val="DECAE212"/>
    <w:lvl w:ilvl="0" w:tentative="0">
      <w:start w:val="1"/>
      <w:numFmt w:val="chineseCounting"/>
      <w:suff w:val="nothing"/>
      <w:lvlText w:val="%1、"/>
      <w:lvlJc w:val="left"/>
      <w:pPr>
        <w:ind w:left="-10"/>
      </w:pPr>
      <w:rPr>
        <w:rFonts w:hint="eastAsia"/>
      </w:rPr>
    </w:lvl>
  </w:abstractNum>
  <w:abstractNum w:abstractNumId="2">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3">
    <w:nsid w:val="1DBE515B"/>
    <w:multiLevelType w:val="singleLevel"/>
    <w:tmpl w:val="1DBE515B"/>
    <w:lvl w:ilvl="0" w:tentative="0">
      <w:start w:val="1"/>
      <w:numFmt w:val="chineseCounting"/>
      <w:suff w:val="nothing"/>
      <w:lvlText w:val="%1、"/>
      <w:lvlJc w:val="left"/>
      <w:rPr>
        <w:rFonts w:hint="eastAsia"/>
      </w:rPr>
    </w:lvl>
  </w:abstractNum>
  <w:abstractNum w:abstractNumId="4">
    <w:nsid w:val="61D09A37"/>
    <w:multiLevelType w:val="singleLevel"/>
    <w:tmpl w:val="61D09A37"/>
    <w:lvl w:ilvl="0" w:tentative="0">
      <w:start w:val="1"/>
      <w:numFmt w:val="chineseCounting"/>
      <w:suff w:val="nothing"/>
      <w:lvlText w:val="（%1）"/>
      <w:lvlJc w:val="left"/>
      <w:pPr>
        <w:ind w:left="-110"/>
      </w:pPr>
      <w:rPr>
        <w:rFonts w:hint="eastAsia"/>
      </w:rPr>
    </w:lvl>
  </w:abstractNum>
  <w:abstractNum w:abstractNumId="5">
    <w:nsid w:val="6EC1A300"/>
    <w:multiLevelType w:val="singleLevel"/>
    <w:tmpl w:val="6EC1A300"/>
    <w:lvl w:ilvl="0" w:tentative="0">
      <w:start w:val="1"/>
      <w:numFmt w:val="chineseCounting"/>
      <w:suff w:val="nothing"/>
      <w:lvlText w:val="%1、"/>
      <w:lvlJc w:val="left"/>
      <w:pPr>
        <w:ind w:left="-130"/>
      </w:pPr>
      <w:rPr>
        <w:rFonts w:hint="eastAsia"/>
      </w:rPr>
    </w:lvl>
  </w:abstractNum>
  <w:abstractNum w:abstractNumId="6">
    <w:nsid w:val="73A1052D"/>
    <w:multiLevelType w:val="singleLevel"/>
    <w:tmpl w:val="73A1052D"/>
    <w:lvl w:ilvl="0" w:tentative="0">
      <w:start w:val="3"/>
      <w:numFmt w:val="chineseCounting"/>
      <w:suff w:val="nothing"/>
      <w:lvlText w:val="（%1）"/>
      <w:lvlJc w:val="left"/>
      <w:rPr>
        <w:rFonts w:hint="eastAsia"/>
      </w:rPr>
    </w:lvl>
  </w:abstractNum>
  <w:num w:numId="1">
    <w:abstractNumId w:val="3"/>
  </w:num>
  <w:num w:numId="2">
    <w:abstractNumId w:val="0"/>
  </w:num>
  <w:num w:numId="3">
    <w:abstractNumId w:val="5"/>
  </w:num>
  <w:num w:numId="4">
    <w:abstractNumId w:val="4"/>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wMzNjYjE2Y2Y1ZjI5NTc0YjQ5MGE1MTUyNzVmY2UifQ=="/>
    <w:docVar w:name="KSO_WPS_MARK_KEY" w:val="1174bf7b-2f40-47f5-a878-d507f431fc62"/>
  </w:docVars>
  <w:rsids>
    <w:rsidRoot w:val="3E5A6C85"/>
    <w:rsid w:val="00077C0D"/>
    <w:rsid w:val="000A6609"/>
    <w:rsid w:val="000D60B2"/>
    <w:rsid w:val="00143DF7"/>
    <w:rsid w:val="001742A7"/>
    <w:rsid w:val="00174CFC"/>
    <w:rsid w:val="001B17CE"/>
    <w:rsid w:val="001C1C18"/>
    <w:rsid w:val="001F4C06"/>
    <w:rsid w:val="00490CAA"/>
    <w:rsid w:val="004B7307"/>
    <w:rsid w:val="004C7D32"/>
    <w:rsid w:val="005128CE"/>
    <w:rsid w:val="005A553F"/>
    <w:rsid w:val="005A78FC"/>
    <w:rsid w:val="005C5D65"/>
    <w:rsid w:val="00647F85"/>
    <w:rsid w:val="006D14AB"/>
    <w:rsid w:val="0091161C"/>
    <w:rsid w:val="009238E3"/>
    <w:rsid w:val="00937FE5"/>
    <w:rsid w:val="009412CA"/>
    <w:rsid w:val="00997E16"/>
    <w:rsid w:val="00AA7872"/>
    <w:rsid w:val="00AD7827"/>
    <w:rsid w:val="00B44F53"/>
    <w:rsid w:val="00BD1004"/>
    <w:rsid w:val="00C40E6C"/>
    <w:rsid w:val="00C9610D"/>
    <w:rsid w:val="00CB1918"/>
    <w:rsid w:val="00CF0B03"/>
    <w:rsid w:val="00D1451C"/>
    <w:rsid w:val="00D67A39"/>
    <w:rsid w:val="00D84F17"/>
    <w:rsid w:val="00EA37A7"/>
    <w:rsid w:val="00FB5B8C"/>
    <w:rsid w:val="02021905"/>
    <w:rsid w:val="021373E6"/>
    <w:rsid w:val="037B79F7"/>
    <w:rsid w:val="041D2A27"/>
    <w:rsid w:val="043B10FF"/>
    <w:rsid w:val="05377B18"/>
    <w:rsid w:val="05E57574"/>
    <w:rsid w:val="06440A7A"/>
    <w:rsid w:val="06ED4932"/>
    <w:rsid w:val="071D4AEC"/>
    <w:rsid w:val="084542FA"/>
    <w:rsid w:val="0A6251B2"/>
    <w:rsid w:val="0B310B66"/>
    <w:rsid w:val="0D0F4ED6"/>
    <w:rsid w:val="0D513137"/>
    <w:rsid w:val="0E0E518E"/>
    <w:rsid w:val="0EDD5EC4"/>
    <w:rsid w:val="10602789"/>
    <w:rsid w:val="106A6FF4"/>
    <w:rsid w:val="106C2D6C"/>
    <w:rsid w:val="10914580"/>
    <w:rsid w:val="112076B2"/>
    <w:rsid w:val="11D110BA"/>
    <w:rsid w:val="123258EF"/>
    <w:rsid w:val="12EF1A32"/>
    <w:rsid w:val="131C20FB"/>
    <w:rsid w:val="144A1E7D"/>
    <w:rsid w:val="145204CA"/>
    <w:rsid w:val="145C300E"/>
    <w:rsid w:val="147D6921"/>
    <w:rsid w:val="15F07B94"/>
    <w:rsid w:val="16D36F75"/>
    <w:rsid w:val="173B6758"/>
    <w:rsid w:val="19124154"/>
    <w:rsid w:val="191C5F4B"/>
    <w:rsid w:val="1B351FAC"/>
    <w:rsid w:val="1B9413C8"/>
    <w:rsid w:val="1CA53161"/>
    <w:rsid w:val="1D0460DA"/>
    <w:rsid w:val="1D2E3157"/>
    <w:rsid w:val="1D5D5393"/>
    <w:rsid w:val="1F046865"/>
    <w:rsid w:val="1F625B7A"/>
    <w:rsid w:val="1FCF2528"/>
    <w:rsid w:val="1FE67D19"/>
    <w:rsid w:val="205D447F"/>
    <w:rsid w:val="219E6AFD"/>
    <w:rsid w:val="228003BD"/>
    <w:rsid w:val="228C104B"/>
    <w:rsid w:val="238B1303"/>
    <w:rsid w:val="241F1A7A"/>
    <w:rsid w:val="246B28E3"/>
    <w:rsid w:val="24DA1A42"/>
    <w:rsid w:val="274F7F6E"/>
    <w:rsid w:val="279A1B15"/>
    <w:rsid w:val="27A42993"/>
    <w:rsid w:val="28196722"/>
    <w:rsid w:val="28447CD2"/>
    <w:rsid w:val="2903193C"/>
    <w:rsid w:val="291D29FD"/>
    <w:rsid w:val="2A133E00"/>
    <w:rsid w:val="2AA67AA4"/>
    <w:rsid w:val="2AA8279A"/>
    <w:rsid w:val="2ACE5F14"/>
    <w:rsid w:val="2BF65788"/>
    <w:rsid w:val="2C081B10"/>
    <w:rsid w:val="2C26606D"/>
    <w:rsid w:val="2D4A0B6E"/>
    <w:rsid w:val="2F072B71"/>
    <w:rsid w:val="2F1C72B3"/>
    <w:rsid w:val="2F8530AA"/>
    <w:rsid w:val="2FD602BF"/>
    <w:rsid w:val="31342FDA"/>
    <w:rsid w:val="32476D3D"/>
    <w:rsid w:val="33ED121E"/>
    <w:rsid w:val="3402116D"/>
    <w:rsid w:val="34030A42"/>
    <w:rsid w:val="34E010E6"/>
    <w:rsid w:val="358856A2"/>
    <w:rsid w:val="35E6686D"/>
    <w:rsid w:val="360B2D37"/>
    <w:rsid w:val="363E2205"/>
    <w:rsid w:val="3699743B"/>
    <w:rsid w:val="38237904"/>
    <w:rsid w:val="3872263A"/>
    <w:rsid w:val="393A3157"/>
    <w:rsid w:val="39D84127"/>
    <w:rsid w:val="3A2B0CF2"/>
    <w:rsid w:val="3A865F28"/>
    <w:rsid w:val="3BC51DAA"/>
    <w:rsid w:val="3C1F6635"/>
    <w:rsid w:val="3DB7084B"/>
    <w:rsid w:val="3E5A6C85"/>
    <w:rsid w:val="3ED177E1"/>
    <w:rsid w:val="41894C7C"/>
    <w:rsid w:val="419D0727"/>
    <w:rsid w:val="41FF59D4"/>
    <w:rsid w:val="42613503"/>
    <w:rsid w:val="43476B9D"/>
    <w:rsid w:val="43572B58"/>
    <w:rsid w:val="43F60C8D"/>
    <w:rsid w:val="45554E75"/>
    <w:rsid w:val="456A4DC4"/>
    <w:rsid w:val="46841EB6"/>
    <w:rsid w:val="469D4D26"/>
    <w:rsid w:val="46A2233C"/>
    <w:rsid w:val="46D01A4F"/>
    <w:rsid w:val="47235F3E"/>
    <w:rsid w:val="47C6205A"/>
    <w:rsid w:val="483D40CA"/>
    <w:rsid w:val="48983104"/>
    <w:rsid w:val="49D93EB4"/>
    <w:rsid w:val="4B86222C"/>
    <w:rsid w:val="4BBC3BEF"/>
    <w:rsid w:val="4CC72AFC"/>
    <w:rsid w:val="4D2B308B"/>
    <w:rsid w:val="4E10402F"/>
    <w:rsid w:val="4E52289A"/>
    <w:rsid w:val="4E944C60"/>
    <w:rsid w:val="50D2381E"/>
    <w:rsid w:val="519E1D35"/>
    <w:rsid w:val="52291B63"/>
    <w:rsid w:val="53532306"/>
    <w:rsid w:val="535D7D17"/>
    <w:rsid w:val="56CE6835"/>
    <w:rsid w:val="56E7105D"/>
    <w:rsid w:val="58C718E7"/>
    <w:rsid w:val="5A456AB5"/>
    <w:rsid w:val="5A8C0EE1"/>
    <w:rsid w:val="5AE42ACB"/>
    <w:rsid w:val="5D064F7B"/>
    <w:rsid w:val="5EB237E6"/>
    <w:rsid w:val="5F4A4A2B"/>
    <w:rsid w:val="5F6B381B"/>
    <w:rsid w:val="61392612"/>
    <w:rsid w:val="61D2367E"/>
    <w:rsid w:val="61F061FA"/>
    <w:rsid w:val="62EE088B"/>
    <w:rsid w:val="63514A76"/>
    <w:rsid w:val="63ED6D2D"/>
    <w:rsid w:val="647F6552"/>
    <w:rsid w:val="64BB489D"/>
    <w:rsid w:val="65921CF6"/>
    <w:rsid w:val="65DB5214"/>
    <w:rsid w:val="66A82BFF"/>
    <w:rsid w:val="674212A6"/>
    <w:rsid w:val="67AE693B"/>
    <w:rsid w:val="67DF4D46"/>
    <w:rsid w:val="67F105D6"/>
    <w:rsid w:val="69252C2D"/>
    <w:rsid w:val="69F65D89"/>
    <w:rsid w:val="6AAD2EDA"/>
    <w:rsid w:val="6C715A72"/>
    <w:rsid w:val="6CF22E26"/>
    <w:rsid w:val="6EEF1D13"/>
    <w:rsid w:val="6F591AC5"/>
    <w:rsid w:val="71BD526D"/>
    <w:rsid w:val="740718AD"/>
    <w:rsid w:val="740A6CA7"/>
    <w:rsid w:val="746F63D8"/>
    <w:rsid w:val="747B790C"/>
    <w:rsid w:val="755C79D6"/>
    <w:rsid w:val="75A37A3E"/>
    <w:rsid w:val="75E31EA6"/>
    <w:rsid w:val="768A2321"/>
    <w:rsid w:val="76D0242A"/>
    <w:rsid w:val="78FC000A"/>
    <w:rsid w:val="79022643"/>
    <w:rsid w:val="791401EC"/>
    <w:rsid w:val="792702FB"/>
    <w:rsid w:val="7A3C1967"/>
    <w:rsid w:val="7B6C0247"/>
    <w:rsid w:val="7C7F3FAA"/>
    <w:rsid w:val="7EE527EB"/>
    <w:rsid w:val="7F563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ody Text"/>
    <w:basedOn w:val="1"/>
    <w:unhideWhenUsed/>
    <w:qFormat/>
    <w:uiPriority w:val="1"/>
    <w:pPr>
      <w:spacing w:before="140"/>
      <w:ind w:left="120"/>
    </w:pPr>
    <w:rPr>
      <w:rFonts w:hint="eastAsia" w:ascii="仿宋" w:hAnsi="仿宋" w:eastAsia="仿宋"/>
      <w:sz w:val="32"/>
    </w:rPr>
  </w:style>
  <w:style w:type="paragraph" w:styleId="4">
    <w:name w:val="Balloon Text"/>
    <w:basedOn w:val="1"/>
    <w:link w:val="13"/>
    <w:qFormat/>
    <w:uiPriority w:val="0"/>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annotation subject"/>
    <w:basedOn w:val="2"/>
    <w:next w:val="2"/>
    <w:link w:val="12"/>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批注文字 字符"/>
    <w:basedOn w:val="9"/>
    <w:link w:val="2"/>
    <w:qFormat/>
    <w:uiPriority w:val="0"/>
    <w:rPr>
      <w:rFonts w:asciiTheme="minorHAnsi" w:hAnsiTheme="minorHAnsi" w:eastAsiaTheme="minorEastAsia" w:cstheme="minorBidi"/>
      <w:kern w:val="2"/>
      <w:sz w:val="21"/>
      <w:szCs w:val="24"/>
    </w:rPr>
  </w:style>
  <w:style w:type="character" w:customStyle="1" w:styleId="12">
    <w:name w:val="批注主题 字符"/>
    <w:basedOn w:val="11"/>
    <w:link w:val="6"/>
    <w:qFormat/>
    <w:uiPriority w:val="0"/>
    <w:rPr>
      <w:rFonts w:asciiTheme="minorHAnsi" w:hAnsiTheme="minorHAnsi" w:eastAsiaTheme="minorEastAsia" w:cstheme="minorBidi"/>
      <w:b/>
      <w:bCs/>
      <w:kern w:val="2"/>
      <w:sz w:val="21"/>
      <w:szCs w:val="24"/>
    </w:rPr>
  </w:style>
  <w:style w:type="character" w:customStyle="1" w:styleId="13">
    <w:name w:val="批注框文本 字符"/>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6.xml"/><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hart" Target="charts/chart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68</c:v>
                </c:pt>
                <c:pt idx="1">
                  <c:v>73.47</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68</c:v>
                </c:pt>
                <c:pt idx="1">
                  <c:v>73.47</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收入预算总体情况</a:t>
            </a:r>
            <a:endParaRPr lang="zh-CN" altLang="en-US" b="1"/>
          </a:p>
        </c:rich>
      </c:tx>
      <c:layout/>
      <c:overlay val="0"/>
      <c:spPr>
        <a:noFill/>
        <a:ln>
          <a:noFill/>
        </a:ln>
        <a:effectLst/>
      </c:spPr>
    </c:title>
    <c:autoTitleDeleted val="0"/>
    <c:plotArea>
      <c:layout/>
      <c:barChart>
        <c:barDir val="bar"/>
        <c:grouping val="clustered"/>
        <c:varyColors val="0"/>
        <c:ser>
          <c:idx val="0"/>
          <c:order val="0"/>
          <c:tx>
            <c:strRef>
              <c:f>Sheet1!$B$1</c:f>
              <c:strCache>
                <c:ptCount val="1"/>
                <c:pt idx="0">
                  <c:v>收入预算</c:v>
                </c:pt>
              </c:strCache>
            </c:strRef>
          </c:tx>
          <c:invertIfNegative val="0"/>
          <c:dPt>
            <c:idx val="0"/>
            <c:invertIfNegative val="0"/>
            <c:bubble3D val="0"/>
            <c:spPr>
              <a:solidFill>
                <a:schemeClr val="accent1"/>
              </a:solidFill>
              <a:ln w="19050">
                <a:solidFill>
                  <a:schemeClr val="lt1"/>
                </a:solidFill>
              </a:ln>
              <a:effectLst/>
            </c:spPr>
          </c:dPt>
          <c:dPt>
            <c:idx val="1"/>
            <c:invertIfNegative val="0"/>
            <c:bubble3D val="0"/>
            <c:spPr>
              <a:solidFill>
                <a:schemeClr val="accent2"/>
              </a:solidFill>
              <a:ln w="19050">
                <a:solidFill>
                  <a:schemeClr val="lt1"/>
                </a:solidFill>
              </a:ln>
              <a:effectLst/>
            </c:spPr>
          </c:dPt>
          <c:dPt>
            <c:idx val="2"/>
            <c:invertIfNegative val="0"/>
            <c:bubble3D val="0"/>
            <c:spPr>
              <a:solidFill>
                <a:schemeClr val="accent3"/>
              </a:solidFill>
              <a:ln w="19050">
                <a:solidFill>
                  <a:schemeClr val="lt1"/>
                </a:solidFill>
              </a:ln>
              <a:effectLst/>
            </c:spPr>
          </c:dPt>
          <c:dPt>
            <c:idx val="3"/>
            <c:invertIfNegative val="0"/>
            <c:bubble3D val="0"/>
            <c:spPr>
              <a:solidFill>
                <a:schemeClr val="accent4"/>
              </a:solidFill>
              <a:ln w="19050">
                <a:solidFill>
                  <a:schemeClr val="lt1"/>
                </a:solidFill>
              </a:ln>
              <a:effectLst/>
            </c:spPr>
          </c:dPt>
          <c:dPt>
            <c:idx val="4"/>
            <c:invertIfNegative val="0"/>
            <c:bubble3D val="0"/>
            <c:spPr>
              <a:solidFill>
                <a:schemeClr val="accent5"/>
              </a:solidFill>
              <a:ln w="19050">
                <a:solidFill>
                  <a:schemeClr val="lt1"/>
                </a:solidFill>
              </a:ln>
              <a:effectLst/>
            </c:spPr>
          </c:dPt>
          <c:dPt>
            <c:idx val="5"/>
            <c:invertIfNegative val="0"/>
            <c:bubble3D val="0"/>
            <c:spPr>
              <a:solidFill>
                <a:schemeClr val="accent6"/>
              </a:solidFill>
              <a:ln w="19050">
                <a:solidFill>
                  <a:schemeClr val="lt1"/>
                </a:solidFill>
              </a:ln>
              <a:effectLst/>
            </c:spPr>
          </c:dPt>
          <c:dPt>
            <c:idx val="6"/>
            <c:invertIfNegative val="0"/>
            <c:bubble3D val="0"/>
            <c:spPr>
              <a:solidFill>
                <a:schemeClr val="accent1">
                  <a:lumMod val="60000"/>
                </a:schemeClr>
              </a:solidFill>
              <a:ln w="19050">
                <a:solidFill>
                  <a:schemeClr val="lt1"/>
                </a:solidFill>
              </a:ln>
              <a:effectLst/>
            </c:spPr>
          </c:dPt>
          <c:dPt>
            <c:idx val="7"/>
            <c:invertIfNegative val="0"/>
            <c:bubble3D val="0"/>
            <c:spPr>
              <a:solidFill>
                <a:schemeClr val="accent2">
                  <a:lumMod val="60000"/>
                </a:schemeClr>
              </a:solidFill>
              <a:ln w="19050">
                <a:solidFill>
                  <a:schemeClr val="lt1"/>
                </a:solidFill>
              </a:ln>
              <a:effectLst/>
            </c:spPr>
          </c:dPt>
          <c:dPt>
            <c:idx val="8"/>
            <c:invertIfNegative val="0"/>
            <c:bubble3D val="0"/>
            <c:spPr>
              <a:solidFill>
                <a:schemeClr val="accent3">
                  <a:lumMod val="60000"/>
                </a:schemeClr>
              </a:solidFill>
              <a:ln w="19050">
                <a:solidFill>
                  <a:schemeClr val="lt1"/>
                </a:solidFill>
              </a:ln>
              <a:effectLst/>
            </c:spPr>
          </c:dPt>
          <c:dPt>
            <c:idx val="9"/>
            <c:invertIfNegative val="0"/>
            <c:bubble3D val="0"/>
            <c:spPr>
              <a:solidFill>
                <a:schemeClr val="accent4">
                  <a:lumMod val="6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Sheet1!$A$2:$A$11</c:f>
              <c:strCache>
                <c:ptCount val="10"/>
                <c:pt idx="0">
                  <c:v>一般公共预算收入</c:v>
                </c:pt>
                <c:pt idx="1">
                  <c:v>政府性基金收入</c:v>
                </c:pt>
                <c:pt idx="2">
                  <c:v>国有资本经营收入</c:v>
                </c:pt>
                <c:pt idx="3">
                  <c:v>财政专户管理资金收入</c:v>
                </c:pt>
                <c:pt idx="4">
                  <c:v>事业收入</c:v>
                </c:pt>
                <c:pt idx="5">
                  <c:v>事业单位经营收入</c:v>
                </c:pt>
                <c:pt idx="6">
                  <c:v>上级补助收入</c:v>
                </c:pt>
                <c:pt idx="7">
                  <c:v>附属单位上缴收入</c:v>
                </c:pt>
                <c:pt idx="8">
                  <c:v>其他收入</c:v>
                </c:pt>
                <c:pt idx="9">
                  <c:v>上年结转结余</c:v>
                </c:pt>
              </c:strCache>
            </c:strRef>
          </c:cat>
          <c:val>
            <c:numRef>
              <c:f>Sheet1!$B$2:$B$11</c:f>
              <c:numCache>
                <c:formatCode>General</c:formatCode>
                <c:ptCount val="10"/>
                <c:pt idx="0">
                  <c:v>73.47</c:v>
                </c:pt>
              </c:numCache>
            </c:numRef>
          </c:val>
        </c:ser>
        <c:dLbls>
          <c:showLegendKey val="0"/>
          <c:showVal val="0"/>
          <c:showCatName val="0"/>
          <c:showSerName val="0"/>
          <c:showPercent val="0"/>
          <c:showBubbleSize val="0"/>
        </c:dLbls>
        <c:gapWidth val="100"/>
        <c:axId val="2127909856"/>
        <c:axId val="2127920256"/>
      </c:barChart>
      <c:catAx>
        <c:axId val="2127909856"/>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20256"/>
        <c:crosses val="autoZero"/>
        <c:auto val="1"/>
        <c:lblAlgn val="ctr"/>
        <c:lblOffset val="100"/>
        <c:noMultiLvlLbl val="0"/>
      </c:catAx>
      <c:valAx>
        <c:axId val="2127920256"/>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098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支出预算总体情况</a:t>
            </a:r>
            <a:endParaRPr lang="zh-CN" altLang="en-US" b="1"/>
          </a:p>
        </c:rich>
      </c:tx>
      <c:layout/>
      <c:overlay val="0"/>
      <c:spPr>
        <a:noFill/>
        <a:ln>
          <a:noFill/>
        </a:ln>
        <a:effectLst/>
      </c:spPr>
    </c:title>
    <c:autoTitleDeleted val="0"/>
    <c:plotArea>
      <c:layout/>
      <c:pieChart>
        <c:varyColors val="1"/>
        <c:ser>
          <c:idx val="0"/>
          <c:order val="0"/>
          <c:tx>
            <c:strRef>
              <c:f>Sheet1!$B$1</c:f>
              <c:strCache>
                <c:ptCount val="1"/>
                <c:pt idx="0">
                  <c:v>支出预算</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基本支出</c:v>
                </c:pt>
                <c:pt idx="1">
                  <c:v>项目支出</c:v>
                </c:pt>
              </c:strCache>
            </c:strRef>
          </c:cat>
          <c:val>
            <c:numRef>
              <c:f>Sheet1!$B$2:$B$3</c:f>
              <c:numCache>
                <c:formatCode>General</c:formatCode>
                <c:ptCount val="2"/>
                <c:pt idx="0">
                  <c:v>61.45</c:v>
                </c:pt>
                <c:pt idx="1">
                  <c:v>12.02</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财政拨款收支预算总体情况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68</c:v>
                </c:pt>
                <c:pt idx="1">
                  <c:v>73.47</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68</c:v>
                </c:pt>
                <c:pt idx="1">
                  <c:v>73.47</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lang="zh-CN" altLang="en-US" sz="1400"/>
              <a:t>一般公共预算支出预算情况</a:t>
            </a:r>
            <a:endParaRPr lang="zh-CN" altLang="en-US" sz="1400"/>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61.45</c:v>
                </c:pt>
                <c:pt idx="1">
                  <c:v>12.02</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a:t>一般公共预算基本支出预算情况</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一般公共预算支出预算情况</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人员经费</c:v>
                </c:pt>
                <c:pt idx="1">
                  <c:v>公用经费</c:v>
                </c:pt>
              </c:strCache>
            </c:strRef>
          </c:cat>
          <c:val>
            <c:numRef>
              <c:f>Sheet1!$B$2:$B$3</c:f>
              <c:numCache>
                <c:formatCode>General</c:formatCode>
                <c:ptCount val="2"/>
                <c:pt idx="0">
                  <c:v>58.28</c:v>
                </c:pt>
                <c:pt idx="1">
                  <c:v>3.17</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0" i="0" u="none" strike="noStrike" kern="1200" spc="0" baseline="0">
                <a:solidFill>
                  <a:schemeClr val="tx1">
                    <a:lumMod val="65000"/>
                    <a:lumOff val="35000"/>
                  </a:schemeClr>
                </a:solidFill>
                <a:latin typeface="+mn-lt"/>
                <a:ea typeface="+mn-ea"/>
                <a:cs typeface="+mn-cs"/>
              </a:defRPr>
            </a:pPr>
            <a:r>
              <a:rPr lang="zh-CN" altLang="zh-CN" sz="1400" b="1" i="0" u="none" strike="noStrike" baseline="0">
                <a:effectLst/>
              </a:rPr>
              <a:t>一般公共预算“三公”经费支出预算情况</a:t>
            </a:r>
            <a:endParaRPr lang="zh-CN" altLang="en-US" sz="1400" b="1"/>
          </a:p>
        </c:rich>
      </c:tx>
      <c:layout>
        <c:manualLayout>
          <c:xMode val="edge"/>
          <c:yMode val="edge"/>
          <c:x val="0.188538405971587"/>
          <c:y val="0.0371517027863777"/>
        </c:manualLayout>
      </c:layout>
      <c:overlay val="0"/>
      <c:spPr>
        <a:noFill/>
        <a:ln>
          <a:noFill/>
        </a:ln>
        <a:effectLst/>
      </c:spPr>
    </c:title>
    <c:autoTitleDeleted val="0"/>
    <c:plotArea>
      <c:layout>
        <c:manualLayout>
          <c:layoutTarget val="inner"/>
          <c:xMode val="edge"/>
          <c:yMode val="edge"/>
          <c:x val="0.0992776306284614"/>
          <c:y val="0.154179566563467"/>
          <c:w val="0.876041415843968"/>
          <c:h val="0.649411764705882"/>
        </c:manualLayout>
      </c:layout>
      <c:barChart>
        <c:barDir val="bar"/>
        <c:grouping val="clustered"/>
        <c:varyColors val="0"/>
        <c:ser>
          <c:idx val="0"/>
          <c:order val="0"/>
          <c:tx>
            <c:strRef>
              <c:f>Sheet1!$B$1</c:f>
              <c:strCache>
                <c:ptCount val="1"/>
                <c:pt idx="0">
                  <c:v>因公出国（境）费用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0</c:v>
                </c:pt>
                <c:pt idx="1">
                  <c:v>0</c:v>
                </c:pt>
              </c:numCache>
            </c:numRef>
          </c:val>
        </c:ser>
        <c:ser>
          <c:idx val="1"/>
          <c:order val="1"/>
          <c:tx>
            <c:strRef>
              <c:f>Sheet1!$C$1</c:f>
              <c:strCache>
                <c:ptCount val="1"/>
                <c:pt idx="0">
                  <c:v>公务接待费</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Sheet1!$C$2:$C$3</c:f>
              <c:numCache>
                <c:formatCode>General</c:formatCode>
                <c:ptCount val="2"/>
                <c:pt idx="0">
                  <c:v>1</c:v>
                </c:pt>
                <c:pt idx="1">
                  <c:v>1</c:v>
                </c:pt>
              </c:numCache>
            </c:numRef>
          </c:val>
        </c:ser>
        <c:ser>
          <c:idx val="2"/>
          <c:order val="2"/>
          <c:tx>
            <c:strRef>
              <c:f>Sheet1!$D$1</c:f>
              <c:strCache>
                <c:ptCount val="1"/>
                <c:pt idx="0">
                  <c:v>公务用车购置及运行费</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Sheet1!$D$2:$D$3</c:f>
              <c:numCache>
                <c:formatCode>General</c:formatCode>
                <c:ptCount val="2"/>
                <c:pt idx="0">
                  <c:v>0</c:v>
                </c:pt>
                <c:pt idx="1">
                  <c:v>0</c:v>
                </c:pt>
              </c:numCache>
            </c:numRef>
          </c:val>
        </c:ser>
        <c:dLbls>
          <c:showLegendKey val="0"/>
          <c:showVal val="1"/>
          <c:showCatName val="0"/>
          <c:showSerName val="0"/>
          <c:showPercent val="0"/>
          <c:showBubbleSize val="0"/>
        </c:dLbls>
        <c:gapWidth val="219"/>
        <c:axId val="408582879"/>
        <c:axId val="408594943"/>
      </c:barChart>
      <c:catAx>
        <c:axId val="40858287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94943"/>
        <c:crosses val="autoZero"/>
        <c:auto val="1"/>
        <c:lblAlgn val="ctr"/>
        <c:lblOffset val="100"/>
        <c:noMultiLvlLbl val="0"/>
      </c:catAx>
      <c:valAx>
        <c:axId val="40859494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82879"/>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2754</Words>
  <Characters>2977</Characters>
  <Lines>20</Lines>
  <Paragraphs>5</Paragraphs>
  <TotalTime>0</TotalTime>
  <ScaleCrop>false</ScaleCrop>
  <LinksUpToDate>false</LinksUpToDate>
  <CharactersWithSpaces>3006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2022-05-23T00:38:00Z</dcterms:created>
  <dc:creator>Administrator</dc:creator>
  <cp:lastModifiedBy>dodo9527</cp:lastModifiedBy>
  <dcterms:modified xsi:type="dcterms:W3CDTF">2023-03-07T14:13:54Z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2F606E965C3F47A2A23C8CF82E347772</vt:lpwstr>
  </property>
</Properties>
</file>