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eastAsia="zh-CN"/>
        </w:rPr>
        <w:t>赵集镇人民政府</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eastAsia="zh-CN"/>
        </w:rPr>
        <w:t>赵集镇人民政府</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eastAsia" w:ascii="仿宋" w:hAnsi="仿宋" w:eastAsia="仿宋" w:cs="仿宋"/>
          <w:w w:val="99"/>
          <w:sz w:val="32"/>
          <w:szCs w:val="32"/>
          <w:lang w:eastAsia="zh-CN"/>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eastAsia="zh-CN"/>
        </w:rPr>
        <w:t>赵集镇人民政府</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eastAsia="zh-CN"/>
        </w:rPr>
        <w:t>赵集镇人民政府2023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eastAsia="zh-CN"/>
        </w:rPr>
        <w:t>赵集镇人民政府</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eastAsia="zh-CN"/>
        </w:rPr>
        <w:t>赵集镇人民政府</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eastAsia="zh-CN"/>
        </w:rPr>
        <w:t>赵集镇人民政府</w:t>
      </w:r>
      <w:r>
        <w:rPr>
          <w:rFonts w:ascii="仿宋_GB2312" w:hAnsi="仿宋_GB2312" w:eastAsia="仿宋_GB2312" w:cs="仿宋_GB2312"/>
          <w:bCs/>
          <w:szCs w:val="32"/>
        </w:rPr>
        <w:t>主要职责是：</w:t>
      </w:r>
    </w:p>
    <w:p>
      <w:pPr>
        <w:pStyle w:val="3"/>
        <w:numPr>
          <w:ilvl w:val="0"/>
          <w:numId w:val="0"/>
        </w:numPr>
        <w:tabs>
          <w:tab w:val="left" w:pos="880"/>
        </w:tabs>
        <w:kinsoku w:val="0"/>
        <w:overflowPunct w:val="0"/>
        <w:spacing w:before="0" w:beforeLines="0" w:afterLines="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、执行本级人民代表大会的决议和上级国家行政机关的决定和命令，发布决定和命令。</w:t>
      </w:r>
    </w:p>
    <w:p>
      <w:pPr>
        <w:spacing w:line="560" w:lineRule="exact"/>
        <w:ind w:firstLine="640" w:firstLineChars="200"/>
        <w:jc w:val="lef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、执行本行政区域内的经济和社会发展计划、预算，管理本行政区域内的经济、教育、科学、文化、卫生、体育事业和财政、民政、公安、司法行政、计划生育等行政工作。</w:t>
      </w:r>
    </w:p>
    <w:p>
      <w:pPr>
        <w:spacing w:line="560" w:lineRule="exact"/>
        <w:ind w:firstLine="640" w:firstLineChars="200"/>
        <w:jc w:val="lef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、保护社会主义的全民所有的财产和劳动群众集体所有的财产，保护公民私人所有的合法财产，维护社会秩序，保障公民的人身权利、民主权利和其他权利;</w:t>
      </w:r>
    </w:p>
    <w:p>
      <w:pPr>
        <w:spacing w:line="560" w:lineRule="exact"/>
        <w:ind w:firstLine="640" w:firstLineChars="200"/>
        <w:jc w:val="lef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、保护各种经济组织的合法权益;</w:t>
      </w:r>
    </w:p>
    <w:p>
      <w:pPr>
        <w:widowControl/>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、办理县委、县政府及上级交办的其他事项。</w:t>
      </w:r>
    </w:p>
    <w:p>
      <w:pPr>
        <w:widowControl/>
        <w:spacing w:line="560" w:lineRule="exact"/>
        <w:ind w:firstLine="640" w:firstLineChars="200"/>
        <w:jc w:val="left"/>
        <w:rPr>
          <w:rFonts w:hint="eastAsia" w:ascii="仿宋_GB2312" w:hAnsi="仿宋_GB2312" w:eastAsia="仿宋_GB2312" w:cs="仿宋_GB2312"/>
          <w:sz w:val="32"/>
          <w:szCs w:val="32"/>
        </w:rPr>
      </w:pPr>
    </w:p>
    <w:p>
      <w:pPr>
        <w:kinsoku w:val="0"/>
        <w:overflowPunct w:val="0"/>
        <w:adjustRightInd w:val="0"/>
        <w:snapToGrid w:val="0"/>
        <w:spacing w:line="360" w:lineRule="auto"/>
        <w:ind w:right="51" w:firstLine="321" w:firstLineChars="100"/>
        <w:jc w:val="left"/>
        <w:rPr>
          <w:rFonts w:hint="eastAsia" w:ascii="黑体" w:hAnsi="黑体" w:eastAsia="黑体" w:cs="黑体"/>
          <w:b/>
          <w:bCs/>
          <w:color w:val="000000"/>
          <w:sz w:val="32"/>
          <w:szCs w:val="32"/>
        </w:rPr>
      </w:pPr>
      <w:r>
        <w:rPr>
          <w:rFonts w:hint="eastAsia" w:ascii="仿宋_GB2312" w:hAnsi="仿宋_GB2312" w:eastAsia="仿宋_GB2312" w:cs="仿宋_GB2312"/>
          <w:b/>
          <w:bCs/>
          <w:color w:val="000000"/>
          <w:sz w:val="32"/>
          <w:szCs w:val="32"/>
        </w:rPr>
        <w:t>二、</w:t>
      </w:r>
      <w:r>
        <w:rPr>
          <w:rFonts w:hint="eastAsia" w:ascii="黑体" w:hAnsi="黑体" w:eastAsia="黑体" w:cs="黑体"/>
          <w:bCs/>
          <w:sz w:val="32"/>
          <w:szCs w:val="32"/>
          <w:lang w:val="en-US" w:eastAsia="zh-CN"/>
        </w:rPr>
        <w:t>赵集镇人民政府</w:t>
      </w:r>
      <w:r>
        <w:rPr>
          <w:rFonts w:hint="eastAsia" w:ascii="黑体" w:hAnsi="黑体" w:eastAsia="黑体" w:cs="黑体"/>
          <w:b/>
          <w:bCs/>
          <w:color w:val="000000"/>
          <w:sz w:val="32"/>
          <w:szCs w:val="32"/>
        </w:rPr>
        <w:t>内设机构设置情况</w:t>
      </w:r>
      <w:bookmarkStart w:id="0" w:name="_GoBack"/>
      <w:bookmarkEnd w:id="0"/>
    </w:p>
    <w:p>
      <w:pPr>
        <w:kinsoku w:val="0"/>
        <w:overflowPunct w:val="0"/>
        <w:adjustRightInd w:val="0"/>
        <w:snapToGrid w:val="0"/>
        <w:spacing w:line="360" w:lineRule="auto"/>
        <w:ind w:right="51" w:firstLine="320" w:firstLineChars="100"/>
        <w:jc w:val="left"/>
        <w:rPr>
          <w:rFonts w:hint="eastAsia" w:ascii="仿宋" w:hAnsi="仿宋" w:eastAsia="仿宋" w:cs="仿宋"/>
          <w:b w:val="0"/>
          <w:bCs/>
          <w:sz w:val="32"/>
          <w:szCs w:val="32"/>
        </w:rPr>
      </w:pPr>
      <w:r>
        <w:rPr>
          <w:rFonts w:hint="eastAsia" w:ascii="仿宋_GB2312" w:hAnsi="仿宋_GB2312" w:eastAsia="仿宋_GB2312" w:cs="仿宋_GB2312"/>
          <w:bCs/>
          <w:sz w:val="32"/>
          <w:szCs w:val="32"/>
          <w:lang w:val="en-US" w:eastAsia="zh-CN"/>
        </w:rPr>
        <w:t>赵集镇人民政府</w:t>
      </w:r>
      <w:r>
        <w:rPr>
          <w:rFonts w:hint="eastAsia" w:ascii="仿宋_GB2312" w:hAnsi="仿宋_GB2312" w:eastAsia="仿宋_GB2312" w:cs="仿宋_GB2312"/>
          <w:bCs/>
          <w:sz w:val="32"/>
          <w:szCs w:val="32"/>
          <w:lang w:eastAsia="zh-CN"/>
        </w:rPr>
        <w:t>现有赵集镇党政办、</w:t>
      </w:r>
      <w:r>
        <w:rPr>
          <w:rFonts w:hint="eastAsia" w:ascii="仿宋_GB2312" w:hAnsi="仿宋_GB2312" w:eastAsia="仿宋_GB2312" w:cs="仿宋_GB2312"/>
          <w:bCs/>
          <w:sz w:val="32"/>
          <w:szCs w:val="32"/>
          <w:lang w:val="en-US" w:eastAsia="zh-CN"/>
        </w:rPr>
        <w:t>赵集镇党政便民服务中心、赵集镇社会事务服务中心、赵集镇城乡建设和生态环境保护中心、赵集镇综合行政执法大队、赵集镇农业农村服务中心、赵集镇退役军人服务中心等7个内设机构，无所属二级机构。</w:t>
      </w:r>
    </w:p>
    <w:p>
      <w:pPr>
        <w:widowControl/>
        <w:spacing w:line="560" w:lineRule="exact"/>
        <w:ind w:firstLine="640" w:firstLineChars="200"/>
        <w:jc w:val="left"/>
        <w:rPr>
          <w:rFonts w:hint="default" w:ascii="仿宋_GB2312" w:hAnsi="仿宋_GB2312" w:eastAsia="仿宋_GB2312" w:cs="仿宋_GB2312"/>
          <w:sz w:val="32"/>
          <w:szCs w:val="32"/>
        </w:rPr>
      </w:pPr>
    </w:p>
    <w:p>
      <w:pPr>
        <w:pStyle w:val="3"/>
        <w:numPr>
          <w:ilvl w:val="0"/>
          <w:numId w:val="0"/>
        </w:numPr>
        <w:tabs>
          <w:tab w:val="left" w:pos="880"/>
        </w:tabs>
        <w:kinsoku w:val="0"/>
        <w:overflowPunct w:val="0"/>
        <w:spacing w:before="0"/>
        <w:ind w:leftChars="200" w:firstLine="320" w:firstLineChars="10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hint="eastAsia" w:ascii="黑体" w:hAnsi="黑体" w:eastAsia="黑体" w:cs="黑体"/>
          <w:bCs/>
          <w:szCs w:val="32"/>
          <w:lang w:eastAsia="zh-CN"/>
        </w:rPr>
        <w:t>赵集镇人民政府</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 w:hAnsi="仿宋" w:eastAsia="仿宋" w:cs="仿宋"/>
          <w:b w:val="0"/>
          <w:bCs/>
          <w:sz w:val="32"/>
          <w:szCs w:val="32"/>
          <w:lang w:val="en-US" w:eastAsia="zh-CN"/>
        </w:rPr>
        <w:t>淮滨县赵集镇人民政府2023年部门预算包括机关本级预算，</w:t>
      </w:r>
      <w:r>
        <w:rPr>
          <w:rFonts w:hint="eastAsia" w:ascii="仿宋_GB2312" w:hAnsi="仿宋_GB2312" w:eastAsia="仿宋_GB2312" w:cs="仿宋_GB2312"/>
          <w:bCs/>
          <w:sz w:val="32"/>
          <w:szCs w:val="32"/>
        </w:rPr>
        <w:t>本单位无所属二级机构预算。</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赵集镇人民政府</w:t>
      </w:r>
      <w:r>
        <w:rPr>
          <w:rFonts w:hint="eastAsia" w:ascii="仿宋_GB2312" w:hAnsi="仿宋_GB2312" w:eastAsia="仿宋_GB2312" w:cs="仿宋_GB2312"/>
          <w:bCs/>
          <w:sz w:val="32"/>
          <w:szCs w:val="32"/>
        </w:rPr>
        <w:t>本级预算包括：</w:t>
      </w:r>
      <w:r>
        <w:rPr>
          <w:rFonts w:hint="eastAsia" w:ascii="仿宋_GB2312" w:hAnsi="仿宋_GB2312" w:eastAsia="仿宋_GB2312" w:cs="仿宋_GB2312"/>
          <w:bCs/>
          <w:sz w:val="32"/>
          <w:szCs w:val="32"/>
          <w:lang w:val="en-US" w:eastAsia="zh-CN"/>
        </w:rPr>
        <w:t>赵集镇党政办、赵集镇党政便民服务中心、赵集镇社会事务服务中心、赵集镇城乡建设和生态环境保护中心、赵集镇综合行政执法大队、赵集镇农业农村服务中心、赵集镇退役军人服务中心</w:t>
      </w:r>
      <w:r>
        <w:rPr>
          <w:rFonts w:hint="eastAsia" w:ascii="仿宋_GB2312" w:hAnsi="仿宋_GB2312" w:eastAsia="仿宋_GB2312" w:cs="仿宋_GB2312"/>
          <w:bCs/>
          <w:sz w:val="32"/>
          <w:szCs w:val="32"/>
        </w:rPr>
        <w:t>的预算。</w:t>
      </w: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eastAsia="zh-CN"/>
        </w:rPr>
        <w:t>赵集镇人民政府2023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赵集镇人民政府2023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1315.79</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1315.79</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309.32</w:t>
      </w:r>
      <w:r>
        <w:rPr>
          <w:rFonts w:hint="eastAsia" w:ascii="仿宋" w:hAnsi="仿宋" w:eastAsia="仿宋" w:cs="仿宋"/>
          <w:sz w:val="32"/>
          <w:szCs w:val="32"/>
        </w:rPr>
        <w:t>万元，增长</w:t>
      </w:r>
      <w:r>
        <w:rPr>
          <w:rFonts w:hint="eastAsia" w:ascii="仿宋" w:hAnsi="仿宋" w:eastAsia="仿宋" w:cs="仿宋"/>
          <w:sz w:val="32"/>
          <w:szCs w:val="32"/>
          <w:lang w:val="en-US" w:eastAsia="zh-CN"/>
        </w:rPr>
        <w:t>30.73</w:t>
      </w:r>
      <w:r>
        <w:rPr>
          <w:rFonts w:hint="eastAsia" w:ascii="仿宋" w:hAnsi="仿宋" w:eastAsia="仿宋" w:cs="仿宋"/>
          <w:sz w:val="32"/>
          <w:szCs w:val="32"/>
        </w:rPr>
        <w:t>%。主要原因是</w:t>
      </w:r>
      <w:r>
        <w:rPr>
          <w:rFonts w:hint="eastAsia" w:ascii="仿宋" w:hAnsi="仿宋" w:eastAsia="仿宋" w:cs="仿宋"/>
          <w:sz w:val="32"/>
          <w:szCs w:val="32"/>
          <w:lang w:eastAsia="zh-CN"/>
        </w:rPr>
        <w:t>人员</w:t>
      </w:r>
      <w:r>
        <w:rPr>
          <w:rFonts w:hint="eastAsia" w:ascii="仿宋" w:hAnsi="仿宋" w:eastAsia="仿宋" w:cs="仿宋"/>
          <w:sz w:val="32"/>
          <w:szCs w:val="32"/>
          <w:lang w:val="en-US" w:eastAsia="zh-CN"/>
        </w:rPr>
        <w:t>经费支出</w:t>
      </w:r>
      <w:r>
        <w:rPr>
          <w:rFonts w:hint="eastAsia" w:ascii="仿宋" w:hAnsi="仿宋" w:eastAsia="仿宋" w:cs="仿宋"/>
          <w:sz w:val="32"/>
          <w:szCs w:val="32"/>
          <w:lang w:eastAsia="zh-CN"/>
        </w:rPr>
        <w:t>和项目所需支出增加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赵集镇人民政府2023</w:t>
      </w:r>
      <w:r>
        <w:rPr>
          <w:rFonts w:hint="eastAsia" w:ascii="仿宋" w:hAnsi="仿宋" w:eastAsia="仿宋" w:cs="仿宋"/>
          <w:sz w:val="32"/>
        </w:rPr>
        <w:t>年收入合计</w:t>
      </w:r>
      <w:r>
        <w:rPr>
          <w:rFonts w:hint="eastAsia" w:ascii="仿宋" w:hAnsi="仿宋" w:eastAsia="仿宋" w:cs="仿宋"/>
          <w:sz w:val="32"/>
          <w:szCs w:val="32"/>
          <w:lang w:val="en-US" w:eastAsia="zh-CN"/>
        </w:rPr>
        <w:t>1315.79</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1315.79</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赵集镇人民政府2023</w:t>
      </w:r>
      <w:r>
        <w:rPr>
          <w:rFonts w:hint="eastAsia" w:ascii="仿宋" w:hAnsi="仿宋" w:eastAsia="仿宋" w:cs="仿宋"/>
          <w:sz w:val="32"/>
        </w:rPr>
        <w:t>年支出合计</w:t>
      </w:r>
      <w:r>
        <w:rPr>
          <w:rFonts w:hint="eastAsia" w:ascii="仿宋" w:hAnsi="仿宋" w:eastAsia="仿宋" w:cs="仿宋"/>
          <w:sz w:val="32"/>
          <w:szCs w:val="32"/>
          <w:lang w:val="en-US" w:eastAsia="zh-CN"/>
        </w:rPr>
        <w:t>1315.79</w:t>
      </w:r>
      <w:r>
        <w:rPr>
          <w:rFonts w:hint="eastAsia" w:ascii="仿宋" w:hAnsi="仿宋" w:eastAsia="仿宋" w:cs="仿宋"/>
          <w:sz w:val="32"/>
        </w:rPr>
        <w:t>万元，其中：基本支出</w:t>
      </w:r>
      <w:r>
        <w:rPr>
          <w:rFonts w:hint="eastAsia" w:ascii="仿宋" w:hAnsi="仿宋" w:eastAsia="仿宋" w:cs="仿宋"/>
          <w:sz w:val="32"/>
          <w:lang w:val="en-US" w:eastAsia="zh-CN"/>
        </w:rPr>
        <w:t>1103.18</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%；项目支出</w:t>
      </w:r>
      <w:r>
        <w:rPr>
          <w:rFonts w:hint="eastAsia" w:ascii="仿宋" w:hAnsi="仿宋" w:eastAsia="仿宋" w:cs="仿宋"/>
          <w:sz w:val="32"/>
          <w:lang w:val="en-US" w:eastAsia="zh-CN"/>
        </w:rPr>
        <w:t>212.613</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赵集镇人民政府2023</w:t>
      </w:r>
      <w:r>
        <w:rPr>
          <w:rFonts w:hint="eastAsia" w:ascii="仿宋" w:hAnsi="仿宋" w:eastAsia="仿宋" w:cs="仿宋"/>
          <w:sz w:val="32"/>
        </w:rPr>
        <w:t>年一般公共预算收支预算</w:t>
      </w:r>
      <w:r>
        <w:rPr>
          <w:rFonts w:hint="eastAsia" w:ascii="仿宋" w:hAnsi="仿宋" w:eastAsia="仿宋" w:cs="仿宋"/>
          <w:sz w:val="32"/>
          <w:szCs w:val="32"/>
          <w:lang w:val="en-US" w:eastAsia="zh-CN"/>
        </w:rPr>
        <w:t>1315.79</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年相比，一般公共预算收支预算增加</w:t>
      </w:r>
      <w:r>
        <w:rPr>
          <w:rFonts w:hint="eastAsia" w:ascii="仿宋" w:hAnsi="仿宋" w:eastAsia="仿宋" w:cs="仿宋"/>
          <w:sz w:val="32"/>
          <w:szCs w:val="32"/>
          <w:lang w:val="en-US" w:eastAsia="zh-CN"/>
        </w:rPr>
        <w:t>309.32</w:t>
      </w:r>
      <w:r>
        <w:rPr>
          <w:rFonts w:hint="eastAsia" w:ascii="仿宋" w:hAnsi="仿宋" w:eastAsia="仿宋" w:cs="仿宋"/>
          <w:sz w:val="32"/>
        </w:rPr>
        <w:t>万元，增长</w:t>
      </w:r>
      <w:r>
        <w:rPr>
          <w:rFonts w:hint="eastAsia" w:ascii="仿宋" w:hAnsi="仿宋" w:eastAsia="仿宋" w:cs="仿宋"/>
          <w:sz w:val="32"/>
          <w:lang w:val="en-US" w:eastAsia="zh-CN"/>
        </w:rPr>
        <w:t>30.73</w:t>
      </w:r>
      <w:r>
        <w:rPr>
          <w:rFonts w:hint="eastAsia" w:ascii="仿宋" w:hAnsi="仿宋" w:eastAsia="仿宋" w:cs="仿宋"/>
          <w:sz w:val="32"/>
        </w:rPr>
        <w:t>%，主要原因是</w:t>
      </w:r>
      <w:r>
        <w:rPr>
          <w:rFonts w:hint="eastAsia" w:ascii="仿宋" w:hAnsi="仿宋" w:eastAsia="仿宋" w:cs="仿宋"/>
          <w:sz w:val="32"/>
          <w:szCs w:val="32"/>
          <w:lang w:eastAsia="zh-CN"/>
        </w:rPr>
        <w:t>人员</w:t>
      </w:r>
      <w:r>
        <w:rPr>
          <w:rFonts w:hint="eastAsia" w:ascii="仿宋" w:hAnsi="仿宋" w:eastAsia="仿宋" w:cs="仿宋"/>
          <w:sz w:val="32"/>
          <w:szCs w:val="32"/>
          <w:lang w:val="en-US" w:eastAsia="zh-CN"/>
        </w:rPr>
        <w:t>经费支出</w:t>
      </w:r>
      <w:r>
        <w:rPr>
          <w:rFonts w:hint="eastAsia" w:ascii="仿宋" w:hAnsi="仿宋" w:eastAsia="仿宋" w:cs="仿宋"/>
          <w:sz w:val="32"/>
          <w:szCs w:val="32"/>
          <w:lang w:eastAsia="zh-CN"/>
        </w:rPr>
        <w:t>和项目所需支出增加</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赵集镇人民政府2023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1315.79</w:t>
      </w:r>
      <w:r>
        <w:rPr>
          <w:rFonts w:hint="eastAsia" w:ascii="仿宋" w:hAnsi="仿宋" w:eastAsia="仿宋" w:cs="仿宋"/>
          <w:sz w:val="32"/>
        </w:rPr>
        <w:t>万元。基本支出</w:t>
      </w:r>
      <w:r>
        <w:rPr>
          <w:rFonts w:hint="eastAsia" w:ascii="仿宋" w:hAnsi="仿宋" w:eastAsia="仿宋" w:cs="仿宋"/>
          <w:sz w:val="32"/>
          <w:lang w:val="en-US" w:eastAsia="zh-CN"/>
        </w:rPr>
        <w:t>1103.18</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%；项目支出</w:t>
      </w:r>
      <w:r>
        <w:rPr>
          <w:rFonts w:hint="eastAsia" w:ascii="仿宋" w:hAnsi="仿宋" w:eastAsia="仿宋" w:cs="仿宋"/>
          <w:sz w:val="32"/>
          <w:lang w:val="en-US" w:eastAsia="zh-CN"/>
        </w:rPr>
        <w:t>212.613</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color w:val="000000"/>
          <w:sz w:val="32"/>
          <w:szCs w:val="32"/>
          <w:lang w:eastAsia="zh-CN"/>
        </w:rPr>
        <w:t>赵集镇人民政府2023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1103.18</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1079.46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98</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23.72</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赵集镇人民政府2023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10.95</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7.87</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3.08</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3.08</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40</w:t>
      </w:r>
      <w:r>
        <w:rPr>
          <w:rFonts w:hint="eastAsia" w:ascii="仿宋" w:hAnsi="仿宋" w:eastAsia="仿宋" w:cs="仿宋"/>
          <w:sz w:val="32"/>
        </w:rPr>
        <w:t>万元，</w:t>
      </w:r>
      <w:r>
        <w:rPr>
          <w:rFonts w:hint="eastAsia" w:ascii="仿宋" w:hAnsi="仿宋" w:eastAsia="仿宋" w:cs="仿宋"/>
          <w:sz w:val="32"/>
          <w:lang w:val="en-US" w:eastAsia="zh-CN"/>
        </w:rPr>
        <w:t>比2022年增加了7.5万元，上涨了23%，主要原因是福利费和印刷费较上年有所增长，我单位</w:t>
      </w:r>
      <w:r>
        <w:rPr>
          <w:rFonts w:hint="eastAsia" w:ascii="仿宋" w:hAnsi="仿宋" w:eastAsia="仿宋" w:cs="仿宋"/>
          <w:sz w:val="32"/>
        </w:rPr>
        <w:t>机关运行经费支出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1315.79</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4个，金额为212.6万元。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1</w:t>
      </w:r>
      <w:r>
        <w:rPr>
          <w:rFonts w:hint="eastAsia" w:ascii="仿宋" w:hAnsi="仿宋" w:eastAsia="仿宋" w:cs="仿宋"/>
          <w:sz w:val="32"/>
        </w:rPr>
        <w:t>辆，其中：一般公务用车</w:t>
      </w:r>
      <w:r>
        <w:rPr>
          <w:rFonts w:hint="eastAsia" w:ascii="仿宋" w:hAnsi="仿宋" w:eastAsia="仿宋" w:cs="仿宋"/>
          <w:sz w:val="32"/>
          <w:lang w:val="en-US" w:eastAsia="zh-CN"/>
        </w:rPr>
        <w:t>1</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黑体" w:hAnsi="黑体" w:eastAsia="黑体"/>
          <w:b/>
          <w:bCs/>
          <w:sz w:val="36"/>
          <w:szCs w:val="36"/>
        </w:rPr>
      </w:pPr>
      <w:r>
        <w:rPr>
          <w:rFonts w:hint="eastAsia" w:ascii="仿宋" w:hAnsi="仿宋" w:eastAsia="仿宋" w:cs="仿宋"/>
          <w:sz w:val="32"/>
        </w:rPr>
        <w:t>我单位</w:t>
      </w:r>
      <w:r>
        <w:rPr>
          <w:rFonts w:hint="eastAsia" w:ascii="仿宋" w:hAnsi="仿宋" w:eastAsia="仿宋" w:cs="仿宋"/>
          <w:sz w:val="32"/>
          <w:lang w:val="en-US" w:eastAsia="zh-CN"/>
        </w:rPr>
        <w:t>2023年无</w:t>
      </w:r>
      <w:r>
        <w:rPr>
          <w:rFonts w:hint="eastAsia" w:ascii="仿宋" w:hAnsi="仿宋" w:eastAsia="仿宋" w:cs="仿宋"/>
          <w:sz w:val="32"/>
        </w:rPr>
        <w:t>负责管理的专项转移支付项目</w:t>
      </w:r>
      <w:r>
        <w:rPr>
          <w:rFonts w:hint="eastAsia" w:ascii="仿宋" w:hAnsi="仿宋" w:eastAsia="仿宋" w:cs="仿宋"/>
          <w:sz w:val="32"/>
          <w:lang w:eastAsia="zh-CN"/>
        </w:rPr>
        <w:t>。</w:t>
      </w: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hint="eastAsia"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附件：淮滨县</w:t>
      </w:r>
      <w:r>
        <w:rPr>
          <w:rFonts w:hint="eastAsia" w:ascii="黑体" w:hAnsi="黑体" w:eastAsia="黑体" w:cs="黑体"/>
          <w:sz w:val="32"/>
          <w:lang w:eastAsia="zh-CN"/>
        </w:rPr>
        <w:t>赵集镇人民政府2023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9ae8e7de-0043-4efd-8a76-12cc73e637c2"/>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2661148"/>
    <w:rsid w:val="037B79F7"/>
    <w:rsid w:val="041D2A27"/>
    <w:rsid w:val="05377B18"/>
    <w:rsid w:val="06440A7A"/>
    <w:rsid w:val="071D4AEC"/>
    <w:rsid w:val="084542FA"/>
    <w:rsid w:val="0A6251B2"/>
    <w:rsid w:val="0D0F4ED6"/>
    <w:rsid w:val="0D513137"/>
    <w:rsid w:val="10602789"/>
    <w:rsid w:val="11147777"/>
    <w:rsid w:val="123258EF"/>
    <w:rsid w:val="12EF1A32"/>
    <w:rsid w:val="13FA2BC4"/>
    <w:rsid w:val="144A1E7D"/>
    <w:rsid w:val="15F07B94"/>
    <w:rsid w:val="173B6758"/>
    <w:rsid w:val="183C0276"/>
    <w:rsid w:val="1875014D"/>
    <w:rsid w:val="191C5F4B"/>
    <w:rsid w:val="1B351FAC"/>
    <w:rsid w:val="1C6A455C"/>
    <w:rsid w:val="1CA53161"/>
    <w:rsid w:val="1D0460DA"/>
    <w:rsid w:val="1D2E3157"/>
    <w:rsid w:val="1EFB0CBC"/>
    <w:rsid w:val="1F046865"/>
    <w:rsid w:val="1FE67D19"/>
    <w:rsid w:val="228003BD"/>
    <w:rsid w:val="228C104B"/>
    <w:rsid w:val="246B28E3"/>
    <w:rsid w:val="24DA1A42"/>
    <w:rsid w:val="2627070C"/>
    <w:rsid w:val="26E4459A"/>
    <w:rsid w:val="274F7F6E"/>
    <w:rsid w:val="279A1B15"/>
    <w:rsid w:val="27A42993"/>
    <w:rsid w:val="28196722"/>
    <w:rsid w:val="28447CD2"/>
    <w:rsid w:val="2AA67AA4"/>
    <w:rsid w:val="2AA8279A"/>
    <w:rsid w:val="2ACE5F14"/>
    <w:rsid w:val="2B811BD2"/>
    <w:rsid w:val="2BE86392"/>
    <w:rsid w:val="2C081B10"/>
    <w:rsid w:val="2D4A0B6E"/>
    <w:rsid w:val="2D654E6D"/>
    <w:rsid w:val="2D72304D"/>
    <w:rsid w:val="2F072B71"/>
    <w:rsid w:val="2F8530AA"/>
    <w:rsid w:val="31C7588E"/>
    <w:rsid w:val="32476D3D"/>
    <w:rsid w:val="33ED121E"/>
    <w:rsid w:val="3402116D"/>
    <w:rsid w:val="34030A42"/>
    <w:rsid w:val="34E010E6"/>
    <w:rsid w:val="358856A2"/>
    <w:rsid w:val="35CF1AB6"/>
    <w:rsid w:val="3699743B"/>
    <w:rsid w:val="38237904"/>
    <w:rsid w:val="382805F8"/>
    <w:rsid w:val="3872263A"/>
    <w:rsid w:val="39D84127"/>
    <w:rsid w:val="3A2B0CF2"/>
    <w:rsid w:val="3A865F28"/>
    <w:rsid w:val="3C1F6635"/>
    <w:rsid w:val="3D2F666F"/>
    <w:rsid w:val="3E5A6C85"/>
    <w:rsid w:val="417336E8"/>
    <w:rsid w:val="4199593E"/>
    <w:rsid w:val="419D0727"/>
    <w:rsid w:val="41FF59D4"/>
    <w:rsid w:val="43572B58"/>
    <w:rsid w:val="448337C8"/>
    <w:rsid w:val="45554E75"/>
    <w:rsid w:val="456A4DC4"/>
    <w:rsid w:val="457F571D"/>
    <w:rsid w:val="469D4D26"/>
    <w:rsid w:val="46D01A4F"/>
    <w:rsid w:val="483D40CA"/>
    <w:rsid w:val="4B86222C"/>
    <w:rsid w:val="4BBC3BEF"/>
    <w:rsid w:val="4CC72AFC"/>
    <w:rsid w:val="4E10402F"/>
    <w:rsid w:val="4E1E378C"/>
    <w:rsid w:val="4EF0257C"/>
    <w:rsid w:val="4EF21C92"/>
    <w:rsid w:val="519E1D35"/>
    <w:rsid w:val="56AC0A9C"/>
    <w:rsid w:val="56CE6835"/>
    <w:rsid w:val="56E7105D"/>
    <w:rsid w:val="5F966B97"/>
    <w:rsid w:val="61733B1F"/>
    <w:rsid w:val="61893EF9"/>
    <w:rsid w:val="61F061FA"/>
    <w:rsid w:val="63514A76"/>
    <w:rsid w:val="647F6552"/>
    <w:rsid w:val="64BB489D"/>
    <w:rsid w:val="65921CF6"/>
    <w:rsid w:val="65DB5214"/>
    <w:rsid w:val="66A82BFF"/>
    <w:rsid w:val="67AE693B"/>
    <w:rsid w:val="67F105D6"/>
    <w:rsid w:val="69F65D89"/>
    <w:rsid w:val="6AAD2EDA"/>
    <w:rsid w:val="6C715A72"/>
    <w:rsid w:val="6D0950DE"/>
    <w:rsid w:val="6EEF1D13"/>
    <w:rsid w:val="6F2A4037"/>
    <w:rsid w:val="71BD526D"/>
    <w:rsid w:val="72F84856"/>
    <w:rsid w:val="746F63D8"/>
    <w:rsid w:val="747B790C"/>
    <w:rsid w:val="75A37A3E"/>
    <w:rsid w:val="75E31EA6"/>
    <w:rsid w:val="768A2321"/>
    <w:rsid w:val="76A9537A"/>
    <w:rsid w:val="76D0242A"/>
    <w:rsid w:val="791401EC"/>
    <w:rsid w:val="7925696F"/>
    <w:rsid w:val="792702FB"/>
    <w:rsid w:val="7B6C0247"/>
    <w:rsid w:val="7CA34823"/>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1006.47</c:v>
                </c:pt>
                <c:pt idx="1">
                  <c:v>1315.79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1006.47</c:v>
                </c:pt>
                <c:pt idx="1">
                  <c:v>1315.79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1315.79</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基本支出</a:t>
                    </a:r>
                  </a:p>
                  <a:p>
                    <a:pPr defTabSz="914400">
                      <a:defRPr lang="zh-CN" sz="1000" b="0" i="0" u="none" strike="noStrike" kern="1200" baseline="0">
                        <a:solidFill>
                          <a:schemeClr val="tx1"/>
                        </a:solidFill>
                        <a:latin typeface="+mn-lt"/>
                        <a:ea typeface="+mn-ea"/>
                        <a:cs typeface="+mn-cs"/>
                      </a:defRPr>
                    </a:pPr>
                    <a:r>
                      <a:rPr lang="en-US" altLang="zh-CN"/>
                      <a:t>84</a:t>
                    </a:r>
                    <a:r>
                      <a:t>%</a:t>
                    </a:r>
                  </a:p>
                </c:rich>
              </c:tx>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项目支出</a:t>
                    </a:r>
                  </a:p>
                  <a:p>
                    <a:pPr defTabSz="914400">
                      <a:defRPr lang="zh-CN" sz="1000" b="0" i="0" u="none" strike="noStrike" kern="1200" baseline="0">
                        <a:solidFill>
                          <a:schemeClr val="tx1"/>
                        </a:solidFill>
                        <a:latin typeface="+mn-lt"/>
                        <a:ea typeface="+mn-ea"/>
                        <a:cs typeface="+mn-cs"/>
                      </a:defRPr>
                    </a:pPr>
                    <a:r>
                      <a:rPr lang="en-US" altLang="zh-CN"/>
                      <a:t>16</a:t>
                    </a:r>
                    <a:r>
                      <a:t>%</a:t>
                    </a:r>
                  </a:p>
                </c:rich>
              </c:tx>
              <c:dLblPos val="outEnd"/>
              <c:showLegendKey val="0"/>
              <c:showVal val="0"/>
              <c:showCatName val="1"/>
              <c:showSerName val="0"/>
              <c:showPercent val="1"/>
              <c:showBubbleSize val="0"/>
              <c:separator>
</c:separator>
              <c:extLst>
                <c:ext xmlns:c15="http://schemas.microsoft.com/office/drawing/2012/chart" uri="{CE6537A1-D6FC-4f65-9D91-7224C49458BB}"/>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1103.18</c:v>
                </c:pt>
                <c:pt idx="1">
                  <c:v>212.613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1006.47</c:v>
                </c:pt>
                <c:pt idx="1">
                  <c:v>1315.79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1006.47</c:v>
                </c:pt>
                <c:pt idx="1">
                  <c:v>1315.79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1103.18</c:v>
                </c:pt>
                <c:pt idx="1">
                  <c:v>216.613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1079.46</c:v>
                </c:pt>
                <c:pt idx="1">
                  <c:v>23.72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727554179566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7.87</c:v>
                </c:pt>
                <c:pt idx="1">
                  <c:v>7.87</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3.08</c:v>
                </c:pt>
                <c:pt idx="1">
                  <c:v>3.08</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2911</Words>
  <Characters>3178</Characters>
  <Lines>20</Lines>
  <Paragraphs>5</Paragraphs>
  <TotalTime>1</TotalTime>
  <ScaleCrop>false</ScaleCrop>
  <LinksUpToDate>false</LinksUpToDate>
  <CharactersWithSpaces>3205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2023-03-07T13:51:01Z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