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2023年</w:t>
      </w:r>
      <w:r>
        <w:rPr>
          <w:rFonts w:hint="eastAsia" w:ascii="黑体" w:hAnsi="黑体" w:eastAsia="黑体" w:cs="黑体"/>
          <w:b/>
          <w:bCs/>
          <w:sz w:val="44"/>
          <w:szCs w:val="44"/>
        </w:rPr>
        <w:t>淮滨县供销社部门预算说明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淮滨县供销社</w:t>
      </w:r>
      <w:r>
        <w:rPr>
          <w:rFonts w:hint="eastAsia" w:ascii="黑体" w:hAnsi="黑体" w:eastAsia="黑体" w:cs="黑体"/>
          <w:sz w:val="32"/>
          <w:szCs w:val="32"/>
        </w:rPr>
        <w:t>概况</w:t>
      </w:r>
    </w:p>
    <w:p>
      <w:pPr>
        <w:numPr>
          <w:ilvl w:val="0"/>
          <w:numId w:val="1"/>
        </w:numPr>
        <w:kinsoku w:val="0"/>
        <w:overflowPunct w:val="0"/>
        <w:autoSpaceDE w:val="0"/>
        <w:autoSpaceDN w:val="0"/>
        <w:adjustRightInd w:val="0"/>
        <w:spacing w:before="48" w:line="560" w:lineRule="exact"/>
        <w:ind w:right="765" w:firstLine="320" w:firstLineChars="100"/>
        <w:rPr>
          <w:rFonts w:hint="eastAsia" w:ascii="仿宋" w:hAnsi="仿宋" w:eastAsia="仿宋" w:cs="Times New Roman"/>
          <w:sz w:val="32"/>
          <w:szCs w:val="32"/>
        </w:rPr>
      </w:pPr>
      <w:r>
        <w:rPr>
          <w:rFonts w:hint="eastAsia" w:ascii="仿宋" w:hAnsi="仿宋" w:eastAsia="仿宋" w:cs="Times New Roman"/>
          <w:sz w:val="32"/>
          <w:szCs w:val="32"/>
        </w:rPr>
        <w:t>主要职责</w:t>
      </w:r>
    </w:p>
    <w:p>
      <w:pPr>
        <w:numPr>
          <w:ilvl w:val="0"/>
          <w:numId w:val="1"/>
        </w:numPr>
        <w:kinsoku w:val="0"/>
        <w:overflowPunct w:val="0"/>
        <w:autoSpaceDE w:val="0"/>
        <w:autoSpaceDN w:val="0"/>
        <w:adjustRightInd w:val="0"/>
        <w:spacing w:before="48" w:line="560" w:lineRule="exact"/>
        <w:ind w:right="765" w:firstLine="320" w:firstLineChars="100"/>
        <w:rPr>
          <w:rFonts w:hint="eastAsia" w:ascii="仿宋" w:hAnsi="仿宋" w:eastAsia="仿宋" w:cs="Times New Roman"/>
          <w:sz w:val="32"/>
          <w:szCs w:val="32"/>
        </w:rPr>
      </w:pPr>
      <w:r>
        <w:rPr>
          <w:rFonts w:hint="eastAsia" w:ascii="仿宋" w:hAnsi="仿宋" w:eastAsia="仿宋" w:cs="Times New Roman"/>
          <w:sz w:val="32"/>
          <w:szCs w:val="32"/>
        </w:rPr>
        <w:t>内设机构设置情况</w:t>
      </w:r>
    </w:p>
    <w:p>
      <w:pPr>
        <w:numPr>
          <w:ilvl w:val="0"/>
          <w:numId w:val="1"/>
        </w:numPr>
        <w:kinsoku w:val="0"/>
        <w:overflowPunct w:val="0"/>
        <w:autoSpaceDE w:val="0"/>
        <w:autoSpaceDN w:val="0"/>
        <w:adjustRightInd w:val="0"/>
        <w:spacing w:before="48" w:line="560" w:lineRule="exact"/>
        <w:ind w:right="765" w:firstLine="320" w:firstLineChars="100"/>
        <w:rPr>
          <w:rFonts w:hint="eastAsia" w:ascii="仿宋" w:hAnsi="仿宋" w:eastAsia="仿宋" w:cs="Times New Roman"/>
          <w:sz w:val="32"/>
          <w:szCs w:val="32"/>
        </w:rPr>
      </w:pP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淮滨县供销社</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附件：淮滨县供销社</w:t>
      </w:r>
      <w:r>
        <w:rPr>
          <w:rFonts w:hint="eastAsia" w:ascii="黑体" w:hAnsi="黑体" w:eastAsia="黑体" w:cs="Times New Roman"/>
          <w:sz w:val="32"/>
          <w:szCs w:val="32"/>
          <w:lang w:eastAsia="zh-CN"/>
        </w:rPr>
        <w:t>2023年</w:t>
      </w:r>
      <w:r>
        <w:rPr>
          <w:rFonts w:hint="eastAsia" w:ascii="黑体" w:hAnsi="黑体" w:eastAsia="黑体" w:cs="Times New Roman"/>
          <w:sz w:val="32"/>
          <w:szCs w:val="32"/>
        </w:rPr>
        <w:t>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rPr>
        <w:t>淮滨县供销社</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淮滨县供销社</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rPr>
        <w:t>淮滨县供销社</w:t>
      </w:r>
      <w:r>
        <w:rPr>
          <w:rFonts w:ascii="仿宋_GB2312" w:hAnsi="仿宋_GB2312" w:eastAsia="仿宋_GB2312" w:cs="仿宋_GB2312"/>
          <w:bCs/>
          <w:szCs w:val="32"/>
        </w:rPr>
        <w:t>主要职责是：</w:t>
      </w:r>
    </w:p>
    <w:p>
      <w:pPr>
        <w:pStyle w:val="3"/>
        <w:numPr>
          <w:ilvl w:val="0"/>
          <w:numId w:val="4"/>
        </w:numPr>
        <w:tabs>
          <w:tab w:val="left" w:pos="880"/>
        </w:tabs>
        <w:kinsoku w:val="0"/>
        <w:overflowPunct w:val="0"/>
        <w:spacing w:before="0"/>
        <w:jc w:val="left"/>
        <w:rPr>
          <w:rFonts w:hint="default" w:ascii="仿宋_GB2312" w:hAnsi="仿宋_GB2312" w:eastAsia="仿宋_GB2312" w:cs="仿宋_GB2312"/>
          <w:szCs w:val="32"/>
        </w:rPr>
      </w:pPr>
      <w:r>
        <w:rPr>
          <w:rFonts w:cs="仿宋"/>
          <w:bCs/>
          <w:szCs w:val="32"/>
        </w:rPr>
        <w:t>、</w:t>
      </w:r>
      <w:r>
        <w:rPr>
          <w:rFonts w:ascii="仿宋_GB2312" w:hAnsi="仿宋_GB2312" w:eastAsia="仿宋_GB2312" w:cs="仿宋_GB2312"/>
          <w:szCs w:val="32"/>
        </w:rPr>
        <w:t>贯彻执行党和国家有关供销合作社及农村经济工作的方针、政策，研究制定全县供销社的发展战略和规划，指导全县供销社的改革和发展，推进供销社体制创新。</w:t>
      </w:r>
    </w:p>
    <w:p>
      <w:pPr>
        <w:pStyle w:val="3"/>
        <w:numPr>
          <w:ilvl w:val="0"/>
          <w:numId w:val="4"/>
        </w:numPr>
        <w:tabs>
          <w:tab w:val="left" w:pos="880"/>
        </w:tabs>
        <w:kinsoku w:val="0"/>
        <w:overflowPunct w:val="0"/>
        <w:spacing w:before="0"/>
        <w:jc w:val="left"/>
        <w:rPr>
          <w:rFonts w:hint="default" w:cs="仿宋"/>
          <w:bCs/>
          <w:szCs w:val="32"/>
        </w:rPr>
      </w:pPr>
      <w:r>
        <w:rPr>
          <w:rFonts w:ascii="仿宋_GB2312" w:hAnsi="仿宋_GB2312" w:eastAsia="仿宋_GB2312" w:cs="仿宋_GB2312"/>
          <w:szCs w:val="32"/>
        </w:rPr>
        <w:t>、积极参与农业产业化经营，开拓城乡市场，增强服务功能，为农业产业化和农业社会化服务。</w:t>
      </w:r>
    </w:p>
    <w:p>
      <w:pPr>
        <w:numPr>
          <w:ilvl w:val="0"/>
          <w:numId w:val="4"/>
        </w:numPr>
        <w:tabs>
          <w:tab w:val="left" w:pos="601"/>
        </w:tabs>
        <w:spacing w:line="580" w:lineRule="exact"/>
        <w:ind w:left="120"/>
        <w:rPr>
          <w:rFonts w:ascii="仿宋_GB2312" w:hAnsi="仿宋_GB2312" w:eastAsia="仿宋_GB2312" w:cs="仿宋_GB2312"/>
          <w:sz w:val="32"/>
          <w:szCs w:val="32"/>
        </w:rPr>
      </w:pPr>
      <w:r>
        <w:rPr>
          <w:rFonts w:hint="eastAsia" w:cs="仿宋"/>
          <w:bCs/>
          <w:sz w:val="32"/>
          <w:szCs w:val="32"/>
        </w:rPr>
        <w:t>、</w:t>
      </w:r>
      <w:r>
        <w:rPr>
          <w:rFonts w:hint="eastAsia" w:ascii="仿宋_GB2312" w:hAnsi="仿宋_GB2312" w:eastAsia="仿宋_GB2312" w:cs="仿宋_GB2312"/>
          <w:sz w:val="32"/>
          <w:szCs w:val="32"/>
        </w:rPr>
        <w:t>指导全县供销社的经营管理。</w:t>
      </w:r>
    </w:p>
    <w:p>
      <w:pPr>
        <w:numPr>
          <w:ilvl w:val="0"/>
          <w:numId w:val="4"/>
        </w:numPr>
        <w:tabs>
          <w:tab w:val="left" w:pos="601"/>
          <w:tab w:val="left" w:pos="846"/>
        </w:tabs>
        <w:spacing w:line="580" w:lineRule="exact"/>
        <w:ind w:left="120"/>
        <w:rPr>
          <w:rFonts w:ascii="仿宋_GB2312" w:hAnsi="仿宋_GB2312" w:eastAsia="仿宋_GB2312" w:cs="仿宋_GB2312"/>
          <w:sz w:val="32"/>
          <w:szCs w:val="32"/>
        </w:rPr>
      </w:pPr>
      <w:r>
        <w:rPr>
          <w:rFonts w:hint="eastAsia" w:ascii="仿宋_GB2312" w:hAnsi="仿宋_GB2312" w:eastAsia="仿宋_GB2312" w:cs="仿宋_GB2312"/>
          <w:sz w:val="32"/>
          <w:szCs w:val="32"/>
        </w:rPr>
        <w:t>、监督管理社有资产保值增值。</w:t>
      </w:r>
    </w:p>
    <w:p>
      <w:pPr>
        <w:numPr>
          <w:ilvl w:val="0"/>
          <w:numId w:val="4"/>
        </w:numPr>
        <w:tabs>
          <w:tab w:val="left" w:pos="601"/>
          <w:tab w:val="left" w:pos="846"/>
        </w:tabs>
        <w:spacing w:line="580" w:lineRule="exact"/>
        <w:ind w:left="120"/>
        <w:rPr>
          <w:rFonts w:ascii="仿宋_GB2312" w:hAnsi="仿宋_GB2312" w:eastAsia="仿宋_GB2312" w:cs="仿宋_GB2312"/>
          <w:sz w:val="32"/>
          <w:szCs w:val="32"/>
        </w:rPr>
      </w:pPr>
      <w:r>
        <w:rPr>
          <w:rFonts w:hint="eastAsia" w:ascii="仿宋_GB2312" w:hAnsi="仿宋_GB2312" w:eastAsia="仿宋_GB2312" w:cs="仿宋_GB2312"/>
          <w:sz w:val="32"/>
          <w:szCs w:val="32"/>
        </w:rPr>
        <w:t>、承办县委、县政府报上级社交办的其它工作。</w:t>
      </w:r>
    </w:p>
    <w:p>
      <w:pPr>
        <w:jc w:val="left"/>
        <w:rPr>
          <w:rFonts w:ascii="仿宋_GB2312" w:hAnsi="仿宋_GB2312" w:eastAsia="仿宋_GB2312" w:cs="仿宋_GB2312"/>
          <w:bCs/>
          <w:sz w:val="32"/>
          <w:szCs w:val="32"/>
          <w:highlight w:val="none"/>
        </w:rPr>
      </w:pPr>
    </w:p>
    <w:p>
      <w:pPr>
        <w:kinsoku w:val="0"/>
        <w:overflowPunct w:val="0"/>
        <w:adjustRightInd w:val="0"/>
        <w:snapToGrid w:val="0"/>
        <w:spacing w:line="360" w:lineRule="auto"/>
        <w:ind w:right="51" w:firstLine="643" w:firstLineChars="200"/>
        <w:jc w:val="left"/>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sz w:val="32"/>
          <w:szCs w:val="32"/>
          <w:highlight w:val="none"/>
        </w:rPr>
        <w:t>二、内设机构设置情况</w:t>
      </w:r>
    </w:p>
    <w:p>
      <w:pPr>
        <w:ind w:firstLine="640" w:firstLineChars="200"/>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内设办公室、财务股、合作指导股、人事股、资产管理股、安全生产股</w:t>
      </w:r>
    </w:p>
    <w:p>
      <w:pPr>
        <w:kinsoku w:val="0"/>
        <w:overflowPunct w:val="0"/>
        <w:adjustRightInd w:val="0"/>
        <w:snapToGrid w:val="0"/>
        <w:spacing w:line="360" w:lineRule="auto"/>
        <w:ind w:right="51" w:firstLine="643" w:firstLineChars="200"/>
        <w:jc w:val="left"/>
        <w:rPr>
          <w:rFonts w:hint="eastAsia" w:ascii="黑体" w:hAnsi="黑体" w:eastAsia="黑体" w:cs="黑体"/>
          <w:sz w:val="32"/>
          <w:szCs w:val="32"/>
          <w:highlight w:val="none"/>
        </w:rPr>
      </w:pPr>
      <w:r>
        <w:rPr>
          <w:rFonts w:hint="eastAsia" w:ascii="仿宋_GB2312" w:hAnsi="仿宋_GB2312" w:eastAsia="仿宋_GB2312" w:cs="仿宋_GB2312"/>
          <w:b/>
          <w:bCs/>
          <w:color w:val="000000"/>
          <w:sz w:val="32"/>
          <w:szCs w:val="32"/>
          <w:highlight w:val="none"/>
        </w:rPr>
        <w:t>三、部门所属预算单位构成</w:t>
      </w:r>
      <w:r>
        <w:rPr>
          <w:rFonts w:hint="eastAsia" w:ascii="黑体" w:hAnsi="黑体" w:eastAsia="黑体" w:cs="黑体"/>
          <w:sz w:val="32"/>
          <w:szCs w:val="32"/>
          <w:highlight w:val="none"/>
        </w:rPr>
        <w:t>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highlight w:val="none"/>
        </w:rPr>
        <w:t>淮滨县供销社</w:t>
      </w:r>
      <w:r>
        <w:rPr>
          <w:rFonts w:hint="eastAsia" w:ascii="仿宋_GB2312" w:hAnsi="仿宋_GB2312" w:eastAsia="仿宋_GB2312" w:cs="仿宋_GB2312"/>
          <w:bCs/>
          <w:sz w:val="32"/>
          <w:szCs w:val="32"/>
          <w:highlight w:val="none"/>
          <w:lang w:eastAsia="zh-CN"/>
        </w:rPr>
        <w:t>2023年</w:t>
      </w:r>
      <w:r>
        <w:rPr>
          <w:rFonts w:hint="eastAsia" w:ascii="仿宋_GB2312" w:hAnsi="仿宋_GB2312" w:eastAsia="仿宋_GB2312" w:cs="仿宋_GB2312"/>
          <w:bCs/>
          <w:sz w:val="32"/>
          <w:szCs w:val="32"/>
          <w:highlight w:val="none"/>
        </w:rPr>
        <w:t>部门预算</w:t>
      </w:r>
      <w:r>
        <w:rPr>
          <w:rFonts w:hint="eastAsia" w:ascii="仿宋_GB2312" w:hAnsi="宋体" w:eastAsia="仿宋_GB2312" w:cs="仿宋_GB2312"/>
          <w:color w:val="333333"/>
          <w:sz w:val="31"/>
          <w:szCs w:val="31"/>
          <w:highlight w:val="none"/>
        </w:rPr>
        <w:t>无所属二级单位</w:t>
      </w:r>
      <w:r>
        <w:rPr>
          <w:rFonts w:hint="eastAsia" w:ascii="仿宋_GB2312" w:hAnsi="仿宋_GB2312" w:eastAsia="仿宋_GB2312" w:cs="仿宋_GB2312"/>
          <w:bCs/>
          <w:sz w:val="32"/>
          <w:szCs w:val="32"/>
        </w:rPr>
        <w:t>。</w:t>
      </w: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淮滨县供销社</w:t>
      </w:r>
      <w:r>
        <w:rPr>
          <w:rFonts w:hint="eastAsia" w:ascii="黑体" w:hAnsi="黑体" w:eastAsia="黑体" w:cs="黑体"/>
          <w:b/>
          <w:bCs/>
          <w:sz w:val="36"/>
          <w:szCs w:val="36"/>
          <w:lang w:eastAsia="zh-CN"/>
        </w:rPr>
        <w:t>2023年</w:t>
      </w:r>
      <w:r>
        <w:rPr>
          <w:rFonts w:hint="eastAsia" w:ascii="黑体" w:hAnsi="黑体" w:eastAsia="黑体" w:cs="黑体"/>
          <w:b/>
          <w:bCs/>
          <w:sz w:val="36"/>
          <w:szCs w:val="36"/>
        </w:rPr>
        <w:t>度部门预算情况说明</w:t>
      </w:r>
    </w:p>
    <w:p>
      <w:pPr>
        <w:jc w:val="center"/>
        <w:rPr>
          <w:rFonts w:ascii="黑体" w:hAnsi="黑体" w:eastAsia="黑体" w:cs="黑体"/>
          <w:b/>
          <w:bCs/>
          <w:sz w:val="36"/>
          <w:szCs w:val="36"/>
        </w:rPr>
      </w:pPr>
    </w:p>
    <w:p>
      <w:pPr>
        <w:numPr>
          <w:ilvl w:val="0"/>
          <w:numId w:val="5"/>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淮滨县供销社</w:t>
      </w:r>
      <w:r>
        <w:rPr>
          <w:rFonts w:hint="eastAsia" w:ascii="仿宋" w:hAnsi="仿宋" w:eastAsia="仿宋" w:cs="仿宋"/>
          <w:sz w:val="32"/>
          <w:szCs w:val="32"/>
          <w:lang w:eastAsia="zh-CN"/>
        </w:rPr>
        <w:t>2023年</w:t>
      </w:r>
      <w:r>
        <w:rPr>
          <w:rFonts w:hint="eastAsia" w:ascii="仿宋" w:hAnsi="仿宋" w:eastAsia="仿宋" w:cs="仿宋"/>
          <w:sz w:val="32"/>
          <w:szCs w:val="32"/>
        </w:rPr>
        <w:t>收入总计</w:t>
      </w:r>
      <w:r>
        <w:rPr>
          <w:rFonts w:hint="eastAsia" w:ascii="仿宋" w:hAnsi="仿宋" w:eastAsia="仿宋" w:cs="仿宋"/>
          <w:sz w:val="32"/>
          <w:szCs w:val="32"/>
          <w:lang w:val="en-US" w:eastAsia="zh-CN"/>
        </w:rPr>
        <w:t>168</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168</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年相比，收、支总计各减少</w:t>
      </w:r>
      <w:r>
        <w:rPr>
          <w:rFonts w:hint="eastAsia" w:ascii="仿宋" w:hAnsi="仿宋" w:eastAsia="仿宋" w:cs="仿宋"/>
          <w:sz w:val="32"/>
          <w:szCs w:val="32"/>
          <w:lang w:val="en-US" w:eastAsia="zh-CN"/>
        </w:rPr>
        <w:t>71.63</w:t>
      </w:r>
      <w:r>
        <w:rPr>
          <w:rFonts w:hint="eastAsia" w:ascii="仿宋" w:hAnsi="仿宋" w:eastAsia="仿宋" w:cs="仿宋"/>
          <w:sz w:val="32"/>
          <w:szCs w:val="32"/>
        </w:rPr>
        <w:t>万元，下降</w:t>
      </w:r>
      <w:r>
        <w:rPr>
          <w:rFonts w:hint="eastAsia" w:ascii="仿宋" w:hAnsi="仿宋" w:eastAsia="仿宋" w:cs="仿宋"/>
          <w:sz w:val="32"/>
          <w:szCs w:val="32"/>
          <w:lang w:val="en-US" w:eastAsia="zh-CN"/>
        </w:rPr>
        <w:t>30</w:t>
      </w:r>
      <w:r>
        <w:rPr>
          <w:rFonts w:hint="eastAsia" w:ascii="仿宋" w:hAnsi="仿宋" w:eastAsia="仿宋" w:cs="仿宋"/>
          <w:sz w:val="32"/>
          <w:szCs w:val="32"/>
        </w:rPr>
        <w:t>%。主要原因是严格控制经费使用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减少项目</w:t>
      </w:r>
      <w:r>
        <w:rPr>
          <w:rFonts w:hint="eastAsia" w:ascii="仿宋" w:hAnsi="仿宋" w:eastAsia="仿宋" w:cs="仿宋"/>
          <w:sz w:val="32"/>
          <w:szCs w:val="32"/>
        </w:rPr>
        <w:t>供销社改革发展试点工作。</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4445" t="4445" r="1460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jc w:val="left"/>
        <w:rPr>
          <w:rFonts w:ascii="仿宋" w:hAnsi="仿宋" w:eastAsia="仿宋" w:cs="仿宋"/>
          <w:sz w:val="32"/>
          <w:szCs w:val="32"/>
        </w:rPr>
      </w:pPr>
    </w:p>
    <w:p>
      <w:pPr>
        <w:numPr>
          <w:ilvl w:val="0"/>
          <w:numId w:val="5"/>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淮滨县供销社</w:t>
      </w:r>
      <w:r>
        <w:rPr>
          <w:rFonts w:hint="eastAsia" w:ascii="仿宋" w:hAnsi="仿宋" w:eastAsia="仿宋" w:cs="仿宋"/>
          <w:sz w:val="32"/>
          <w:lang w:eastAsia="zh-CN"/>
        </w:rPr>
        <w:t>2023年</w:t>
      </w:r>
      <w:r>
        <w:rPr>
          <w:rFonts w:hint="eastAsia" w:ascii="仿宋" w:hAnsi="仿宋" w:eastAsia="仿宋" w:cs="仿宋"/>
          <w:sz w:val="32"/>
        </w:rPr>
        <w:t>收入合计</w:t>
      </w:r>
      <w:r>
        <w:rPr>
          <w:rFonts w:hint="eastAsia" w:ascii="仿宋" w:hAnsi="仿宋" w:eastAsia="仿宋" w:cs="仿宋"/>
          <w:sz w:val="32"/>
          <w:szCs w:val="32"/>
          <w:lang w:val="en-US" w:eastAsia="zh-CN"/>
        </w:rPr>
        <w:t>168</w:t>
      </w:r>
      <w:r>
        <w:rPr>
          <w:rFonts w:hint="eastAsia" w:ascii="仿宋" w:hAnsi="仿宋" w:eastAsia="仿宋" w:cs="仿宋"/>
          <w:sz w:val="32"/>
        </w:rPr>
        <w:t>万元，其中：一般公共预算收入</w:t>
      </w:r>
      <w:r>
        <w:rPr>
          <w:rFonts w:hint="eastAsia" w:ascii="仿宋" w:hAnsi="仿宋" w:eastAsia="仿宋" w:cs="仿宋"/>
          <w:sz w:val="32"/>
          <w:lang w:val="en-US" w:eastAsia="zh-CN"/>
        </w:rPr>
        <w:t>125.16</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4445" t="4445" r="8255" b="1587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淮滨县供销社</w:t>
      </w:r>
      <w:r>
        <w:rPr>
          <w:rFonts w:hint="eastAsia" w:ascii="仿宋" w:hAnsi="仿宋" w:eastAsia="仿宋" w:cs="仿宋"/>
          <w:sz w:val="32"/>
          <w:lang w:eastAsia="zh-CN"/>
        </w:rPr>
        <w:t>2023年</w:t>
      </w:r>
      <w:r>
        <w:rPr>
          <w:rFonts w:hint="eastAsia" w:ascii="仿宋" w:hAnsi="仿宋" w:eastAsia="仿宋" w:cs="仿宋"/>
          <w:sz w:val="32"/>
        </w:rPr>
        <w:t>支出合计</w:t>
      </w:r>
      <w:r>
        <w:rPr>
          <w:rFonts w:hint="eastAsia" w:ascii="仿宋" w:hAnsi="仿宋" w:eastAsia="仿宋" w:cs="仿宋"/>
          <w:sz w:val="32"/>
          <w:lang w:val="en-US" w:eastAsia="zh-CN"/>
        </w:rPr>
        <w:t>168</w:t>
      </w:r>
      <w:r>
        <w:rPr>
          <w:rFonts w:hint="eastAsia" w:ascii="仿宋" w:hAnsi="仿宋" w:eastAsia="仿宋" w:cs="仿宋"/>
          <w:sz w:val="32"/>
        </w:rPr>
        <w:t>万元，其中：基本支出</w:t>
      </w:r>
      <w:r>
        <w:rPr>
          <w:rFonts w:hint="eastAsia" w:ascii="仿宋" w:hAnsi="仿宋" w:eastAsia="仿宋" w:cs="仿宋"/>
          <w:sz w:val="32"/>
          <w:lang w:val="en-US" w:eastAsia="zh-CN"/>
        </w:rPr>
        <w:t>121.6</w:t>
      </w:r>
      <w:r>
        <w:rPr>
          <w:rFonts w:hint="eastAsia" w:ascii="仿宋" w:hAnsi="仿宋" w:eastAsia="仿宋" w:cs="仿宋"/>
          <w:sz w:val="32"/>
        </w:rPr>
        <w:t>万元，占</w:t>
      </w:r>
      <w:r>
        <w:rPr>
          <w:rFonts w:hint="eastAsia" w:ascii="仿宋" w:hAnsi="仿宋" w:eastAsia="仿宋" w:cs="仿宋"/>
          <w:sz w:val="32"/>
          <w:lang w:val="en-US" w:eastAsia="zh-CN"/>
        </w:rPr>
        <w:t>72</w:t>
      </w:r>
      <w:r>
        <w:rPr>
          <w:rFonts w:hint="eastAsia" w:ascii="仿宋" w:hAnsi="仿宋" w:eastAsia="仿宋" w:cs="仿宋"/>
          <w:sz w:val="32"/>
        </w:rPr>
        <w:t>%；项目支出</w:t>
      </w:r>
      <w:r>
        <w:rPr>
          <w:rFonts w:hint="eastAsia" w:ascii="仿宋" w:hAnsi="仿宋" w:eastAsia="仿宋" w:cs="仿宋"/>
          <w:sz w:val="32"/>
          <w:lang w:val="en-US" w:eastAsia="zh-CN"/>
        </w:rPr>
        <w:t>46.4</w:t>
      </w:r>
      <w:r>
        <w:rPr>
          <w:rFonts w:hint="eastAsia" w:ascii="仿宋" w:hAnsi="仿宋" w:eastAsia="仿宋" w:cs="仿宋"/>
          <w:sz w:val="32"/>
        </w:rPr>
        <w:t>万元，占</w:t>
      </w:r>
      <w:r>
        <w:rPr>
          <w:rFonts w:hint="eastAsia" w:ascii="仿宋" w:hAnsi="仿宋" w:eastAsia="仿宋" w:cs="仿宋"/>
          <w:sz w:val="32"/>
          <w:lang w:val="en-US" w:eastAsia="zh-CN"/>
        </w:rPr>
        <w:t>28</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69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5"/>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淮滨县供销社</w:t>
      </w:r>
      <w:r>
        <w:rPr>
          <w:rFonts w:hint="eastAsia" w:ascii="仿宋" w:hAnsi="仿宋" w:eastAsia="仿宋" w:cs="仿宋"/>
          <w:sz w:val="32"/>
          <w:lang w:eastAsia="zh-CN"/>
        </w:rPr>
        <w:t>2023年</w:t>
      </w:r>
      <w:r>
        <w:rPr>
          <w:rFonts w:hint="eastAsia" w:ascii="仿宋" w:hAnsi="仿宋" w:eastAsia="仿宋" w:cs="仿宋"/>
          <w:sz w:val="32"/>
        </w:rPr>
        <w:t>一般公共预算收支预算</w:t>
      </w:r>
      <w:r>
        <w:rPr>
          <w:rFonts w:hint="eastAsia" w:ascii="仿宋" w:hAnsi="仿宋" w:eastAsia="仿宋" w:cs="仿宋"/>
          <w:sz w:val="32"/>
          <w:lang w:val="en-US" w:eastAsia="zh-CN"/>
        </w:rPr>
        <w:t>125.16</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2022年</w:t>
      </w:r>
      <w:r>
        <w:rPr>
          <w:rFonts w:hint="eastAsia" w:ascii="仿宋" w:hAnsi="仿宋" w:eastAsia="仿宋" w:cs="仿宋"/>
          <w:sz w:val="32"/>
        </w:rPr>
        <w:t>相比，一般公共预算收支预算减少</w:t>
      </w:r>
      <w:r>
        <w:rPr>
          <w:rFonts w:hint="eastAsia" w:ascii="仿宋" w:hAnsi="仿宋" w:eastAsia="仿宋" w:cs="仿宋"/>
          <w:sz w:val="32"/>
          <w:lang w:val="en-US" w:eastAsia="zh-CN"/>
        </w:rPr>
        <w:t>114.47</w:t>
      </w:r>
      <w:r>
        <w:rPr>
          <w:rFonts w:hint="eastAsia" w:ascii="仿宋" w:hAnsi="仿宋" w:eastAsia="仿宋" w:cs="仿宋"/>
          <w:sz w:val="32"/>
        </w:rPr>
        <w:t>万元，下降</w:t>
      </w:r>
      <w:r>
        <w:rPr>
          <w:rFonts w:hint="eastAsia" w:ascii="仿宋" w:hAnsi="仿宋" w:eastAsia="仿宋" w:cs="仿宋"/>
          <w:sz w:val="32"/>
          <w:lang w:val="en-US" w:eastAsia="zh-CN"/>
        </w:rPr>
        <w:t>47.77</w:t>
      </w:r>
      <w:r>
        <w:rPr>
          <w:rFonts w:hint="eastAsia" w:ascii="仿宋" w:hAnsi="仿宋" w:eastAsia="仿宋" w:cs="仿宋"/>
          <w:sz w:val="32"/>
        </w:rPr>
        <w:t>%，主要原因是</w:t>
      </w:r>
      <w:r>
        <w:rPr>
          <w:rFonts w:hint="eastAsia" w:ascii="仿宋" w:hAnsi="仿宋" w:eastAsia="仿宋" w:cs="仿宋"/>
          <w:sz w:val="32"/>
          <w:szCs w:val="32"/>
        </w:rPr>
        <w:t>严格控制经费使用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减少项目</w:t>
      </w:r>
      <w:r>
        <w:rPr>
          <w:rFonts w:hint="eastAsia" w:ascii="仿宋" w:hAnsi="仿宋" w:eastAsia="仿宋" w:cs="仿宋"/>
          <w:sz w:val="32"/>
          <w:szCs w:val="32"/>
        </w:rPr>
        <w:t>供销社改革发展试点工作。</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4445" t="4445" r="17145" b="1206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淮滨县供销社</w:t>
      </w:r>
      <w:r>
        <w:rPr>
          <w:rFonts w:hint="eastAsia" w:ascii="仿宋" w:hAnsi="仿宋" w:eastAsia="仿宋" w:cs="仿宋"/>
          <w:sz w:val="32"/>
          <w:lang w:eastAsia="zh-CN"/>
        </w:rPr>
        <w:t>2023年</w:t>
      </w:r>
      <w:r>
        <w:rPr>
          <w:rFonts w:hint="eastAsia" w:ascii="仿宋" w:hAnsi="仿宋" w:eastAsia="仿宋" w:cs="仿宋"/>
          <w:sz w:val="32"/>
        </w:rPr>
        <w:t>一般公共预算支出年初预算为</w:t>
      </w:r>
      <w:r>
        <w:rPr>
          <w:rFonts w:hint="eastAsia" w:ascii="仿宋" w:hAnsi="仿宋" w:eastAsia="仿宋" w:cs="仿宋"/>
          <w:sz w:val="32"/>
          <w:lang w:val="en-US" w:eastAsia="zh-CN"/>
        </w:rPr>
        <w:t>125.16</w:t>
      </w:r>
      <w:r>
        <w:rPr>
          <w:rFonts w:hint="eastAsia" w:ascii="仿宋" w:hAnsi="仿宋" w:eastAsia="仿宋" w:cs="仿宋"/>
          <w:sz w:val="32"/>
        </w:rPr>
        <w:t>万元。其中：基本支出</w:t>
      </w:r>
      <w:r>
        <w:rPr>
          <w:rFonts w:hint="eastAsia" w:ascii="仿宋" w:hAnsi="仿宋" w:eastAsia="仿宋" w:cs="仿宋"/>
          <w:sz w:val="32"/>
          <w:lang w:val="en-US" w:eastAsia="zh-CN"/>
        </w:rPr>
        <w:t>78.76</w:t>
      </w:r>
      <w:r>
        <w:rPr>
          <w:rFonts w:hint="eastAsia" w:ascii="仿宋" w:hAnsi="仿宋" w:eastAsia="仿宋" w:cs="仿宋"/>
          <w:sz w:val="32"/>
        </w:rPr>
        <w:t>万元，占</w:t>
      </w:r>
      <w:r>
        <w:rPr>
          <w:rFonts w:hint="eastAsia" w:ascii="仿宋" w:hAnsi="仿宋" w:eastAsia="仿宋" w:cs="仿宋"/>
          <w:sz w:val="32"/>
          <w:lang w:val="en-US" w:eastAsia="zh-CN"/>
        </w:rPr>
        <w:t>63</w:t>
      </w:r>
      <w:r>
        <w:rPr>
          <w:rFonts w:hint="eastAsia" w:ascii="仿宋" w:hAnsi="仿宋" w:eastAsia="仿宋" w:cs="仿宋"/>
          <w:sz w:val="32"/>
        </w:rPr>
        <w:t>%;项目支出</w:t>
      </w:r>
      <w:r>
        <w:rPr>
          <w:rFonts w:hint="eastAsia" w:ascii="仿宋" w:hAnsi="仿宋" w:eastAsia="仿宋" w:cs="仿宋"/>
          <w:sz w:val="32"/>
          <w:lang w:val="en-US" w:eastAsia="zh-CN"/>
        </w:rPr>
        <w:t>46.4</w:t>
      </w:r>
      <w:r>
        <w:rPr>
          <w:rFonts w:hint="eastAsia" w:ascii="仿宋" w:hAnsi="仿宋" w:eastAsia="仿宋" w:cs="仿宋"/>
          <w:sz w:val="32"/>
        </w:rPr>
        <w:t>万元，占</w:t>
      </w:r>
      <w:r>
        <w:rPr>
          <w:rFonts w:hint="eastAsia" w:ascii="仿宋" w:hAnsi="仿宋" w:eastAsia="仿宋" w:cs="仿宋"/>
          <w:sz w:val="32"/>
          <w:lang w:val="en-US" w:eastAsia="zh-CN"/>
        </w:rPr>
        <w:t>37</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5"/>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淮滨县供销社</w:t>
      </w:r>
      <w:r>
        <w:rPr>
          <w:rFonts w:hint="eastAsia" w:ascii="仿宋" w:hAnsi="仿宋" w:eastAsia="仿宋" w:cs="仿宋"/>
          <w:color w:val="000000"/>
          <w:sz w:val="32"/>
          <w:szCs w:val="32"/>
          <w:lang w:eastAsia="zh-CN"/>
        </w:rPr>
        <w:t>2023年</w:t>
      </w:r>
      <w:r>
        <w:rPr>
          <w:rFonts w:hint="eastAsia" w:ascii="仿宋" w:hAnsi="仿宋" w:eastAsia="仿宋" w:cs="仿宋"/>
          <w:color w:val="000000"/>
          <w:sz w:val="32"/>
          <w:szCs w:val="32"/>
        </w:rPr>
        <w:t>一般公共预算基本支出年初预算为</w:t>
      </w:r>
      <w:r>
        <w:rPr>
          <w:rFonts w:hint="eastAsia" w:ascii="仿宋" w:hAnsi="仿宋" w:eastAsia="仿宋" w:cs="仿宋"/>
          <w:color w:val="000000"/>
          <w:sz w:val="32"/>
          <w:szCs w:val="32"/>
          <w:lang w:val="en-US" w:eastAsia="zh-CN"/>
        </w:rPr>
        <w:t>78.76</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71.97</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91</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6.79</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5"/>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淮滨县供销社</w:t>
      </w:r>
      <w:r>
        <w:rPr>
          <w:rFonts w:hint="eastAsia" w:ascii="仿宋" w:hAnsi="仿宋" w:eastAsia="仿宋" w:cs="仿宋"/>
          <w:sz w:val="32"/>
          <w:szCs w:val="32"/>
          <w:lang w:eastAsia="zh-CN"/>
        </w:rPr>
        <w:t>2023年</w:t>
      </w:r>
      <w:r>
        <w:rPr>
          <w:rFonts w:hint="eastAsia" w:ascii="仿宋" w:hAnsi="仿宋" w:eastAsia="仿宋" w:cs="仿宋"/>
          <w:sz w:val="32"/>
          <w:szCs w:val="32"/>
        </w:rPr>
        <w:t>“三公”经费支出预算为</w:t>
      </w:r>
      <w:r>
        <w:rPr>
          <w:rFonts w:hint="eastAsia" w:ascii="仿宋" w:hAnsi="仿宋" w:eastAsia="仿宋" w:cs="仿宋"/>
          <w:sz w:val="32"/>
          <w:szCs w:val="32"/>
          <w:lang w:val="en-US" w:eastAsia="zh-CN"/>
        </w:rPr>
        <w:t>1</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1</w:t>
      </w:r>
      <w:r>
        <w:rPr>
          <w:rFonts w:hint="eastAsia" w:ascii="仿宋" w:hAnsi="仿宋" w:eastAsia="仿宋" w:cs="仿宋"/>
          <w:sz w:val="32"/>
          <w:szCs w:val="32"/>
        </w:rPr>
        <w:t>万元。主要用于按规定开支的各类公务接待支出。预算数与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政府性基金预算支出预算情况说明</w:t>
      </w:r>
    </w:p>
    <w:p>
      <w:pPr>
        <w:adjustRightInd w:val="0"/>
        <w:snapToGrid w:val="0"/>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年本部门没有政府性基金预算拨款收入，也没有政府性基金预算安排的支出，故无数据情况说明。</w:t>
      </w:r>
    </w:p>
    <w:p>
      <w:pPr>
        <w:numPr>
          <w:ilvl w:val="0"/>
          <w:numId w:val="5"/>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szCs w:val="32"/>
        </w:rPr>
        <w:t>淮滨县供销社</w:t>
      </w:r>
      <w:r>
        <w:rPr>
          <w:rFonts w:hint="eastAsia" w:ascii="仿宋" w:hAnsi="仿宋" w:eastAsia="仿宋" w:cs="仿宋"/>
          <w:sz w:val="32"/>
        </w:rPr>
        <w:t>202</w:t>
      </w:r>
      <w:r>
        <w:rPr>
          <w:rFonts w:hint="eastAsia" w:ascii="仿宋" w:hAnsi="仿宋" w:eastAsia="仿宋" w:cs="仿宋"/>
          <w:sz w:val="32"/>
          <w:lang w:val="en-US" w:eastAsia="zh-CN"/>
        </w:rPr>
        <w:t>3</w:t>
      </w:r>
      <w:r>
        <w:rPr>
          <w:rFonts w:hint="eastAsia" w:ascii="仿宋" w:hAnsi="仿宋" w:eastAsia="仿宋" w:cs="仿宋"/>
          <w:sz w:val="32"/>
        </w:rPr>
        <w:t>年</w:t>
      </w:r>
      <w:r>
        <w:rPr>
          <w:rFonts w:hint="eastAsia" w:ascii="仿宋" w:hAnsi="仿宋" w:eastAsia="仿宋" w:cs="仿宋"/>
          <w:sz w:val="32"/>
          <w:lang w:val="en-US" w:eastAsia="zh-CN"/>
        </w:rPr>
        <w:t>事业</w:t>
      </w:r>
      <w:r>
        <w:rPr>
          <w:rFonts w:hint="eastAsia" w:ascii="仿宋" w:hAnsi="仿宋" w:eastAsia="仿宋" w:cs="仿宋"/>
          <w:sz w:val="32"/>
        </w:rPr>
        <w:t>单位运行经费支出预算</w:t>
      </w:r>
      <w:r>
        <w:rPr>
          <w:rFonts w:hint="eastAsia" w:ascii="仿宋" w:hAnsi="仿宋" w:eastAsia="仿宋" w:cs="仿宋"/>
          <w:sz w:val="32"/>
          <w:lang w:val="en-US" w:eastAsia="zh-CN"/>
        </w:rPr>
        <w:t>6.79</w:t>
      </w:r>
      <w:r>
        <w:rPr>
          <w:rFonts w:hint="eastAsia" w:ascii="仿宋" w:hAnsi="仿宋" w:eastAsia="仿宋" w:cs="仿宋"/>
          <w:sz w:val="32"/>
        </w:rPr>
        <w:t>万元，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比202</w:t>
      </w:r>
      <w:r>
        <w:rPr>
          <w:rFonts w:hint="eastAsia" w:ascii="仿宋" w:hAnsi="仿宋" w:eastAsia="仿宋" w:cs="仿宋"/>
          <w:sz w:val="32"/>
          <w:lang w:val="en-US" w:eastAsia="zh-CN"/>
        </w:rPr>
        <w:t>2</w:t>
      </w:r>
      <w:r>
        <w:rPr>
          <w:rFonts w:hint="eastAsia" w:ascii="仿宋" w:hAnsi="仿宋" w:eastAsia="仿宋" w:cs="仿宋"/>
          <w:sz w:val="32"/>
        </w:rPr>
        <w:t>年</w:t>
      </w:r>
      <w:r>
        <w:rPr>
          <w:rFonts w:hint="eastAsia" w:ascii="仿宋" w:hAnsi="仿宋" w:eastAsia="仿宋" w:cs="仿宋"/>
          <w:sz w:val="32"/>
          <w:lang w:val="en-US" w:eastAsia="zh-CN"/>
        </w:rPr>
        <w:t>减少3.68</w:t>
      </w:r>
      <w:r>
        <w:rPr>
          <w:rFonts w:hint="eastAsia" w:ascii="仿宋" w:hAnsi="仿宋" w:eastAsia="仿宋" w:cs="仿宋"/>
          <w:sz w:val="32"/>
        </w:rPr>
        <w:t>万元，</w:t>
      </w:r>
      <w:r>
        <w:rPr>
          <w:rFonts w:hint="eastAsia" w:ascii="仿宋" w:hAnsi="仿宋" w:eastAsia="仿宋" w:cs="仿宋"/>
          <w:sz w:val="32"/>
          <w:lang w:val="en-US" w:eastAsia="zh-CN"/>
        </w:rPr>
        <w:t>减少35.14</w:t>
      </w:r>
      <w:r>
        <w:rPr>
          <w:rFonts w:hint="eastAsia" w:ascii="仿宋" w:hAnsi="仿宋" w:eastAsia="仿宋" w:cs="仿宋"/>
          <w:sz w:val="32"/>
        </w:rPr>
        <w:t>%，主要原因：</w:t>
      </w:r>
      <w:r>
        <w:rPr>
          <w:rFonts w:hint="eastAsia" w:ascii="仿宋" w:hAnsi="仿宋" w:eastAsia="仿宋" w:cs="仿宋"/>
          <w:sz w:val="32"/>
          <w:lang w:val="en-US" w:eastAsia="zh-CN"/>
        </w:rPr>
        <w:t>压缩开支，坚持厉行节约。</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highlight w:val="none"/>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 xml:space="preserve">预算项目均按要求编制了绩效目标，从 项目产出、项目效益、满意度等方面设置了绩效目标，综合 反映项目预期完成的数量、实效、质量，预期达到的社会经 </w:t>
      </w:r>
      <w:bookmarkStart w:id="0" w:name="_GoBack"/>
      <w:r>
        <w:rPr>
          <w:rFonts w:hint="eastAsia" w:ascii="仿宋" w:hAnsi="仿宋" w:eastAsia="仿宋" w:cs="仿宋"/>
          <w:sz w:val="32"/>
          <w:highlight w:val="none"/>
        </w:rPr>
        <w:t>济效益、可持续影响以及对象满意度等情况。</w:t>
      </w:r>
    </w:p>
    <w:p>
      <w:pPr>
        <w:kinsoku w:val="0"/>
        <w:overflowPunct w:val="0"/>
        <w:autoSpaceDE w:val="0"/>
        <w:autoSpaceDN w:val="0"/>
        <w:adjustRightInd w:val="0"/>
        <w:snapToGrid w:val="0"/>
        <w:spacing w:line="580" w:lineRule="exact"/>
        <w:ind w:firstLine="640"/>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2023</w:t>
      </w:r>
      <w:r>
        <w:rPr>
          <w:rFonts w:hint="eastAsia" w:ascii="仿宋_GB2312" w:hAnsi="仿宋_GB2312" w:eastAsia="仿宋_GB2312" w:cs="仿宋_GB2312"/>
          <w:color w:val="000000"/>
          <w:kern w:val="0"/>
          <w:sz w:val="32"/>
          <w:szCs w:val="32"/>
          <w:highlight w:val="none"/>
        </w:rPr>
        <w:t>年部门预算金额共计</w:t>
      </w:r>
      <w:r>
        <w:rPr>
          <w:rFonts w:hint="eastAsia" w:ascii="仿宋" w:hAnsi="仿宋" w:eastAsia="仿宋" w:cs="仿宋"/>
          <w:sz w:val="32"/>
          <w:szCs w:val="32"/>
          <w:highlight w:val="none"/>
          <w:lang w:val="en-US" w:eastAsia="zh-CN"/>
        </w:rPr>
        <w:t>168</w:t>
      </w:r>
      <w:r>
        <w:rPr>
          <w:rFonts w:hint="eastAsia" w:ascii="仿宋_GB2312" w:hAnsi="仿宋_GB2312" w:eastAsia="仿宋_GB2312" w:cs="仿宋_GB2312"/>
          <w:color w:val="000000"/>
          <w:kern w:val="0"/>
          <w:sz w:val="32"/>
          <w:szCs w:val="32"/>
          <w:highlight w:val="none"/>
        </w:rPr>
        <w:t>万元，其中项目共</w:t>
      </w:r>
      <w:r>
        <w:rPr>
          <w:rFonts w:hint="eastAsia" w:ascii="仿宋_GB2312" w:hAnsi="仿宋_GB2312" w:eastAsia="仿宋_GB2312" w:cs="仿宋_GB2312"/>
          <w:color w:val="000000"/>
          <w:kern w:val="0"/>
          <w:sz w:val="32"/>
          <w:szCs w:val="32"/>
          <w:highlight w:val="none"/>
          <w:lang w:val="en-US" w:eastAsia="zh-CN"/>
        </w:rPr>
        <w:t>1</w:t>
      </w:r>
      <w:r>
        <w:rPr>
          <w:rFonts w:hint="eastAsia" w:ascii="仿宋_GB2312" w:hAnsi="仿宋_GB2312" w:eastAsia="仿宋_GB2312" w:cs="仿宋_GB2312"/>
          <w:color w:val="000000"/>
          <w:kern w:val="0"/>
          <w:sz w:val="32"/>
          <w:szCs w:val="32"/>
          <w:highlight w:val="none"/>
        </w:rPr>
        <w:t>个，金额为</w:t>
      </w:r>
      <w:r>
        <w:rPr>
          <w:rFonts w:hint="eastAsia" w:ascii="仿宋_GB2312" w:hAnsi="仿宋_GB2312" w:eastAsia="仿宋_GB2312" w:cs="仿宋_GB2312"/>
          <w:color w:val="000000"/>
          <w:kern w:val="0"/>
          <w:sz w:val="32"/>
          <w:szCs w:val="32"/>
          <w:highlight w:val="none"/>
          <w:lang w:val="en-US" w:eastAsia="zh-CN"/>
        </w:rPr>
        <w:t>46.4</w:t>
      </w:r>
      <w:r>
        <w:rPr>
          <w:rFonts w:hint="eastAsia" w:ascii="仿宋_GB2312" w:hAnsi="仿宋_GB2312" w:eastAsia="仿宋_GB2312" w:cs="仿宋_GB2312"/>
          <w:color w:val="000000"/>
          <w:kern w:val="0"/>
          <w:sz w:val="32"/>
          <w:szCs w:val="32"/>
          <w:highlight w:val="none"/>
        </w:rPr>
        <w:t>万元。</w:t>
      </w:r>
    </w:p>
    <w:bookmarkEnd w:id="0"/>
    <w:p>
      <w:pPr>
        <w:ind w:firstLine="640" w:firstLineChars="200"/>
        <w:jc w:val="left"/>
        <w:rPr>
          <w:rFonts w:hint="eastAsia" w:ascii="仿宋" w:hAnsi="仿宋" w:eastAsia="仿宋" w:cs="仿宋"/>
          <w:sz w:val="32"/>
        </w:rPr>
      </w:pP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2022年</w:t>
      </w:r>
      <w:r>
        <w:rPr>
          <w:rFonts w:hint="eastAsia" w:ascii="仿宋" w:hAnsi="仿宋" w:eastAsia="仿宋" w:cs="仿宋"/>
          <w:sz w:val="32"/>
        </w:rPr>
        <w:t>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项。主要是:</w:t>
      </w:r>
      <w:r>
        <w:rPr>
          <w:rFonts w:hint="eastAsia" w:ascii="仿宋" w:hAnsi="仿宋" w:eastAsia="仿宋" w:cs="仿宋"/>
          <w:sz w:val="32"/>
          <w:lang w:val="en-US" w:eastAsia="zh-CN"/>
        </w:rPr>
        <w:t>无</w:t>
      </w:r>
      <w:r>
        <w:rPr>
          <w:rFonts w:hint="eastAsia" w:ascii="仿宋" w:hAnsi="仿宋" w:eastAsia="仿宋" w:cs="仿宋"/>
          <w:sz w:val="32"/>
        </w:rPr>
        <w:t>专项资金。我单位将按照《预算法》等有关规定，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7"/>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7"/>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附件：淮滨县供销社</w:t>
      </w:r>
      <w:r>
        <w:rPr>
          <w:rFonts w:hint="eastAsia" w:ascii="黑体" w:hAnsi="黑体" w:eastAsia="黑体" w:cs="黑体"/>
          <w:sz w:val="32"/>
          <w:lang w:eastAsia="zh-CN"/>
        </w:rPr>
        <w:t>2023年</w:t>
      </w:r>
      <w:r>
        <w:rPr>
          <w:rFonts w:hint="eastAsia" w:ascii="黑体" w:hAnsi="黑体" w:eastAsia="黑体" w:cs="黑体"/>
          <w:sz w:val="32"/>
        </w:rPr>
        <w:t>部门预算表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CF03840C"/>
    <w:multiLevelType w:val="singleLevel"/>
    <w:tmpl w:val="CF03840C"/>
    <w:lvl w:ilvl="0" w:tentative="0">
      <w:start w:val="1"/>
      <w:numFmt w:val="chineseCounting"/>
      <w:suff w:val="nothing"/>
      <w:lvlText w:val="（%1）"/>
      <w:lvlJc w:val="left"/>
      <w:rPr>
        <w:rFonts w:hint="eastAsia"/>
      </w:rPr>
    </w:lvl>
  </w:abstractNum>
  <w:abstractNum w:abstractNumId="2">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3">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4">
    <w:nsid w:val="1DBE515B"/>
    <w:multiLevelType w:val="singleLevel"/>
    <w:tmpl w:val="1DBE515B"/>
    <w:lvl w:ilvl="0" w:tentative="0">
      <w:start w:val="1"/>
      <w:numFmt w:val="chineseCounting"/>
      <w:suff w:val="nothing"/>
      <w:lvlText w:val="%1、"/>
      <w:lvlJc w:val="left"/>
      <w:rPr>
        <w:rFonts w:hint="eastAsia"/>
      </w:rPr>
    </w:lvl>
  </w:abstractNum>
  <w:abstractNum w:abstractNumId="5">
    <w:nsid w:val="6EC1A300"/>
    <w:multiLevelType w:val="singleLevel"/>
    <w:tmpl w:val="6EC1A300"/>
    <w:lvl w:ilvl="0" w:tentative="0">
      <w:start w:val="1"/>
      <w:numFmt w:val="chineseCounting"/>
      <w:suff w:val="nothing"/>
      <w:lvlText w:val="%1、"/>
      <w:lvlJc w:val="left"/>
      <w:rPr>
        <w:rFonts w:hint="eastAsia"/>
      </w:rPr>
    </w:lvl>
  </w:abstractNum>
  <w:abstractNum w:abstractNumId="6">
    <w:nsid w:val="73A1052D"/>
    <w:multiLevelType w:val="singleLevel"/>
    <w:tmpl w:val="73A1052D"/>
    <w:lvl w:ilvl="0" w:tentative="0">
      <w:start w:val="3"/>
      <w:numFmt w:val="chineseCounting"/>
      <w:suff w:val="nothing"/>
      <w:lvlText w:val="（%1）"/>
      <w:lvlJc w:val="left"/>
      <w:rPr>
        <w:rFonts w:hint="eastAsia"/>
      </w:r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mZTcwNDYzZGMyNjA0MTc5MDc4NGVkMmNhNTdkNjQifQ=="/>
    <w:docVar w:name="KSO_WPS_MARK_KEY" w:val="841a7cc2-c802-4f50-8d4b-19657e8c4c18"/>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5377B18"/>
    <w:rsid w:val="06440A7A"/>
    <w:rsid w:val="071D4AEC"/>
    <w:rsid w:val="080174CA"/>
    <w:rsid w:val="084542FA"/>
    <w:rsid w:val="0A6251B2"/>
    <w:rsid w:val="0D0F4ED6"/>
    <w:rsid w:val="0D513137"/>
    <w:rsid w:val="10602789"/>
    <w:rsid w:val="123258EF"/>
    <w:rsid w:val="12EF1A32"/>
    <w:rsid w:val="144A1E7D"/>
    <w:rsid w:val="15F07B94"/>
    <w:rsid w:val="173B6758"/>
    <w:rsid w:val="18B734CB"/>
    <w:rsid w:val="191C5F4B"/>
    <w:rsid w:val="1B351FAC"/>
    <w:rsid w:val="1CA53161"/>
    <w:rsid w:val="1D0460DA"/>
    <w:rsid w:val="1D2E3157"/>
    <w:rsid w:val="1F046865"/>
    <w:rsid w:val="1FE67D19"/>
    <w:rsid w:val="20C53DD2"/>
    <w:rsid w:val="216F2A69"/>
    <w:rsid w:val="228003BD"/>
    <w:rsid w:val="228C104B"/>
    <w:rsid w:val="246B28E3"/>
    <w:rsid w:val="24DA1A42"/>
    <w:rsid w:val="274F7F6E"/>
    <w:rsid w:val="279A1B15"/>
    <w:rsid w:val="27A42993"/>
    <w:rsid w:val="28196722"/>
    <w:rsid w:val="28447CD2"/>
    <w:rsid w:val="2A07545B"/>
    <w:rsid w:val="2AA67AA4"/>
    <w:rsid w:val="2AA72B5A"/>
    <w:rsid w:val="2AA8279A"/>
    <w:rsid w:val="2ACE5F14"/>
    <w:rsid w:val="2C081B10"/>
    <w:rsid w:val="2D4A0B6E"/>
    <w:rsid w:val="2F072B71"/>
    <w:rsid w:val="2F8530AA"/>
    <w:rsid w:val="32476D3D"/>
    <w:rsid w:val="33ED121E"/>
    <w:rsid w:val="3402116D"/>
    <w:rsid w:val="34030A42"/>
    <w:rsid w:val="34E010E6"/>
    <w:rsid w:val="358856A2"/>
    <w:rsid w:val="3699743B"/>
    <w:rsid w:val="38237904"/>
    <w:rsid w:val="3872263A"/>
    <w:rsid w:val="39D84127"/>
    <w:rsid w:val="3A2B0CF2"/>
    <w:rsid w:val="3A865F28"/>
    <w:rsid w:val="3AC362CF"/>
    <w:rsid w:val="3C1F6635"/>
    <w:rsid w:val="3D2523E4"/>
    <w:rsid w:val="3D3D4FC4"/>
    <w:rsid w:val="3E5A6C85"/>
    <w:rsid w:val="3FB6105E"/>
    <w:rsid w:val="404E74E8"/>
    <w:rsid w:val="419D0727"/>
    <w:rsid w:val="41FF59D4"/>
    <w:rsid w:val="42660F2F"/>
    <w:rsid w:val="43572B58"/>
    <w:rsid w:val="45554E75"/>
    <w:rsid w:val="456A4DC4"/>
    <w:rsid w:val="469D4D26"/>
    <w:rsid w:val="46D01A4F"/>
    <w:rsid w:val="474973FF"/>
    <w:rsid w:val="483D40CA"/>
    <w:rsid w:val="490A3ADE"/>
    <w:rsid w:val="4B86222C"/>
    <w:rsid w:val="4BBC3BEF"/>
    <w:rsid w:val="4CC72AFC"/>
    <w:rsid w:val="4E10402F"/>
    <w:rsid w:val="519E1D35"/>
    <w:rsid w:val="55855303"/>
    <w:rsid w:val="567E1F8B"/>
    <w:rsid w:val="56CE6835"/>
    <w:rsid w:val="56E7105D"/>
    <w:rsid w:val="57F873A0"/>
    <w:rsid w:val="5B5558DD"/>
    <w:rsid w:val="5EFA28BD"/>
    <w:rsid w:val="5F625217"/>
    <w:rsid w:val="5FB94CDF"/>
    <w:rsid w:val="61F061FA"/>
    <w:rsid w:val="62724E61"/>
    <w:rsid w:val="63514A76"/>
    <w:rsid w:val="647F6552"/>
    <w:rsid w:val="64BB489D"/>
    <w:rsid w:val="65921CF6"/>
    <w:rsid w:val="65B732B6"/>
    <w:rsid w:val="65DB5214"/>
    <w:rsid w:val="66A82BFF"/>
    <w:rsid w:val="66D841F4"/>
    <w:rsid w:val="67AE693B"/>
    <w:rsid w:val="67F105D6"/>
    <w:rsid w:val="69F65D89"/>
    <w:rsid w:val="6AAD2EDA"/>
    <w:rsid w:val="6C715A72"/>
    <w:rsid w:val="6D0B08CD"/>
    <w:rsid w:val="6EEF1D13"/>
    <w:rsid w:val="71BD526D"/>
    <w:rsid w:val="72AE7D36"/>
    <w:rsid w:val="746F63D8"/>
    <w:rsid w:val="747B790C"/>
    <w:rsid w:val="75A37A3E"/>
    <w:rsid w:val="75E31EA6"/>
    <w:rsid w:val="768A2321"/>
    <w:rsid w:val="76D0242A"/>
    <w:rsid w:val="791401EC"/>
    <w:rsid w:val="792702FB"/>
    <w:rsid w:val="7B6C0247"/>
    <w:rsid w:val="7EE527EB"/>
    <w:rsid w:val="7F5636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2"/>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3"/>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Calibri" w:hAnsi="Calibri" w:eastAsia="宋体" w:cs="Times New Roman"/>
      <w:kern w:val="2"/>
      <w:sz w:val="21"/>
      <w:szCs w:val="24"/>
    </w:rPr>
  </w:style>
  <w:style w:type="character" w:customStyle="1" w:styleId="12">
    <w:name w:val="批注框文本 字符"/>
    <w:basedOn w:val="9"/>
    <w:link w:val="4"/>
    <w:qFormat/>
    <w:uiPriority w:val="0"/>
    <w:rPr>
      <w:rFonts w:ascii="Calibri" w:hAnsi="Calibri" w:eastAsia="宋体" w:cs="Times New Roman"/>
      <w:kern w:val="2"/>
      <w:sz w:val="18"/>
      <w:szCs w:val="18"/>
    </w:rPr>
  </w:style>
  <w:style w:type="character" w:customStyle="1" w:styleId="13">
    <w:name w:val="批注主题 字符"/>
    <w:basedOn w:val="11"/>
    <w:link w:val="6"/>
    <w:qFormat/>
    <w:uiPriority w:val="0"/>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239.63</c:v>
                </c:pt>
                <c:pt idx="1">
                  <c:v>168</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239.63</c:v>
                </c:pt>
                <c:pt idx="1">
                  <c:v>168</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rgbClr val="5B9BD5"/>
              </a:solidFill>
              <a:ln w="19050">
                <a:solidFill>
                  <a:sysClr val="window" lastClr="FFFFFF"/>
                </a:solidFill>
              </a:ln>
              <a:effectLst/>
            </c:spPr>
          </c:dPt>
          <c:dPt>
            <c:idx val="1"/>
            <c:invertIfNegative val="0"/>
            <c:bubble3D val="0"/>
            <c:spPr>
              <a:solidFill>
                <a:srgbClr val="ED7D31"/>
              </a:solidFill>
              <a:ln w="19050">
                <a:solidFill>
                  <a:sysClr val="window" lastClr="FFFFFF"/>
                </a:solidFill>
              </a:ln>
              <a:effectLst/>
            </c:spPr>
          </c:dPt>
          <c:dPt>
            <c:idx val="2"/>
            <c:invertIfNegative val="0"/>
            <c:bubble3D val="0"/>
            <c:spPr>
              <a:solidFill>
                <a:srgbClr val="A5A5A5"/>
              </a:solidFill>
              <a:ln w="19050">
                <a:solidFill>
                  <a:sysClr val="window" lastClr="FFFFFF"/>
                </a:solidFill>
              </a:ln>
              <a:effectLst/>
            </c:spPr>
          </c:dPt>
          <c:dPt>
            <c:idx val="3"/>
            <c:invertIfNegative val="0"/>
            <c:bubble3D val="0"/>
            <c:spPr>
              <a:solidFill>
                <a:srgbClr val="FFC000"/>
              </a:solidFill>
              <a:ln w="19050">
                <a:solidFill>
                  <a:sysClr val="window" lastClr="FFFFFF"/>
                </a:solidFill>
              </a:ln>
              <a:effectLst/>
            </c:spPr>
          </c:dPt>
          <c:dPt>
            <c:idx val="4"/>
            <c:invertIfNegative val="0"/>
            <c:bubble3D val="0"/>
            <c:spPr>
              <a:solidFill>
                <a:srgbClr val="4472C4"/>
              </a:solidFill>
              <a:ln w="19050">
                <a:solidFill>
                  <a:sysClr val="window" lastClr="FFFFFF"/>
                </a:solidFill>
              </a:ln>
              <a:effectLst/>
            </c:spPr>
          </c:dPt>
          <c:dPt>
            <c:idx val="5"/>
            <c:invertIfNegative val="0"/>
            <c:bubble3D val="0"/>
            <c:spPr>
              <a:solidFill>
                <a:srgbClr val="70AD47"/>
              </a:solidFill>
              <a:ln w="19050">
                <a:solidFill>
                  <a:sysClr val="window" lastClr="FFFFFF"/>
                </a:solidFill>
              </a:ln>
              <a:effectLst/>
            </c:spPr>
          </c:dPt>
          <c:dPt>
            <c:idx val="6"/>
            <c:invertIfNegative val="0"/>
            <c:bubble3D val="0"/>
            <c:spPr>
              <a:solidFill>
                <a:srgbClr val="5B9BD5">
                  <a:lumMod val="60000"/>
                </a:srgbClr>
              </a:solidFill>
              <a:ln w="19050">
                <a:solidFill>
                  <a:sysClr val="window" lastClr="FFFFFF"/>
                </a:solidFill>
              </a:ln>
              <a:effectLst/>
            </c:spPr>
          </c:dPt>
          <c:dPt>
            <c:idx val="7"/>
            <c:invertIfNegative val="0"/>
            <c:bubble3D val="0"/>
            <c:spPr>
              <a:solidFill>
                <a:srgbClr val="ED7D31">
                  <a:lumMod val="60000"/>
                </a:srgbClr>
              </a:solidFill>
              <a:ln w="19050">
                <a:solidFill>
                  <a:sysClr val="window" lastClr="FFFFFF"/>
                </a:solidFill>
              </a:ln>
              <a:effectLst/>
            </c:spPr>
          </c:dPt>
          <c:dPt>
            <c:idx val="8"/>
            <c:invertIfNegative val="0"/>
            <c:bubble3D val="0"/>
            <c:spPr>
              <a:solidFill>
                <a:srgbClr val="A5A5A5">
                  <a:lumMod val="60000"/>
                </a:srgbClr>
              </a:solidFill>
              <a:ln w="19050">
                <a:solidFill>
                  <a:sysClr val="window" lastClr="FFFFFF"/>
                </a:solidFill>
              </a:ln>
              <a:effectLst/>
            </c:spPr>
          </c:dPt>
          <c:dPt>
            <c:idx val="9"/>
            <c:invertIfNegative val="0"/>
            <c:bubble3D val="0"/>
            <c:spPr>
              <a:solidFill>
                <a:srgbClr val="FFC000">
                  <a:lumMod val="60000"/>
                </a:srgbClr>
              </a:solidFill>
              <a:ln w="19050">
                <a:solidFill>
                  <a:sysClr val="window" lastClr="FFFFFF"/>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125.16</c:v>
                </c:pt>
                <c:pt idx="8">
                  <c:v>42.84</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121.6</c:v>
                </c:pt>
                <c:pt idx="1">
                  <c:v>46.4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239.63</c:v>
                </c:pt>
                <c:pt idx="1">
                  <c:v>125.16</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239.63</c:v>
                </c:pt>
                <c:pt idx="1">
                  <c:v>125.16</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defTabSz="914400">
              <a:defRPr lang="zh-CN" sz="1400" b="1" i="0" u="none" strike="noStrike" kern="1200" spc="0" baseline="0">
                <a:solidFill>
                  <a:sysClr val="windowText" lastClr="000000">
                    <a:lumMod val="65000"/>
                    <a:lumOff val="35000"/>
                  </a:sys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78.76</c:v>
                </c:pt>
                <c:pt idx="1">
                  <c:v>46.4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71.97</c:v>
                </c:pt>
                <c:pt idx="1">
                  <c:v>6.79</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0" i="0" u="none" strike="noStrike" kern="1200" spc="0" baseline="0">
                <a:solidFill>
                  <a:sysClr val="windowText" lastClr="000000">
                    <a:lumMod val="65000"/>
                    <a:lumOff val="35000"/>
                  </a:sys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2115583075335"/>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1</c:v>
                </c:pt>
                <c:pt idx="1">
                  <c:v>1</c:v>
                </c:pt>
              </c:numCache>
            </c:numRef>
          </c:val>
        </c:ser>
        <c:ser>
          <c:idx val="2"/>
          <c:order val="2"/>
          <c:tx>
            <c:strRef>
              <c:f>Sheet1!$D$1</c:f>
              <c:strCache>
                <c:ptCount val="1"/>
                <c:pt idx="0">
                  <c:v>公务用车购置及运行费</c:v>
                </c:pt>
              </c:strCache>
            </c:strRef>
          </c:tx>
          <c:spPr>
            <a:solidFill>
              <a:srgbClr val="A5A5A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Pages>13</Pages>
  <Words>2661</Words>
  <Characters>2876</Characters>
  <Lines>20</Lines>
  <Paragraphs>5</Paragraphs>
  <TotalTime>0</TotalTime>
  <ScaleCrop>false</ScaleCrop>
  <LinksUpToDate>false</LinksUpToDate>
  <CharactersWithSpaces>2910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2023-03-07T05:13:17Z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4EC545D752324EC7B51C1830C6704E49</vt:lpwstr>
  </property>
</Properties>
</file>