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淮滨县建筑工程定额管理站部门预算说明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淮滨县建筑工程定额管理站</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bookmarkStart w:id="0" w:name="_GoBack"/>
      <w:bookmarkEnd w:id="0"/>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淮滨县建筑工程定额管理站</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附件：淮滨县建筑工程定额管理站</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淮滨县建筑工程定额管理站</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淮滨县建筑工程定额管理站</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ascii="仿宋_GB2312" w:hAnsi="仿宋_GB2312" w:eastAsia="仿宋_GB2312" w:cs="仿宋_GB2312"/>
          <w:bCs/>
          <w:szCs w:val="32"/>
        </w:rPr>
      </w:pPr>
      <w:r>
        <w:rPr>
          <w:rFonts w:ascii="仿宋_GB2312" w:hAnsi="仿宋_GB2312" w:eastAsia="仿宋_GB2312" w:cs="仿宋_GB2312"/>
          <w:bCs/>
          <w:szCs w:val="32"/>
        </w:rPr>
        <w:t>淮滨县</w:t>
      </w:r>
      <w:r>
        <w:rPr>
          <w:rFonts w:hint="eastAsia" w:ascii="仿宋_GB2312" w:hAnsi="仿宋_GB2312" w:eastAsia="仿宋_GB2312" w:cs="仿宋_GB2312"/>
          <w:bCs/>
          <w:szCs w:val="32"/>
        </w:rPr>
        <w:t>建筑工程定额管理站</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hAnsi="仿宋" w:eastAsia="仿宋_GB2312"/>
          <w:sz w:val="32"/>
          <w:szCs w:val="32"/>
        </w:rPr>
      </w:pPr>
      <w:r>
        <w:rPr>
          <w:rFonts w:hint="eastAsia" w:ascii="仿宋_GB2312" w:hAnsi="仿宋" w:eastAsia="仿宋_GB2312"/>
          <w:sz w:val="32"/>
          <w:szCs w:val="32"/>
        </w:rPr>
        <w:t>综合管理全县建筑工程建设标准。指导并监督国家、省制定的各类建筑工程的概算定额、费用定额和劳动定额在全县贯彻实施；组织制定并发布各类建筑工程的补充定额并监督实施；按照建设项目可行性研究经济评价方法、经济参数、建设标准投资估算指标、建设工期定额、建设用地指标和工程造价管理等方面的政策和规定，结合本县情况。制定相应的管理制度和实施办法并监督实施。</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 w:eastAsia="仿宋_GB2312"/>
          <w:sz w:val="32"/>
          <w:szCs w:val="32"/>
          <w:lang w:val="en-US" w:eastAsia="zh-CN"/>
        </w:rPr>
      </w:pPr>
      <w:r>
        <w:rPr>
          <w:rFonts w:hint="eastAsia" w:ascii="仿宋_GB2312" w:hAnsi="仿宋" w:eastAsia="仿宋_GB2312"/>
          <w:sz w:val="32"/>
          <w:szCs w:val="32"/>
        </w:rPr>
        <w:t>根据国家、省有关法律、法规、政策，参与制定全县城镇发展规划和相关政策，制定城镇建设管理办法并监督实施；负责城镇、乡村基础设施建设的管理；承担对历史文化名胜相关事项的审查报批和保护监督工作。主管全县风景名胜区工作，负责全县风景名胜区的建设、审查报批和保护、管理工作；负责行业统计；管理城市建设档案</w:t>
      </w:r>
      <w:r>
        <w:rPr>
          <w:rFonts w:hint="eastAsia" w:ascii="仿宋_GB2312" w:eastAsia="仿宋_GB2312"/>
          <w:sz w:val="32"/>
          <w:szCs w:val="32"/>
          <w:lang w:eastAsia="zh-CN"/>
        </w:rPr>
        <w:t>。</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 w:eastAsia="仿宋_GB2312"/>
          <w:sz w:val="32"/>
          <w:szCs w:val="32"/>
          <w:lang w:val="en-US" w:eastAsia="zh-CN"/>
        </w:rPr>
      </w:pPr>
      <w:r>
        <w:rPr>
          <w:rFonts w:hint="eastAsia" w:ascii="仿宋_GB2312" w:hAnsi="仿宋" w:eastAsia="仿宋_GB2312"/>
          <w:sz w:val="32"/>
          <w:szCs w:val="32"/>
        </w:rPr>
        <w:t>承办县委、政府交办的其他事项。</w:t>
      </w:r>
    </w:p>
    <w:p>
      <w:pPr>
        <w:numPr>
          <w:ilvl w:val="0"/>
          <w:numId w:val="3"/>
        </w:numPr>
        <w:kinsoku w:val="0"/>
        <w:overflowPunct w:val="0"/>
        <w:adjustRightInd w:val="0"/>
        <w:snapToGrid w:val="0"/>
        <w:spacing w:line="360" w:lineRule="auto"/>
        <w:ind w:left="120" w:leftChars="0"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内设机构设置情况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建筑工程定额管理站本级预算包括：办公室等股室的预算。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淮滨县建筑工程定额管理站202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年部门预算包括淮滨县建筑工程定额管理站</w:t>
      </w:r>
      <w:r>
        <w:rPr>
          <w:rFonts w:hint="eastAsia" w:ascii="仿宋_GB2312" w:hAnsi="仿宋_GB2312" w:eastAsia="仿宋_GB2312" w:cs="仿宋_GB2312"/>
          <w:bCs/>
          <w:sz w:val="32"/>
          <w:szCs w:val="32"/>
          <w:lang w:val="en-US" w:eastAsia="zh-CN"/>
        </w:rPr>
        <w:t>本</w:t>
      </w:r>
      <w:r>
        <w:rPr>
          <w:rFonts w:hint="eastAsia" w:ascii="仿宋_GB2312" w:hAnsi="仿宋_GB2312" w:eastAsia="仿宋_GB2312" w:cs="仿宋_GB2312"/>
          <w:bCs/>
          <w:sz w:val="32"/>
          <w:szCs w:val="32"/>
        </w:rPr>
        <w:t>单位预算/本单位无所属二级机构预算。</w:t>
      </w:r>
    </w:p>
    <w:p>
      <w:pPr>
        <w:jc w:val="center"/>
        <w:rPr>
          <w:rFonts w:ascii="黑体" w:hAnsi="黑体" w:eastAsia="黑体" w:cs="黑体"/>
          <w:b/>
          <w:bCs/>
          <w:sz w:val="36"/>
          <w:szCs w:val="36"/>
        </w:rPr>
      </w:pPr>
    </w:p>
    <w:p>
      <w:pPr>
        <w:jc w:val="center"/>
        <w:rPr>
          <w:rFonts w:ascii="黑体" w:hAnsi="黑体" w:eastAsia="黑体" w:cs="黑体"/>
          <w:b/>
          <w:bCs/>
          <w:sz w:val="36"/>
          <w:szCs w:val="36"/>
        </w:rPr>
      </w:pPr>
    </w:p>
    <w:p>
      <w:pPr>
        <w:jc w:val="center"/>
        <w:rPr>
          <w:rFonts w:ascii="黑体" w:hAnsi="黑体" w:eastAsia="黑体" w:cs="黑体"/>
          <w:b/>
          <w:bCs/>
          <w:sz w:val="36"/>
          <w:szCs w:val="36"/>
        </w:rPr>
      </w:pPr>
    </w:p>
    <w:p>
      <w:pPr>
        <w:jc w:val="center"/>
        <w:rPr>
          <w:rFonts w:ascii="黑体" w:hAnsi="黑体" w:eastAsia="黑体" w:cs="黑体"/>
          <w:b/>
          <w:bCs/>
          <w:sz w:val="36"/>
          <w:szCs w:val="36"/>
        </w:rPr>
      </w:pPr>
    </w:p>
    <w:p>
      <w:pPr>
        <w:jc w:val="center"/>
        <w:rPr>
          <w:rFonts w:ascii="黑体" w:hAnsi="黑体" w:eastAsia="黑体" w:cs="黑体"/>
          <w:b/>
          <w:bCs/>
          <w:sz w:val="36"/>
          <w:szCs w:val="36"/>
        </w:rPr>
      </w:pPr>
    </w:p>
    <w:p>
      <w:pPr>
        <w:jc w:val="center"/>
        <w:rPr>
          <w:rFonts w:ascii="黑体" w:hAnsi="黑体" w:eastAsia="黑体" w:cs="黑体"/>
          <w:b/>
          <w:bCs/>
          <w:sz w:val="36"/>
          <w:szCs w:val="36"/>
        </w:rPr>
      </w:pPr>
    </w:p>
    <w:p>
      <w:pPr>
        <w:jc w:val="center"/>
        <w:rPr>
          <w:rFonts w:ascii="黑体" w:hAnsi="黑体" w:eastAsia="黑体" w:cs="黑体"/>
          <w:b/>
          <w:bCs/>
          <w:sz w:val="36"/>
          <w:szCs w:val="36"/>
        </w:rPr>
      </w:pPr>
    </w:p>
    <w:p>
      <w:pPr>
        <w:jc w:val="center"/>
        <w:rPr>
          <w:rFonts w:ascii="黑体" w:hAnsi="黑体" w:eastAsia="黑体" w:cs="黑体"/>
          <w:b/>
          <w:bCs/>
          <w:sz w:val="36"/>
          <w:szCs w:val="36"/>
        </w:rPr>
      </w:pPr>
    </w:p>
    <w:p>
      <w:pPr>
        <w:jc w:val="both"/>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淮滨县建筑工程定额管理站</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淮滨县建筑工程定额管理站</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148.14</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148.14</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106.33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254.32</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新增</w:t>
      </w:r>
      <w:r>
        <w:rPr>
          <w:rFonts w:hint="eastAsia" w:ascii="仿宋" w:hAnsi="仿宋" w:eastAsia="仿宋" w:cs="仿宋"/>
          <w:sz w:val="32"/>
          <w:szCs w:val="32"/>
        </w:rPr>
        <w:t>百城提质专项经费。</w:t>
      </w:r>
    </w:p>
    <w:p>
      <w:pPr>
        <w:ind w:firstLine="640" w:firstLineChars="200"/>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淮滨县建筑工程定额管理站</w:t>
      </w:r>
      <w:r>
        <w:rPr>
          <w:rFonts w:hint="eastAsia" w:ascii="仿宋" w:hAnsi="仿宋" w:eastAsia="仿宋" w:cs="仿宋"/>
          <w:sz w:val="32"/>
          <w:lang w:eastAsia="zh-CN"/>
        </w:rPr>
        <w:t>2023年</w:t>
      </w:r>
      <w:r>
        <w:rPr>
          <w:rFonts w:hint="eastAsia" w:ascii="仿宋" w:hAnsi="仿宋" w:eastAsia="仿宋" w:cs="仿宋"/>
          <w:sz w:val="32"/>
        </w:rPr>
        <w:t>收入合计148.14万元，其中：一般公共预算收入148.14万元，上年结转结余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淮滨县建筑工程定额管理站</w:t>
      </w:r>
      <w:r>
        <w:rPr>
          <w:rFonts w:hint="eastAsia" w:ascii="仿宋" w:hAnsi="仿宋" w:eastAsia="仿宋" w:cs="仿宋"/>
          <w:sz w:val="32"/>
          <w:lang w:eastAsia="zh-CN"/>
        </w:rPr>
        <w:t>2023年</w:t>
      </w:r>
      <w:r>
        <w:rPr>
          <w:rFonts w:hint="eastAsia" w:ascii="仿宋" w:hAnsi="仿宋" w:eastAsia="仿宋" w:cs="仿宋"/>
          <w:sz w:val="32"/>
        </w:rPr>
        <w:t>支出合计148.14万元，其中：基本支出</w:t>
      </w:r>
      <w:r>
        <w:rPr>
          <w:rFonts w:hint="eastAsia" w:ascii="仿宋" w:hAnsi="仿宋" w:eastAsia="仿宋" w:cs="仿宋"/>
          <w:sz w:val="32"/>
          <w:lang w:val="en-US" w:eastAsia="zh-CN"/>
        </w:rPr>
        <w:t>63.34</w:t>
      </w:r>
      <w:r>
        <w:rPr>
          <w:rFonts w:hint="eastAsia" w:ascii="仿宋" w:hAnsi="仿宋" w:eastAsia="仿宋" w:cs="仿宋"/>
          <w:sz w:val="32"/>
        </w:rPr>
        <w:t>万元，占</w:t>
      </w:r>
      <w:r>
        <w:rPr>
          <w:rFonts w:hint="eastAsia" w:ascii="仿宋" w:hAnsi="仿宋" w:eastAsia="仿宋" w:cs="仿宋"/>
          <w:sz w:val="32"/>
          <w:lang w:val="en-US" w:eastAsia="zh-CN"/>
        </w:rPr>
        <w:t>43</w:t>
      </w:r>
      <w:r>
        <w:rPr>
          <w:rFonts w:hint="eastAsia" w:ascii="仿宋" w:hAnsi="仿宋" w:eastAsia="仿宋" w:cs="仿宋"/>
          <w:sz w:val="32"/>
        </w:rPr>
        <w:t>%；项目支出</w:t>
      </w:r>
      <w:r>
        <w:rPr>
          <w:rFonts w:hint="eastAsia" w:ascii="仿宋" w:hAnsi="仿宋" w:eastAsia="仿宋" w:cs="仿宋"/>
          <w:sz w:val="32"/>
          <w:lang w:val="en-US" w:eastAsia="zh-CN"/>
        </w:rPr>
        <w:t>84.8</w:t>
      </w:r>
      <w:r>
        <w:rPr>
          <w:rFonts w:hint="eastAsia" w:ascii="仿宋" w:hAnsi="仿宋" w:eastAsia="仿宋" w:cs="仿宋"/>
          <w:sz w:val="32"/>
        </w:rPr>
        <w:t>万元，占</w:t>
      </w:r>
      <w:r>
        <w:rPr>
          <w:rFonts w:hint="eastAsia" w:ascii="仿宋" w:hAnsi="仿宋" w:eastAsia="仿宋" w:cs="仿宋"/>
          <w:sz w:val="32"/>
          <w:lang w:val="en-US" w:eastAsia="zh-CN"/>
        </w:rPr>
        <w:t>57</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淮滨县建筑工程定额管理站</w:t>
      </w:r>
      <w:r>
        <w:rPr>
          <w:rFonts w:hint="eastAsia" w:ascii="仿宋" w:hAnsi="仿宋" w:eastAsia="仿宋" w:cs="仿宋"/>
          <w:sz w:val="32"/>
          <w:lang w:eastAsia="zh-CN"/>
        </w:rPr>
        <w:t>2023年</w:t>
      </w:r>
      <w:r>
        <w:rPr>
          <w:rFonts w:hint="eastAsia" w:ascii="仿宋" w:hAnsi="仿宋" w:eastAsia="仿宋" w:cs="仿宋"/>
          <w:sz w:val="32"/>
        </w:rPr>
        <w:t>一般公共预算收支预算148.14万元，无政府性基金预算和国有资本经营预算。与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相比，一般公共预算收支预算增加</w:t>
      </w:r>
      <w:r>
        <w:rPr>
          <w:rFonts w:hint="eastAsia" w:ascii="仿宋" w:hAnsi="仿宋" w:eastAsia="仿宋" w:cs="仿宋"/>
          <w:sz w:val="32"/>
          <w:szCs w:val="32"/>
          <w:lang w:val="en-US" w:eastAsia="zh-CN"/>
        </w:rPr>
        <w:t>106.33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254.32</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新增</w:t>
      </w:r>
      <w:r>
        <w:rPr>
          <w:rFonts w:hint="eastAsia" w:ascii="仿宋" w:hAnsi="仿宋" w:eastAsia="仿宋" w:cs="仿宋"/>
          <w:sz w:val="32"/>
          <w:szCs w:val="32"/>
        </w:rPr>
        <w:t>百城提质专项经费。</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淮滨县建筑工程定额管理站</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lang w:val="en-US" w:eastAsia="zh-CN"/>
        </w:rPr>
        <w:t>148.14</w:t>
      </w:r>
      <w:r>
        <w:rPr>
          <w:rFonts w:hint="eastAsia" w:ascii="仿宋" w:hAnsi="仿宋" w:eastAsia="仿宋" w:cs="仿宋"/>
          <w:sz w:val="32"/>
        </w:rPr>
        <w:t>万元。其中：基本支出</w:t>
      </w:r>
      <w:r>
        <w:rPr>
          <w:rFonts w:hint="eastAsia" w:ascii="仿宋" w:hAnsi="仿宋" w:eastAsia="仿宋" w:cs="仿宋"/>
          <w:sz w:val="32"/>
          <w:lang w:val="en-US" w:eastAsia="zh-CN"/>
        </w:rPr>
        <w:t>63.34</w:t>
      </w:r>
      <w:r>
        <w:rPr>
          <w:rFonts w:hint="eastAsia" w:ascii="仿宋" w:hAnsi="仿宋" w:eastAsia="仿宋" w:cs="仿宋"/>
          <w:sz w:val="32"/>
        </w:rPr>
        <w:t>万元，占</w:t>
      </w:r>
      <w:r>
        <w:rPr>
          <w:rFonts w:hint="eastAsia" w:ascii="仿宋" w:hAnsi="仿宋" w:eastAsia="仿宋" w:cs="仿宋"/>
          <w:sz w:val="32"/>
          <w:lang w:val="en-US" w:eastAsia="zh-CN"/>
        </w:rPr>
        <w:t>43</w:t>
      </w:r>
      <w:r>
        <w:rPr>
          <w:rFonts w:hint="eastAsia" w:ascii="仿宋" w:hAnsi="仿宋" w:eastAsia="仿宋" w:cs="仿宋"/>
          <w:sz w:val="32"/>
        </w:rPr>
        <w:t>%;项目支出</w:t>
      </w:r>
      <w:r>
        <w:rPr>
          <w:rFonts w:hint="eastAsia" w:ascii="仿宋" w:hAnsi="仿宋" w:eastAsia="仿宋" w:cs="仿宋"/>
          <w:sz w:val="32"/>
          <w:lang w:val="en-US" w:eastAsia="zh-CN"/>
        </w:rPr>
        <w:t>84.8</w:t>
      </w:r>
      <w:r>
        <w:rPr>
          <w:rFonts w:hint="eastAsia" w:ascii="仿宋" w:hAnsi="仿宋" w:eastAsia="仿宋" w:cs="仿宋"/>
          <w:sz w:val="32"/>
        </w:rPr>
        <w:t>万元，占</w:t>
      </w:r>
      <w:r>
        <w:rPr>
          <w:rFonts w:hint="eastAsia" w:ascii="仿宋" w:hAnsi="仿宋" w:eastAsia="仿宋" w:cs="仿宋"/>
          <w:sz w:val="32"/>
          <w:lang w:val="en-US" w:eastAsia="zh-CN"/>
        </w:rPr>
        <w:t>57</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淮滨县建筑工程定额管理站</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一般公共预算基本支出年初预算为</w:t>
      </w:r>
      <w:r>
        <w:rPr>
          <w:rFonts w:hint="eastAsia" w:ascii="仿宋" w:hAnsi="仿宋" w:eastAsia="仿宋" w:cs="仿宋"/>
          <w:color w:val="000000"/>
          <w:sz w:val="32"/>
          <w:szCs w:val="32"/>
          <w:lang w:val="en-US" w:eastAsia="zh-CN"/>
        </w:rPr>
        <w:t>63.34</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60.94</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96</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2.4</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淮滨县建筑工程定额管理站</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万元。主要用于按规定开支的各类公务接待支出。预算数与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r>
        <w:rPr>
          <w:rFonts w:hint="eastAsia" w:ascii="仿宋" w:hAnsi="仿宋" w:eastAsia="仿宋" w:cs="仿宋"/>
          <w:sz w:val="32"/>
        </w:rPr>
        <w:t>。</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szCs w:val="32"/>
        </w:rPr>
        <w:t>淮滨县建筑工程定额管理站</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2.4</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lang w:val="en-US" w:eastAsia="zh-CN"/>
        </w:rPr>
        <w:t>2</w:t>
      </w:r>
      <w:r>
        <w:rPr>
          <w:rFonts w:hint="eastAsia" w:ascii="仿宋" w:hAnsi="仿宋" w:eastAsia="仿宋" w:cs="仿宋"/>
          <w:sz w:val="32"/>
        </w:rPr>
        <w:t>年</w:t>
      </w:r>
      <w:r>
        <w:rPr>
          <w:rFonts w:hint="eastAsia" w:ascii="仿宋" w:hAnsi="仿宋" w:eastAsia="仿宋" w:cs="仿宋"/>
          <w:sz w:val="32"/>
          <w:lang w:val="en-US" w:eastAsia="zh-CN"/>
        </w:rPr>
        <w:t>增加0.4</w:t>
      </w:r>
      <w:r>
        <w:rPr>
          <w:rFonts w:hint="eastAsia" w:ascii="仿宋" w:hAnsi="仿宋" w:eastAsia="仿宋" w:cs="仿宋"/>
          <w:sz w:val="32"/>
        </w:rPr>
        <w:t>万元，</w:t>
      </w:r>
      <w:r>
        <w:rPr>
          <w:rFonts w:hint="eastAsia" w:ascii="仿宋" w:hAnsi="仿宋" w:eastAsia="仿宋" w:cs="仿宋"/>
          <w:sz w:val="32"/>
          <w:lang w:val="en-US" w:eastAsia="zh-CN"/>
        </w:rPr>
        <w:t>增加2</w:t>
      </w:r>
      <w:r>
        <w:rPr>
          <w:rFonts w:hint="eastAsia" w:ascii="仿宋" w:hAnsi="仿宋" w:eastAsia="仿宋" w:cs="仿宋"/>
          <w:sz w:val="32"/>
        </w:rPr>
        <w:t>%，主要原因：</w:t>
      </w:r>
      <w:r>
        <w:rPr>
          <w:rFonts w:hint="eastAsia" w:ascii="仿宋" w:hAnsi="仿宋" w:eastAsia="仿宋" w:cs="仿宋"/>
          <w:sz w:val="32"/>
          <w:lang w:val="en-US" w:eastAsia="zh-CN"/>
        </w:rPr>
        <w:t>保障正常运作及履行相应职责。</w:t>
      </w:r>
    </w:p>
    <w:p>
      <w:pPr>
        <w:ind w:firstLine="640" w:firstLineChars="200"/>
        <w:jc w:val="left"/>
        <w:rPr>
          <w:rFonts w:hint="eastAsia" w:ascii="仿宋" w:hAnsi="仿宋" w:eastAsia="仿宋" w:cs="仿宋"/>
          <w:sz w:val="32"/>
        </w:rPr>
      </w:pP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3</w:t>
      </w:r>
      <w:r>
        <w:rPr>
          <w:rFonts w:hint="eastAsia" w:ascii="仿宋" w:hAnsi="仿宋" w:eastAsia="仿宋" w:cs="仿宋"/>
          <w:sz w:val="32"/>
        </w:rPr>
        <w:t>万元，其中：货物类采购预算</w:t>
      </w:r>
      <w:r>
        <w:rPr>
          <w:rFonts w:hint="eastAsia" w:ascii="仿宋" w:hAnsi="仿宋" w:eastAsia="仿宋" w:cs="仿宋"/>
          <w:sz w:val="32"/>
          <w:lang w:val="en-US" w:eastAsia="zh-CN"/>
        </w:rPr>
        <w:t>3</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148.14</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84.8</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rPr>
      </w:pP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附件：淮滨县建筑工程定额管理站</w:t>
      </w:r>
      <w:r>
        <w:rPr>
          <w:rFonts w:hint="eastAsia" w:ascii="黑体" w:hAnsi="黑体" w:eastAsia="黑体" w:cs="黑体"/>
          <w:sz w:val="32"/>
          <w:lang w:eastAsia="zh-CN"/>
        </w:rPr>
        <w:t>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FB256AFA"/>
    <w:multiLevelType w:val="singleLevel"/>
    <w:tmpl w:val="FB256AFA"/>
    <w:lvl w:ilvl="0" w:tentative="0">
      <w:start w:val="1"/>
      <w:numFmt w:val="chineseCounting"/>
      <w:suff w:val="nothing"/>
      <w:lvlText w:val="（%1）"/>
      <w:lvlJc w:val="left"/>
      <w:rPr>
        <w:rFonts w:hint="eastAsia"/>
      </w:rPr>
    </w:lvl>
  </w:abstractNum>
  <w:abstractNum w:abstractNumId="4">
    <w:nsid w:val="1DBE515B"/>
    <w:multiLevelType w:val="singleLevel"/>
    <w:tmpl w:val="1DBE515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WUyZTE2MTkyYjBkMmFkYzFjOGQ1ZTE0MzA4YzE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D0F4ED6"/>
    <w:rsid w:val="0D513137"/>
    <w:rsid w:val="10602789"/>
    <w:rsid w:val="123258EF"/>
    <w:rsid w:val="12EF1A32"/>
    <w:rsid w:val="144A1E7D"/>
    <w:rsid w:val="15F07B94"/>
    <w:rsid w:val="173B6758"/>
    <w:rsid w:val="191C5F4B"/>
    <w:rsid w:val="1B351FAC"/>
    <w:rsid w:val="1CA53161"/>
    <w:rsid w:val="1D0460DA"/>
    <w:rsid w:val="1D2E3157"/>
    <w:rsid w:val="1F046865"/>
    <w:rsid w:val="1FE67D19"/>
    <w:rsid w:val="20C53DD2"/>
    <w:rsid w:val="228003BD"/>
    <w:rsid w:val="228C104B"/>
    <w:rsid w:val="246B28E3"/>
    <w:rsid w:val="24DA1A42"/>
    <w:rsid w:val="274F7F6E"/>
    <w:rsid w:val="279A1B15"/>
    <w:rsid w:val="27A42993"/>
    <w:rsid w:val="28196722"/>
    <w:rsid w:val="28271C24"/>
    <w:rsid w:val="28447CD2"/>
    <w:rsid w:val="2A07545B"/>
    <w:rsid w:val="2AA67AA4"/>
    <w:rsid w:val="2AA72B5A"/>
    <w:rsid w:val="2AA8279A"/>
    <w:rsid w:val="2ACE5F14"/>
    <w:rsid w:val="2C081B10"/>
    <w:rsid w:val="2D4A0B6E"/>
    <w:rsid w:val="2F072B71"/>
    <w:rsid w:val="2F8530AA"/>
    <w:rsid w:val="3177309A"/>
    <w:rsid w:val="32476D3D"/>
    <w:rsid w:val="33ED121E"/>
    <w:rsid w:val="3402116D"/>
    <w:rsid w:val="34030A42"/>
    <w:rsid w:val="34E010E6"/>
    <w:rsid w:val="358856A2"/>
    <w:rsid w:val="3699743B"/>
    <w:rsid w:val="38237904"/>
    <w:rsid w:val="3872263A"/>
    <w:rsid w:val="39D84127"/>
    <w:rsid w:val="3A2B0CF2"/>
    <w:rsid w:val="3A865F28"/>
    <w:rsid w:val="3C1F6635"/>
    <w:rsid w:val="3D3D4FC4"/>
    <w:rsid w:val="3E5A6C85"/>
    <w:rsid w:val="3EB07EC7"/>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E10402F"/>
    <w:rsid w:val="519E1D35"/>
    <w:rsid w:val="55855303"/>
    <w:rsid w:val="567E1F8B"/>
    <w:rsid w:val="56CE6835"/>
    <w:rsid w:val="56E7105D"/>
    <w:rsid w:val="57F873A0"/>
    <w:rsid w:val="5D6E4D08"/>
    <w:rsid w:val="5EFA28BD"/>
    <w:rsid w:val="5F625217"/>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C715A72"/>
    <w:rsid w:val="6D0B08CD"/>
    <w:rsid w:val="6EEF1D13"/>
    <w:rsid w:val="71BD526D"/>
    <w:rsid w:val="72AE7D36"/>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4.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6.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7.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41.81</c:v>
                </c:pt>
                <c:pt idx="1">
                  <c:v>148.14</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41.81</c:v>
                </c:pt>
                <c:pt idx="1">
                  <c:v>148.14</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ax val="160"/>
          <c:min val="3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148.14</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63.34</c:v>
                </c:pt>
                <c:pt idx="1">
                  <c:v>84.8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41.81</c:v>
                </c:pt>
                <c:pt idx="1">
                  <c:v>148.14</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41.81</c:v>
                </c:pt>
                <c:pt idx="1">
                  <c:v>148.14</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ax val="160"/>
          <c:min val="3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63.34</c:v>
                </c:pt>
                <c:pt idx="1">
                  <c:v>84.8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60.94</c:v>
                </c:pt>
                <c:pt idx="1">
                  <c:v>2.4</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2876</Words>
  <Characters>3094</Characters>
  <Lines>20</Lines>
  <Paragraphs>5</Paragraphs>
  <TotalTime>0</TotalTime>
  <ScaleCrop>false</ScaleCrop>
  <LinksUpToDate>false</LinksUpToDate>
  <CharactersWithSpaces>3121</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黎黎</cp:lastModifiedBy>
  <dcterms:modified xsi:type="dcterms:W3CDTF">2023-03-08T01:05:19Z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4EC545D752324EC7B51C1830C6704E49</vt:lpwstr>
  </property>
</Properties>
</file>