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淮滨县房地产市场管理所部门预算说明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淮滨县房地产市场管理所</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bookmarkStart w:id="0" w:name="_GoBack"/>
      <w:bookmarkEnd w:id="0"/>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淮滨县房地产市场管理所</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附件：淮滨县房地产市场管理所</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淮滨县房地产市场管理所</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淮滨县房地产市场管理所</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淮滨县房地产市场管理所</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 xml:space="preserve">为全县房产交易市场管理和商品房预售款的监管工作提供服务。 </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 xml:space="preserve">办理商品房预（销）售合同备案。   </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管理辖区内房地产转让、买卖、租赁、抵押、交换、赠与等交易行为。</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负责房地产市场执法工作。</w:t>
      </w:r>
    </w:p>
    <w:p>
      <w:pPr>
        <w:kinsoku w:val="0"/>
        <w:overflowPunct w:val="0"/>
        <w:adjustRightInd w:val="0"/>
        <w:snapToGrid w:val="0"/>
        <w:spacing w:line="360" w:lineRule="auto"/>
        <w:ind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二、内设机构设置情况</w:t>
      </w:r>
    </w:p>
    <w:p>
      <w:pPr>
        <w:ind w:firstLine="640" w:firstLineChars="200"/>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淮滨县房地产市场管理所预算包括：办公室等股室的预算。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淮滨县房地产市场管理所202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年部门预算包括淮滨县房地产市场管理所</w:t>
      </w:r>
      <w:r>
        <w:rPr>
          <w:rFonts w:hint="eastAsia" w:ascii="仿宋_GB2312" w:hAnsi="仿宋_GB2312" w:eastAsia="仿宋_GB2312" w:cs="仿宋_GB2312"/>
          <w:bCs/>
          <w:sz w:val="32"/>
          <w:szCs w:val="32"/>
          <w:highlight w:val="none"/>
          <w:lang w:eastAsia="zh-CN"/>
        </w:rPr>
        <w:t>本单位</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bCs/>
          <w:sz w:val="32"/>
          <w:szCs w:val="32"/>
          <w:highlight w:val="none"/>
          <w:lang w:eastAsia="zh-CN"/>
        </w:rPr>
        <w:t>。</w:t>
      </w:r>
    </w:p>
    <w:p>
      <w:pPr>
        <w:ind w:firstLine="640" w:firstLineChars="200"/>
        <w:jc w:val="left"/>
        <w:rPr>
          <w:rFonts w:ascii="仿宋_GB2312" w:hAnsi="仿宋_GB2312" w:eastAsia="仿宋_GB2312" w:cs="仿宋_GB2312"/>
          <w:bCs/>
          <w:sz w:val="32"/>
          <w:szCs w:val="32"/>
        </w:rPr>
      </w:pP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淮滨县房地产市场管理所</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淮滨县房地产市场管理所</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137.29</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137.29</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年相比，收、支总计各增加57.74万元，增长</w:t>
      </w:r>
      <w:r>
        <w:rPr>
          <w:rFonts w:hint="eastAsia" w:ascii="仿宋" w:hAnsi="仿宋" w:eastAsia="仿宋" w:cs="仿宋"/>
          <w:sz w:val="32"/>
          <w:szCs w:val="32"/>
          <w:lang w:val="en-US" w:eastAsia="zh-CN"/>
        </w:rPr>
        <w:t>72.58</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新增</w:t>
      </w:r>
      <w:r>
        <w:rPr>
          <w:rFonts w:hint="eastAsia" w:ascii="仿宋" w:hAnsi="仿宋" w:eastAsia="仿宋" w:cs="仿宋"/>
          <w:sz w:val="32"/>
          <w:szCs w:val="32"/>
        </w:rPr>
        <w:t>房管所劳务费</w:t>
      </w:r>
      <w:r>
        <w:rPr>
          <w:rFonts w:hint="eastAsia" w:ascii="仿宋" w:hAnsi="仿宋" w:eastAsia="仿宋" w:cs="仿宋"/>
          <w:sz w:val="32"/>
          <w:szCs w:val="32"/>
          <w:lang w:val="en-US" w:eastAsia="zh-CN"/>
        </w:rPr>
        <w:t>项目</w:t>
      </w:r>
      <w:r>
        <w:rPr>
          <w:rFonts w:hint="eastAsia" w:ascii="仿宋" w:hAnsi="仿宋" w:eastAsia="仿宋" w:cs="仿宋"/>
          <w:sz w:val="32"/>
          <w:szCs w:val="32"/>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淮滨县房地产市场管理所</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szCs w:val="32"/>
          <w:lang w:val="en-US" w:eastAsia="zh-CN"/>
        </w:rPr>
        <w:t>137.29</w:t>
      </w:r>
      <w:r>
        <w:rPr>
          <w:rFonts w:hint="eastAsia" w:ascii="仿宋" w:hAnsi="仿宋" w:eastAsia="仿宋" w:cs="仿宋"/>
          <w:sz w:val="32"/>
        </w:rPr>
        <w:t>万元，其中：一般公共预算收入</w:t>
      </w:r>
      <w:r>
        <w:rPr>
          <w:rFonts w:hint="eastAsia" w:ascii="仿宋" w:hAnsi="仿宋" w:eastAsia="仿宋" w:cs="仿宋"/>
          <w:sz w:val="32"/>
          <w:szCs w:val="32"/>
          <w:lang w:val="en-US" w:eastAsia="zh-CN"/>
        </w:rPr>
        <w:t>137.29</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淮滨县房地产市场管理所</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szCs w:val="32"/>
          <w:lang w:val="en-US" w:eastAsia="zh-CN"/>
        </w:rPr>
        <w:t>137.29</w:t>
      </w:r>
      <w:r>
        <w:rPr>
          <w:rFonts w:hint="eastAsia" w:ascii="仿宋" w:hAnsi="仿宋" w:eastAsia="仿宋" w:cs="仿宋"/>
          <w:sz w:val="32"/>
        </w:rPr>
        <w:t>万元，其中：基本支出</w:t>
      </w:r>
      <w:r>
        <w:rPr>
          <w:rFonts w:hint="eastAsia" w:ascii="仿宋" w:hAnsi="仿宋" w:eastAsia="仿宋" w:cs="仿宋"/>
          <w:sz w:val="32"/>
          <w:lang w:val="en-US" w:eastAsia="zh-CN"/>
        </w:rPr>
        <w:t>84.29</w:t>
      </w:r>
      <w:r>
        <w:rPr>
          <w:rFonts w:hint="eastAsia" w:ascii="仿宋" w:hAnsi="仿宋" w:eastAsia="仿宋" w:cs="仿宋"/>
          <w:sz w:val="32"/>
        </w:rPr>
        <w:t>万元，占</w:t>
      </w:r>
      <w:r>
        <w:rPr>
          <w:rFonts w:hint="eastAsia" w:ascii="仿宋" w:hAnsi="仿宋" w:eastAsia="仿宋" w:cs="仿宋"/>
          <w:sz w:val="32"/>
          <w:lang w:val="en-US" w:eastAsia="zh-CN"/>
        </w:rPr>
        <w:t>61</w:t>
      </w:r>
      <w:r>
        <w:rPr>
          <w:rFonts w:hint="eastAsia" w:ascii="仿宋" w:hAnsi="仿宋" w:eastAsia="仿宋" w:cs="仿宋"/>
          <w:sz w:val="32"/>
        </w:rPr>
        <w:t>%；项目支出</w:t>
      </w:r>
      <w:r>
        <w:rPr>
          <w:rFonts w:hint="eastAsia" w:ascii="仿宋" w:hAnsi="仿宋" w:eastAsia="仿宋" w:cs="仿宋"/>
          <w:sz w:val="32"/>
          <w:lang w:val="en-US" w:eastAsia="zh-CN"/>
        </w:rPr>
        <w:t>53</w:t>
      </w:r>
      <w:r>
        <w:rPr>
          <w:rFonts w:hint="eastAsia" w:ascii="仿宋" w:hAnsi="仿宋" w:eastAsia="仿宋" w:cs="仿宋"/>
          <w:sz w:val="32"/>
        </w:rPr>
        <w:t>万元，占</w:t>
      </w:r>
      <w:r>
        <w:rPr>
          <w:rFonts w:hint="eastAsia" w:ascii="仿宋" w:hAnsi="仿宋" w:eastAsia="仿宋" w:cs="仿宋"/>
          <w:sz w:val="32"/>
          <w:lang w:val="en-US" w:eastAsia="zh-CN"/>
        </w:rPr>
        <w:t>39</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rPr>
        <w:t>淮滨县房地产市场管理所</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szCs w:val="32"/>
          <w:lang w:val="en-US" w:eastAsia="zh-CN"/>
        </w:rPr>
        <w:t>137.29</w:t>
      </w:r>
      <w:r>
        <w:rPr>
          <w:rFonts w:hint="eastAsia" w:ascii="仿宋" w:hAnsi="仿宋" w:eastAsia="仿宋" w:cs="仿宋"/>
          <w:sz w:val="32"/>
        </w:rPr>
        <w:t>万元，无政府性基金预算和国有资本经营预算。</w:t>
      </w:r>
      <w:r>
        <w:rPr>
          <w:rFonts w:hint="eastAsia" w:ascii="仿宋" w:hAnsi="仿宋" w:eastAsia="仿宋" w:cs="仿宋"/>
          <w:sz w:val="32"/>
          <w:szCs w:val="32"/>
        </w:rPr>
        <w:t>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年相比，收、支总计各增加57.74万元，增长</w:t>
      </w:r>
      <w:r>
        <w:rPr>
          <w:rFonts w:hint="eastAsia" w:ascii="仿宋" w:hAnsi="仿宋" w:eastAsia="仿宋" w:cs="仿宋"/>
          <w:sz w:val="32"/>
          <w:szCs w:val="32"/>
          <w:lang w:val="en-US" w:eastAsia="zh-CN"/>
        </w:rPr>
        <w:t>72.58</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新增</w:t>
      </w:r>
      <w:r>
        <w:rPr>
          <w:rFonts w:hint="eastAsia" w:ascii="仿宋" w:hAnsi="仿宋" w:eastAsia="仿宋" w:cs="仿宋"/>
          <w:sz w:val="32"/>
          <w:szCs w:val="32"/>
        </w:rPr>
        <w:t>房管所劳务费</w:t>
      </w:r>
      <w:r>
        <w:rPr>
          <w:rFonts w:hint="eastAsia" w:ascii="仿宋" w:hAnsi="仿宋" w:eastAsia="仿宋" w:cs="仿宋"/>
          <w:sz w:val="32"/>
          <w:szCs w:val="32"/>
          <w:lang w:val="en-US" w:eastAsia="zh-CN"/>
        </w:rPr>
        <w:t>项目</w:t>
      </w:r>
      <w:r>
        <w:rPr>
          <w:rFonts w:hint="eastAsia" w:ascii="仿宋" w:hAnsi="仿宋" w:eastAsia="仿宋" w:cs="仿宋"/>
          <w:sz w:val="32"/>
          <w:szCs w:val="32"/>
        </w:rPr>
        <w:t>。</w:t>
      </w:r>
    </w:p>
    <w:p>
      <w:pPr>
        <w:ind w:firstLine="640" w:firstLineChars="200"/>
        <w:jc w:val="left"/>
        <w:rPr>
          <w:rFonts w:ascii="仿宋" w:hAnsi="仿宋" w:eastAsia="仿宋" w:cs="仿宋"/>
          <w:sz w:val="32"/>
        </w:rPr>
      </w:pP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淮滨县房地产市场管理所</w:t>
      </w:r>
      <w:r>
        <w:rPr>
          <w:rFonts w:hint="eastAsia" w:ascii="仿宋" w:hAnsi="仿宋" w:eastAsia="仿宋" w:cs="仿宋"/>
          <w:sz w:val="32"/>
          <w:lang w:eastAsia="zh-CN"/>
        </w:rPr>
        <w:t>2023年</w:t>
      </w:r>
      <w:r>
        <w:rPr>
          <w:rFonts w:hint="eastAsia" w:ascii="仿宋" w:hAnsi="仿宋" w:eastAsia="仿宋" w:cs="仿宋"/>
          <w:sz w:val="32"/>
        </w:rPr>
        <w:t>一般公共预算支出年初预算为137.29万元。其中：基本支出84.29万元，占</w:t>
      </w:r>
      <w:r>
        <w:rPr>
          <w:rFonts w:hint="eastAsia" w:ascii="仿宋" w:hAnsi="仿宋" w:eastAsia="仿宋" w:cs="仿宋"/>
          <w:sz w:val="32"/>
          <w:lang w:val="en-US" w:eastAsia="zh-CN"/>
        </w:rPr>
        <w:t>61</w:t>
      </w:r>
      <w:r>
        <w:rPr>
          <w:rFonts w:hint="eastAsia" w:ascii="仿宋" w:hAnsi="仿宋" w:eastAsia="仿宋" w:cs="仿宋"/>
          <w:sz w:val="32"/>
        </w:rPr>
        <w:t>%;项目支出</w:t>
      </w:r>
      <w:r>
        <w:rPr>
          <w:rFonts w:hint="eastAsia" w:ascii="仿宋" w:hAnsi="仿宋" w:eastAsia="仿宋" w:cs="仿宋"/>
          <w:sz w:val="32"/>
          <w:lang w:val="en-US" w:eastAsia="zh-CN"/>
        </w:rPr>
        <w:t>53</w:t>
      </w:r>
      <w:r>
        <w:rPr>
          <w:rFonts w:hint="eastAsia" w:ascii="仿宋" w:hAnsi="仿宋" w:eastAsia="仿宋" w:cs="仿宋"/>
          <w:sz w:val="32"/>
        </w:rPr>
        <w:t>万元，占</w:t>
      </w:r>
      <w:r>
        <w:rPr>
          <w:rFonts w:hint="eastAsia" w:ascii="仿宋" w:hAnsi="仿宋" w:eastAsia="仿宋" w:cs="仿宋"/>
          <w:sz w:val="32"/>
          <w:lang w:val="en-US" w:eastAsia="zh-CN"/>
        </w:rPr>
        <w:t>39</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淮滨县房地产市场管理所</w:t>
      </w:r>
      <w:r>
        <w:rPr>
          <w:rFonts w:hint="eastAsia" w:ascii="仿宋" w:hAnsi="仿宋" w:eastAsia="仿宋" w:cs="仿宋"/>
          <w:color w:val="000000"/>
          <w:sz w:val="32"/>
          <w:szCs w:val="32"/>
          <w:lang w:eastAsia="zh-CN"/>
        </w:rPr>
        <w:t>年</w:t>
      </w:r>
      <w:r>
        <w:rPr>
          <w:rFonts w:hint="eastAsia" w:ascii="仿宋" w:hAnsi="仿宋" w:eastAsia="仿宋" w:cs="仿宋"/>
          <w:color w:val="000000"/>
          <w:sz w:val="32"/>
          <w:szCs w:val="32"/>
        </w:rPr>
        <w:t>一般公共预算基本支出年初预算为</w:t>
      </w:r>
      <w:r>
        <w:rPr>
          <w:rFonts w:hint="eastAsia" w:ascii="仿宋" w:hAnsi="仿宋" w:eastAsia="仿宋" w:cs="仿宋"/>
          <w:color w:val="000000"/>
          <w:sz w:val="32"/>
          <w:szCs w:val="32"/>
          <w:lang w:val="en-US" w:eastAsia="zh-CN"/>
        </w:rPr>
        <w:t>84.29</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80.18</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95</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4.11</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淮滨县房地产市场管理所</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r>
        <w:rPr>
          <w:rFonts w:ascii="仿宋_GB2312" w:hAnsi="宋体" w:eastAsia="仿宋_GB2312" w:cs="仿宋_GB2312"/>
          <w:color w:val="333333"/>
          <w:sz w:val="31"/>
          <w:szCs w:val="31"/>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highlight w:val="none"/>
        </w:rPr>
      </w:pPr>
      <w:r>
        <w:rPr>
          <w:rFonts w:hint="eastAsia" w:ascii="黑体" w:hAnsi="黑体" w:eastAsia="黑体"/>
          <w:sz w:val="32"/>
          <w:highlight w:val="none"/>
        </w:rPr>
        <w:t>政府性基金预算支出预算情况说明</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hint="eastAsia" w:ascii="仿宋" w:hAnsi="仿宋" w:eastAsia="仿宋" w:cs="仿宋"/>
          <w:sz w:val="32"/>
        </w:rPr>
      </w:pPr>
      <w:r>
        <w:rPr>
          <w:rFonts w:hint="eastAsia" w:ascii="仿宋" w:hAnsi="仿宋" w:eastAsia="仿宋" w:cs="仿宋"/>
          <w:sz w:val="32"/>
          <w:szCs w:val="32"/>
        </w:rPr>
        <w:t>淮滨县房地产市场管理所</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4.11</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增加0.05</w:t>
      </w:r>
      <w:r>
        <w:rPr>
          <w:rFonts w:hint="eastAsia" w:ascii="仿宋" w:hAnsi="仿宋" w:eastAsia="仿宋" w:cs="仿宋"/>
          <w:sz w:val="32"/>
        </w:rPr>
        <w:t>万元，</w:t>
      </w:r>
      <w:r>
        <w:rPr>
          <w:rFonts w:hint="eastAsia" w:ascii="仿宋" w:hAnsi="仿宋" w:eastAsia="仿宋" w:cs="仿宋"/>
          <w:sz w:val="32"/>
          <w:lang w:val="en-US" w:eastAsia="zh-CN"/>
        </w:rPr>
        <w:t>增加1.2</w:t>
      </w:r>
      <w:r>
        <w:rPr>
          <w:rFonts w:hint="eastAsia" w:ascii="仿宋" w:hAnsi="仿宋" w:eastAsia="仿宋" w:cs="仿宋"/>
          <w:sz w:val="32"/>
        </w:rPr>
        <w:t>%，主要原因：</w:t>
      </w:r>
      <w:r>
        <w:rPr>
          <w:rFonts w:hint="eastAsia" w:ascii="仿宋" w:hAnsi="仿宋" w:eastAsia="仿宋" w:cs="仿宋"/>
          <w:sz w:val="32"/>
          <w:lang w:val="en-US" w:eastAsia="zh-CN"/>
        </w:rPr>
        <w:t>保障正常运作及履行相应职责</w:t>
      </w:r>
      <w:r>
        <w:rPr>
          <w:rFonts w:hint="eastAsia" w:ascii="仿宋" w:hAnsi="仿宋" w:eastAsia="仿宋" w:cs="仿宋"/>
          <w:sz w:val="32"/>
        </w:rPr>
        <w:t>。</w:t>
      </w:r>
    </w:p>
    <w:p>
      <w:pPr>
        <w:ind w:firstLine="640" w:firstLineChars="200"/>
        <w:jc w:val="left"/>
        <w:rPr>
          <w:rFonts w:ascii="仿宋" w:hAnsi="仿宋" w:eastAsia="仿宋" w:cs="仿宋"/>
          <w:sz w:val="32"/>
        </w:rPr>
      </w:pP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kinsoku w:val="0"/>
        <w:overflowPunct w:val="0"/>
        <w:autoSpaceDE w:val="0"/>
        <w:autoSpaceDN w:val="0"/>
        <w:adjustRightInd w:val="0"/>
        <w:snapToGrid w:val="0"/>
        <w:spacing w:line="580" w:lineRule="exact"/>
        <w:ind w:firstLine="64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highlight w:val="none"/>
        </w:rPr>
        <w:t>137.29</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53</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附件：淮滨县房地产市场管理所</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mZTcwNDYzZGMyNjA0MTc5MDc4NGVkMmNhNTdkNjQ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8AD032B"/>
    <w:rsid w:val="0A6251B2"/>
    <w:rsid w:val="0D0F4ED6"/>
    <w:rsid w:val="0D513137"/>
    <w:rsid w:val="10602789"/>
    <w:rsid w:val="123258EF"/>
    <w:rsid w:val="12EF1A32"/>
    <w:rsid w:val="144A1E7D"/>
    <w:rsid w:val="15F07B94"/>
    <w:rsid w:val="173B6758"/>
    <w:rsid w:val="18E44252"/>
    <w:rsid w:val="191C5F4B"/>
    <w:rsid w:val="1AE8631D"/>
    <w:rsid w:val="1B351FAC"/>
    <w:rsid w:val="1CA53161"/>
    <w:rsid w:val="1D0460DA"/>
    <w:rsid w:val="1D2E3157"/>
    <w:rsid w:val="1F046865"/>
    <w:rsid w:val="1FE67D19"/>
    <w:rsid w:val="20C53DD2"/>
    <w:rsid w:val="228003BD"/>
    <w:rsid w:val="228C104B"/>
    <w:rsid w:val="246B28E3"/>
    <w:rsid w:val="24DA1A42"/>
    <w:rsid w:val="274F7F6E"/>
    <w:rsid w:val="279A1B15"/>
    <w:rsid w:val="27A42993"/>
    <w:rsid w:val="28196722"/>
    <w:rsid w:val="28447CD2"/>
    <w:rsid w:val="2A07545B"/>
    <w:rsid w:val="2AA67AA4"/>
    <w:rsid w:val="2AA72B5A"/>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D84127"/>
    <w:rsid w:val="3A2B0CF2"/>
    <w:rsid w:val="3A865F28"/>
    <w:rsid w:val="3C1F6635"/>
    <w:rsid w:val="3D3D4FC4"/>
    <w:rsid w:val="3E5A6C85"/>
    <w:rsid w:val="3FB6105E"/>
    <w:rsid w:val="404E74E8"/>
    <w:rsid w:val="419D0727"/>
    <w:rsid w:val="41FF59D4"/>
    <w:rsid w:val="42660F2F"/>
    <w:rsid w:val="43572B58"/>
    <w:rsid w:val="45554E75"/>
    <w:rsid w:val="456A4DC4"/>
    <w:rsid w:val="469D4D26"/>
    <w:rsid w:val="46D01A4F"/>
    <w:rsid w:val="474973FF"/>
    <w:rsid w:val="483D40CA"/>
    <w:rsid w:val="48670BB9"/>
    <w:rsid w:val="4B86222C"/>
    <w:rsid w:val="4BBC3BEF"/>
    <w:rsid w:val="4CC72AFC"/>
    <w:rsid w:val="4E10402F"/>
    <w:rsid w:val="519E1D35"/>
    <w:rsid w:val="55855303"/>
    <w:rsid w:val="567E1F8B"/>
    <w:rsid w:val="56CE6835"/>
    <w:rsid w:val="56E7105D"/>
    <w:rsid w:val="57F873A0"/>
    <w:rsid w:val="5EFA28BD"/>
    <w:rsid w:val="5F625217"/>
    <w:rsid w:val="5FB2107B"/>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AE3231D"/>
    <w:rsid w:val="6C715A72"/>
    <w:rsid w:val="6EEF1D13"/>
    <w:rsid w:val="71BD526D"/>
    <w:rsid w:val="72AE7D36"/>
    <w:rsid w:val="7358522B"/>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4.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5.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6.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7.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79.55</c:v>
                </c:pt>
                <c:pt idx="1">
                  <c:v>137.29</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79.55</c:v>
                </c:pt>
                <c:pt idx="1">
                  <c:v>137.29</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137.29</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84.29</c:v>
                </c:pt>
                <c:pt idx="1">
                  <c:v>53</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79.55</c:v>
                </c:pt>
                <c:pt idx="1">
                  <c:v>137.29</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79.55</c:v>
                </c:pt>
                <c:pt idx="1">
                  <c:v>137.29</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84.29</c:v>
                </c:pt>
                <c:pt idx="1">
                  <c:v>53</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80.18</c:v>
                </c:pt>
                <c:pt idx="1">
                  <c:v>4.11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12</Pages>
  <Words>2604</Words>
  <Characters>2825</Characters>
  <Lines>20</Lines>
  <Paragraphs>5</Paragraphs>
  <TotalTime>0</TotalTime>
  <ScaleCrop>false</ScaleCrop>
  <LinksUpToDate>false</LinksUpToDate>
  <CharactersWithSpaces>2856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2023-03-07T05:09:11Z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4EC545D752324EC7B51C1830C6704E49</vt:lpwstr>
  </property>
</Properties>
</file>