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ascii="黑体" w:hAnsi="黑体" w:eastAsia="黑体" w:cs="黑体"/>
          <w:b/>
          <w:bCs/>
          <w:sz w:val="44"/>
          <w:szCs w:val="44"/>
        </w:rPr>
      </w:pPr>
    </w:p>
    <w:p>
      <w:pPr>
        <w:spacing w:line="480" w:lineRule="auto"/>
        <w:jc w:val="center"/>
        <w:rPr>
          <w:rFonts w:ascii="黑体" w:hAnsi="黑体" w:eastAsia="黑体" w:cs="黑体"/>
          <w:b/>
          <w:bCs/>
          <w:sz w:val="44"/>
          <w:szCs w:val="44"/>
        </w:rPr>
      </w:pPr>
      <w:r>
        <w:rPr>
          <w:rFonts w:hint="eastAsia" w:ascii="黑体" w:hAnsi="黑体" w:eastAsia="黑体" w:cs="黑体"/>
          <w:b/>
          <w:bCs/>
          <w:sz w:val="44"/>
          <w:szCs w:val="44"/>
          <w:lang w:eastAsia="zh-CN"/>
        </w:rPr>
        <w:t>2023</w:t>
      </w:r>
      <w:r>
        <w:rPr>
          <w:rFonts w:hint="eastAsia" w:ascii="黑体" w:hAnsi="黑体" w:eastAsia="黑体" w:cs="黑体"/>
          <w:b/>
          <w:bCs/>
          <w:sz w:val="44"/>
          <w:szCs w:val="44"/>
        </w:rPr>
        <w:t>年淮滨县先进制造业开发区管理</w:t>
      </w:r>
    </w:p>
    <w:p>
      <w:pPr>
        <w:spacing w:line="480" w:lineRule="auto"/>
        <w:jc w:val="center"/>
        <w:rPr>
          <w:rFonts w:ascii="宋体" w:hAnsi="宋体" w:eastAsia="宋体" w:cs="宋体"/>
          <w:b/>
          <w:bCs/>
          <w:sz w:val="44"/>
          <w:szCs w:val="44"/>
        </w:rPr>
      </w:pPr>
      <w:r>
        <w:rPr>
          <w:rFonts w:hint="eastAsia" w:ascii="黑体" w:hAnsi="黑体" w:eastAsia="黑体" w:cs="黑体"/>
          <w:b/>
          <w:bCs/>
          <w:sz w:val="44"/>
          <w:szCs w:val="44"/>
        </w:rPr>
        <w:t>委员会部门预算说明</w:t>
      </w:r>
    </w:p>
    <w:p>
      <w:pPr>
        <w:pStyle w:val="3"/>
        <w:tabs>
          <w:tab w:val="left" w:pos="880"/>
        </w:tabs>
        <w:kinsoku w:val="0"/>
        <w:overflowPunct w:val="0"/>
        <w:spacing w:before="0" w:line="480" w:lineRule="auto"/>
        <w:ind w:left="0"/>
        <w:jc w:val="center"/>
        <w:rPr>
          <w:rFonts w:hint="default" w:ascii="黑体" w:hAnsi="黑体" w:eastAsia="黑体" w:cs="黑体"/>
          <w:b/>
          <w:w w:val="95"/>
          <w:sz w:val="30"/>
          <w:szCs w:val="30"/>
        </w:rPr>
      </w:pPr>
    </w:p>
    <w:p>
      <w:pPr>
        <w:pStyle w:val="3"/>
        <w:tabs>
          <w:tab w:val="left" w:pos="880"/>
        </w:tabs>
        <w:kinsoku w:val="0"/>
        <w:overflowPunct w:val="0"/>
        <w:spacing w:before="0" w:line="480" w:lineRule="auto"/>
        <w:ind w:left="0"/>
        <w:jc w:val="center"/>
        <w:rPr>
          <w:rFonts w:hint="default" w:ascii="黑体" w:hAnsi="黑体" w:eastAsia="黑体" w:cs="黑体"/>
          <w:b/>
          <w:sz w:val="44"/>
          <w:szCs w:val="44"/>
        </w:rPr>
      </w:pPr>
      <w:r>
        <w:rPr>
          <w:rFonts w:ascii="黑体" w:hAnsi="黑体" w:eastAsia="黑体" w:cs="黑体"/>
          <w:b/>
          <w:w w:val="95"/>
          <w:sz w:val="44"/>
          <w:szCs w:val="44"/>
        </w:rPr>
        <w:t>目</w:t>
      </w:r>
      <w:r>
        <w:rPr>
          <w:rFonts w:ascii="黑体" w:hAnsi="黑体" w:eastAsia="黑体" w:cs="黑体"/>
          <w:b/>
          <w:w w:val="95"/>
          <w:sz w:val="44"/>
          <w:szCs w:val="44"/>
        </w:rPr>
        <w:tab/>
      </w:r>
      <w:r>
        <w:rPr>
          <w:rFonts w:ascii="黑体" w:hAnsi="黑体" w:eastAsia="黑体" w:cs="黑体"/>
          <w:b/>
          <w:sz w:val="44"/>
          <w:szCs w:val="44"/>
        </w:rPr>
        <w:t>录</w:t>
      </w:r>
    </w:p>
    <w:p>
      <w:pPr>
        <w:kinsoku w:val="0"/>
        <w:overflowPunct w:val="0"/>
        <w:autoSpaceDE w:val="0"/>
        <w:autoSpaceDN w:val="0"/>
        <w:adjustRightInd w:val="0"/>
        <w:spacing w:before="351"/>
        <w:ind w:right="126"/>
        <w:rPr>
          <w:rFonts w:ascii="黑体" w:hAnsi="黑体" w:eastAsia="黑体" w:cs="黑体"/>
          <w:sz w:val="32"/>
          <w:szCs w:val="32"/>
        </w:rPr>
      </w:pPr>
      <w:r>
        <w:rPr>
          <w:rFonts w:hint="eastAsia" w:ascii="黑体" w:hAnsi="黑体" w:eastAsia="黑体" w:cs="黑体"/>
          <w:sz w:val="32"/>
          <w:szCs w:val="32"/>
        </w:rPr>
        <w:t>第一部分</w:t>
      </w:r>
      <w:r>
        <w:rPr>
          <w:rFonts w:hint="eastAsia" w:ascii="黑体" w:hAnsi="黑体" w:eastAsia="黑体" w:cs="黑体"/>
          <w:spacing w:val="-7"/>
          <w:sz w:val="32"/>
          <w:szCs w:val="32"/>
        </w:rPr>
        <w:t xml:space="preserve"> 淮滨县先进制造业开发区管理委员会</w:t>
      </w:r>
      <w:r>
        <w:rPr>
          <w:rFonts w:hint="eastAsia" w:ascii="黑体" w:hAnsi="黑体" w:eastAsia="黑体" w:cs="黑体"/>
          <w:sz w:val="32"/>
          <w:szCs w:val="32"/>
        </w:rPr>
        <w:t>概况</w:t>
      </w:r>
    </w:p>
    <w:p>
      <w:pPr>
        <w:kinsoku w:val="0"/>
        <w:overflowPunct w:val="0"/>
        <w:autoSpaceDE w:val="0"/>
        <w:autoSpaceDN w:val="0"/>
        <w:adjustRightInd w:val="0"/>
        <w:spacing w:line="560" w:lineRule="exact"/>
        <w:ind w:firstLine="320" w:firstLineChars="100"/>
        <w:rPr>
          <w:rFonts w:hint="eastAsia" w:ascii="仿宋" w:hAnsi="仿宋" w:eastAsia="仿宋" w:cs="Times New Roman"/>
          <w:sz w:val="32"/>
          <w:szCs w:val="32"/>
        </w:rPr>
      </w:pPr>
      <w:r>
        <w:rPr>
          <w:rFonts w:hint="eastAsia" w:ascii="仿宋" w:hAnsi="仿宋" w:eastAsia="仿宋" w:cs="Times New Roman"/>
          <w:sz w:val="32"/>
          <w:szCs w:val="32"/>
        </w:rPr>
        <w:t>一、主要职责</w:t>
      </w:r>
    </w:p>
    <w:p>
      <w:pPr>
        <w:kinsoku w:val="0"/>
        <w:overflowPunct w:val="0"/>
        <w:autoSpaceDE w:val="0"/>
        <w:autoSpaceDN w:val="0"/>
        <w:adjustRightInd w:val="0"/>
        <w:spacing w:line="560" w:lineRule="exact"/>
        <w:ind w:firstLine="316" w:firstLineChars="100"/>
        <w:rPr>
          <w:rFonts w:hint="eastAsia" w:ascii="仿宋" w:hAnsi="仿宋" w:eastAsia="仿宋" w:cs="仿宋"/>
          <w:w w:val="99"/>
          <w:sz w:val="32"/>
          <w:szCs w:val="32"/>
          <w:lang w:eastAsia="zh-CN"/>
        </w:rPr>
      </w:pPr>
      <w:r>
        <w:rPr>
          <w:rFonts w:hint="eastAsia" w:ascii="仿宋" w:hAnsi="仿宋" w:eastAsia="仿宋" w:cs="Times New Roman"/>
          <w:w w:val="99"/>
          <w:sz w:val="32"/>
          <w:szCs w:val="32"/>
          <w:lang w:eastAsia="zh-CN"/>
        </w:rPr>
        <w:t>二、</w:t>
      </w:r>
      <w:r>
        <w:rPr>
          <w:rFonts w:hint="eastAsia" w:ascii="仿宋" w:hAnsi="仿宋" w:eastAsia="仿宋" w:cs="仿宋"/>
          <w:sz w:val="32"/>
          <w:szCs w:val="32"/>
        </w:rPr>
        <w:t>内设机构设置情况</w:t>
      </w:r>
    </w:p>
    <w:p>
      <w:pPr>
        <w:kinsoku w:val="0"/>
        <w:overflowPunct w:val="0"/>
        <w:autoSpaceDE w:val="0"/>
        <w:autoSpaceDN w:val="0"/>
        <w:adjustRightInd w:val="0"/>
        <w:spacing w:line="560" w:lineRule="exact"/>
        <w:ind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三</w:t>
      </w:r>
      <w:r>
        <w:rPr>
          <w:rFonts w:hint="eastAsia" w:ascii="仿宋" w:hAnsi="仿宋" w:eastAsia="仿宋" w:cs="Times New Roman"/>
          <w:sz w:val="32"/>
          <w:szCs w:val="32"/>
        </w:rPr>
        <w:t>、部门所属预算单位构成情况</w:t>
      </w:r>
    </w:p>
    <w:p>
      <w:pPr>
        <w:kinsoku w:val="0"/>
        <w:overflowPunct w:val="0"/>
        <w:autoSpaceDE w:val="0"/>
        <w:autoSpaceDN w:val="0"/>
        <w:adjustRightInd w:val="0"/>
        <w:spacing w:before="12" w:line="357" w:lineRule="auto"/>
        <w:ind w:right="126"/>
        <w:rPr>
          <w:rFonts w:ascii="黑体" w:hAnsi="黑体" w:eastAsia="黑体" w:cs="Times New Roman"/>
          <w:w w:val="99"/>
          <w:sz w:val="32"/>
          <w:szCs w:val="32"/>
        </w:rPr>
      </w:pPr>
      <w:r>
        <w:rPr>
          <w:rFonts w:hint="eastAsia" w:ascii="黑体" w:hAnsi="黑体" w:eastAsia="黑体" w:cs="Times New Roman"/>
          <w:sz w:val="32"/>
          <w:szCs w:val="32"/>
        </w:rPr>
        <w:t>第二部分</w:t>
      </w:r>
      <w:r>
        <w:rPr>
          <w:rFonts w:hint="eastAsia" w:ascii="黑体" w:hAnsi="黑体" w:eastAsia="黑体" w:cs="Times New Roman"/>
          <w:spacing w:val="-5"/>
          <w:sz w:val="32"/>
          <w:szCs w:val="32"/>
        </w:rPr>
        <w:t xml:space="preserve"> 淮滨县</w:t>
      </w:r>
      <w:r>
        <w:rPr>
          <w:rFonts w:hint="eastAsia" w:ascii="黑体" w:hAnsi="黑体" w:eastAsia="黑体" w:cs="黑体"/>
          <w:spacing w:val="-7"/>
          <w:sz w:val="32"/>
          <w:szCs w:val="32"/>
        </w:rPr>
        <w:t>先进制造业开发区管理委员会</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年度部门预算情况说明</w:t>
      </w:r>
    </w:p>
    <w:p>
      <w:pPr>
        <w:kinsoku w:val="0"/>
        <w:overflowPunct w:val="0"/>
        <w:autoSpaceDE w:val="0"/>
        <w:autoSpaceDN w:val="0"/>
        <w:adjustRightInd w:val="0"/>
        <w:spacing w:before="12" w:line="357" w:lineRule="auto"/>
        <w:ind w:right="126"/>
        <w:rPr>
          <w:rFonts w:ascii="黑体" w:hAnsi="黑体" w:eastAsia="黑体" w:cs="Times New Roman"/>
          <w:sz w:val="32"/>
          <w:szCs w:val="32"/>
        </w:rPr>
      </w:pPr>
      <w:r>
        <w:rPr>
          <w:rFonts w:hint="eastAsia" w:ascii="黑体" w:hAnsi="黑体" w:eastAsia="黑体" w:cs="Times New Roman"/>
          <w:sz w:val="32"/>
          <w:szCs w:val="32"/>
        </w:rPr>
        <w:t>第三部分名词解释</w:t>
      </w:r>
    </w:p>
    <w:p>
      <w:pPr>
        <w:kinsoku w:val="0"/>
        <w:overflowPunct w:val="0"/>
        <w:autoSpaceDE w:val="0"/>
        <w:autoSpaceDN w:val="0"/>
        <w:adjustRightInd w:val="0"/>
        <w:spacing w:before="48" w:line="345" w:lineRule="auto"/>
        <w:ind w:right="766"/>
        <w:rPr>
          <w:rFonts w:ascii="黑体" w:hAnsi="黑体" w:eastAsia="黑体" w:cs="Times New Roman"/>
          <w:sz w:val="32"/>
          <w:szCs w:val="32"/>
        </w:rPr>
      </w:pPr>
      <w:r>
        <w:rPr>
          <w:rFonts w:hint="eastAsia" w:ascii="黑体" w:hAnsi="黑体" w:eastAsia="黑体" w:cs="Times New Roman"/>
          <w:sz w:val="32"/>
          <w:szCs w:val="32"/>
        </w:rPr>
        <w:t>附件：淮滨县</w:t>
      </w:r>
      <w:r>
        <w:rPr>
          <w:rFonts w:hint="eastAsia" w:ascii="黑体" w:hAnsi="黑体" w:eastAsia="黑体" w:cs="黑体"/>
          <w:spacing w:val="-7"/>
          <w:sz w:val="32"/>
          <w:szCs w:val="32"/>
        </w:rPr>
        <w:t>先进制造业开发区管理委员会</w:t>
      </w:r>
      <w:r>
        <w:rPr>
          <w:rFonts w:hint="eastAsia" w:ascii="黑体" w:hAnsi="黑体" w:eastAsia="黑体" w:cs="Times New Roman"/>
          <w:sz w:val="32"/>
          <w:szCs w:val="32"/>
          <w:lang w:eastAsia="zh-CN"/>
        </w:rPr>
        <w:t>2023</w:t>
      </w:r>
      <w:r>
        <w:rPr>
          <w:rFonts w:hint="eastAsia" w:ascii="黑体" w:hAnsi="黑体" w:eastAsia="黑体" w:cs="Times New Roman"/>
          <w:sz w:val="32"/>
          <w:szCs w:val="32"/>
        </w:rPr>
        <w:t>年度部门预算表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年部门收入预算表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年财政拨款收支预算表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年一般公共预算基本支出预算表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年支出经济分类汇总表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年一般公共预算“三公”经费预算表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年政府性基金支出预算表</w:t>
      </w:r>
    </w:p>
    <w:p>
      <w:pPr>
        <w:numPr>
          <w:ilvl w:val="0"/>
          <w:numId w:val="1"/>
        </w:numPr>
        <w:kinsoku w:val="0"/>
        <w:overflowPunct w:val="0"/>
        <w:autoSpaceDE w:val="0"/>
        <w:autoSpaceDN w:val="0"/>
        <w:adjustRightInd w:val="0"/>
        <w:spacing w:before="48" w:line="560" w:lineRule="exact"/>
        <w:ind w:right="765" w:firstLine="28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年国有资本经营支出预算表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年项目支出预算表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年政府采购预算表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年部门(单位)整体绩效目标表</w:t>
      </w:r>
    </w:p>
    <w:p>
      <w:pPr>
        <w:numPr>
          <w:ilvl w:val="0"/>
          <w:numId w:val="1"/>
        </w:numPr>
        <w:kinsoku w:val="0"/>
        <w:overflowPunct w:val="0"/>
        <w:autoSpaceDE w:val="0"/>
        <w:autoSpaceDN w:val="0"/>
        <w:adjustRightInd w:val="0"/>
        <w:spacing w:before="48" w:line="560" w:lineRule="exact"/>
        <w:ind w:right="765" w:firstLine="320" w:firstLineChars="100"/>
        <w:rPr>
          <w:rFonts w:ascii="仿宋" w:hAnsi="仿宋" w:eastAsia="仿宋" w:cs="Times New Roman"/>
          <w:sz w:val="32"/>
          <w:szCs w:val="32"/>
        </w:rPr>
      </w:pPr>
      <w:r>
        <w:rPr>
          <w:rFonts w:hint="eastAsia" w:ascii="仿宋" w:hAnsi="仿宋" w:eastAsia="仿宋" w:cs="Times New Roman"/>
          <w:sz w:val="32"/>
          <w:szCs w:val="32"/>
          <w:lang w:eastAsia="zh-CN"/>
        </w:rPr>
        <w:t>2023</w:t>
      </w:r>
      <w:r>
        <w:rPr>
          <w:rFonts w:hint="eastAsia" w:ascii="仿宋" w:hAnsi="仿宋" w:eastAsia="仿宋" w:cs="Times New Roman"/>
          <w:sz w:val="32"/>
          <w:szCs w:val="32"/>
        </w:rPr>
        <w:t>年部门(单位)预算项目绩效目标表</w:t>
      </w: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ascii="仿宋" w:hAnsi="仿宋" w:eastAsia="仿宋" w:cs="Times New Roman"/>
          <w:sz w:val="32"/>
          <w:szCs w:val="32"/>
        </w:rPr>
      </w:pPr>
    </w:p>
    <w:p>
      <w:pPr>
        <w:kinsoku w:val="0"/>
        <w:overflowPunct w:val="0"/>
        <w:autoSpaceDE w:val="0"/>
        <w:autoSpaceDN w:val="0"/>
        <w:adjustRightInd w:val="0"/>
        <w:spacing w:before="48" w:line="560" w:lineRule="exact"/>
        <w:ind w:right="765"/>
        <w:rPr>
          <w:rFonts w:hint="eastAsia" w:ascii="仿宋" w:hAnsi="仿宋" w:eastAsia="仿宋" w:cs="Times New Roman"/>
          <w:sz w:val="32"/>
          <w:szCs w:val="32"/>
          <w:lang w:eastAsia="zh-CN"/>
        </w:rPr>
      </w:pPr>
      <w:r>
        <w:rPr>
          <w:rFonts w:hint="eastAsia" w:ascii="仿宋" w:hAnsi="仿宋" w:eastAsia="仿宋" w:cs="Times New Roman"/>
          <w:sz w:val="32"/>
          <w:szCs w:val="32"/>
          <w:lang w:eastAsia="zh-CN"/>
        </w:rPr>
        <w:t>，</w:t>
      </w:r>
    </w:p>
    <w:p>
      <w:pPr>
        <w:pStyle w:val="3"/>
        <w:numPr>
          <w:ilvl w:val="0"/>
          <w:numId w:val="2"/>
        </w:numPr>
        <w:tabs>
          <w:tab w:val="left" w:pos="880"/>
        </w:tabs>
        <w:kinsoku w:val="0"/>
        <w:overflowPunct w:val="0"/>
        <w:spacing w:before="0"/>
        <w:jc w:val="center"/>
        <w:rPr>
          <w:rFonts w:hint="default" w:ascii="黑体" w:hAnsi="黑体" w:eastAsia="黑体" w:cs="黑体"/>
          <w:b/>
          <w:sz w:val="36"/>
          <w:szCs w:val="36"/>
        </w:rPr>
      </w:pPr>
    </w:p>
    <w:p>
      <w:pPr>
        <w:pStyle w:val="3"/>
        <w:tabs>
          <w:tab w:val="left" w:pos="880"/>
        </w:tabs>
        <w:kinsoku w:val="0"/>
        <w:overflowPunct w:val="0"/>
        <w:spacing w:before="0"/>
        <w:ind w:left="0"/>
        <w:jc w:val="center"/>
        <w:rPr>
          <w:rFonts w:hint="default" w:ascii="黑体" w:hAnsi="黑体" w:eastAsia="黑体" w:cs="黑体"/>
          <w:b/>
          <w:sz w:val="36"/>
          <w:szCs w:val="36"/>
        </w:rPr>
      </w:pPr>
      <w:r>
        <w:rPr>
          <w:rFonts w:ascii="黑体" w:hAnsi="黑体" w:eastAsia="黑体" w:cs="黑体"/>
          <w:b/>
          <w:sz w:val="36"/>
          <w:szCs w:val="36"/>
        </w:rPr>
        <w:t>淮滨县先进制造业开发区管理委员会概况</w:t>
      </w:r>
    </w:p>
    <w:p>
      <w:pPr>
        <w:pStyle w:val="3"/>
        <w:tabs>
          <w:tab w:val="left" w:pos="880"/>
        </w:tabs>
        <w:kinsoku w:val="0"/>
        <w:overflowPunct w:val="0"/>
        <w:spacing w:before="0"/>
        <w:ind w:left="0"/>
        <w:jc w:val="center"/>
        <w:rPr>
          <w:rFonts w:hint="default" w:ascii="黑体" w:hAnsi="黑体" w:eastAsia="黑体" w:cs="黑体"/>
          <w:b/>
          <w:sz w:val="36"/>
          <w:szCs w:val="36"/>
        </w:rPr>
      </w:pPr>
    </w:p>
    <w:p>
      <w:pPr>
        <w:pStyle w:val="3"/>
        <w:numPr>
          <w:ilvl w:val="0"/>
          <w:numId w:val="3"/>
        </w:numPr>
        <w:tabs>
          <w:tab w:val="left" w:pos="880"/>
        </w:tabs>
        <w:kinsoku w:val="0"/>
        <w:overflowPunct w:val="0"/>
        <w:spacing w:before="0"/>
        <w:ind w:firstLine="640" w:firstLineChars="200"/>
        <w:jc w:val="left"/>
        <w:rPr>
          <w:rFonts w:hint="default" w:ascii="黑体" w:hAnsi="黑体" w:eastAsia="黑体" w:cs="黑体"/>
          <w:bCs/>
          <w:szCs w:val="32"/>
        </w:rPr>
      </w:pPr>
      <w:r>
        <w:rPr>
          <w:rFonts w:ascii="黑体" w:hAnsi="黑体" w:eastAsia="黑体" w:cs="黑体"/>
          <w:bCs/>
          <w:szCs w:val="32"/>
        </w:rPr>
        <w:t>淮滨县先进制造业开发区管理委员会主要职责</w:t>
      </w:r>
    </w:p>
    <w:p>
      <w:pPr>
        <w:pStyle w:val="3"/>
        <w:tabs>
          <w:tab w:val="left" w:pos="880"/>
        </w:tabs>
        <w:kinsoku w:val="0"/>
        <w:overflowPunct w:val="0"/>
        <w:spacing w:before="0"/>
        <w:ind w:left="420" w:leftChars="200" w:firstLine="320" w:firstLineChars="100"/>
        <w:jc w:val="left"/>
        <w:rPr>
          <w:rFonts w:hint="default" w:ascii="仿宋_GB2312" w:hAnsi="仿宋_GB2312" w:eastAsia="仿宋_GB2312" w:cs="仿宋_GB2312"/>
          <w:bCs/>
          <w:szCs w:val="32"/>
        </w:rPr>
      </w:pPr>
      <w:r>
        <w:rPr>
          <w:rFonts w:ascii="仿宋_GB2312" w:hAnsi="仿宋_GB2312" w:eastAsia="仿宋_GB2312" w:cs="仿宋_GB2312"/>
          <w:bCs/>
          <w:szCs w:val="32"/>
        </w:rPr>
        <w:t>淮滨县先进制造业开发区管理委员会主要职责是：</w:t>
      </w:r>
    </w:p>
    <w:p>
      <w:pPr>
        <w:ind w:firstLine="640" w:firstLineChars="200"/>
        <w:rPr>
          <w:rFonts w:ascii="仿宋_GB2312" w:hAnsi="仿宋" w:eastAsia="仿宋_GB2312" w:cs="仿宋"/>
          <w:sz w:val="32"/>
          <w:szCs w:val="32"/>
        </w:rPr>
      </w:pPr>
      <w:r>
        <w:rPr>
          <w:rFonts w:hint="eastAsia" w:ascii="仿宋_GB2312" w:hAnsi="仿宋" w:eastAsia="仿宋_GB2312" w:cs="仿宋"/>
          <w:sz w:val="32"/>
          <w:szCs w:val="32"/>
        </w:rPr>
        <w:t>1、负责党的路线方针政策和县委县政府的重大决策在产业集聚区贯彻执行；拟定产业集聚区规划并组织实施。</w:t>
      </w:r>
    </w:p>
    <w:p>
      <w:pPr>
        <w:rPr>
          <w:rFonts w:ascii="仿宋_GB2312" w:hAnsi="仿宋" w:eastAsia="仿宋_GB2312" w:cs="仿宋"/>
          <w:sz w:val="32"/>
          <w:szCs w:val="32"/>
        </w:rPr>
      </w:pPr>
      <w:r>
        <w:rPr>
          <w:rFonts w:hint="eastAsia" w:ascii="仿宋_GB2312" w:hAnsi="仿宋" w:eastAsia="仿宋_GB2312" w:cs="仿宋"/>
          <w:sz w:val="32"/>
          <w:szCs w:val="32"/>
        </w:rPr>
        <w:t xml:space="preserve">    2、负责产业集聚区内各项基础设施和公共服务设施的规划、建设和管理工作。</w:t>
      </w:r>
    </w:p>
    <w:p>
      <w:pPr>
        <w:rPr>
          <w:rFonts w:ascii="仿宋_GB2312" w:hAnsi="仿宋" w:eastAsia="仿宋_GB2312" w:cs="仿宋"/>
          <w:sz w:val="32"/>
          <w:szCs w:val="32"/>
        </w:rPr>
      </w:pPr>
      <w:r>
        <w:rPr>
          <w:rFonts w:hint="eastAsia" w:ascii="仿宋_GB2312" w:hAnsi="仿宋" w:eastAsia="仿宋_GB2312" w:cs="仿宋"/>
          <w:sz w:val="32"/>
          <w:szCs w:val="32"/>
        </w:rPr>
        <w:t xml:space="preserve">    3、负责对外宣传、招商引资、项目前期考察论证；负责审核投资项目，按照规定权限进行备案和上报，协调服务入驻项目建设，推进工作进度。</w:t>
      </w:r>
    </w:p>
    <w:p>
      <w:pPr>
        <w:rPr>
          <w:rFonts w:ascii="仿宋_GB2312" w:hAnsi="仿宋" w:eastAsia="仿宋_GB2312" w:cs="仿宋"/>
          <w:sz w:val="32"/>
          <w:szCs w:val="32"/>
        </w:rPr>
      </w:pPr>
      <w:r>
        <w:rPr>
          <w:rFonts w:hint="eastAsia" w:ascii="仿宋_GB2312" w:hAnsi="仿宋" w:eastAsia="仿宋_GB2312" w:cs="仿宋"/>
          <w:sz w:val="32"/>
          <w:szCs w:val="32"/>
        </w:rPr>
        <w:t xml:space="preserve">    4、负责投融资、土地收储、中小企业信用担保、人才等要素平台的建立和管理工作。</w:t>
      </w:r>
    </w:p>
    <w:p>
      <w:pPr>
        <w:rPr>
          <w:rFonts w:ascii="仿宋_GB2312" w:hAnsi="仿宋" w:eastAsia="仿宋_GB2312" w:cs="仿宋"/>
          <w:sz w:val="32"/>
          <w:szCs w:val="32"/>
        </w:rPr>
      </w:pPr>
      <w:r>
        <w:rPr>
          <w:rFonts w:hint="eastAsia" w:ascii="仿宋_GB2312" w:hAnsi="仿宋" w:eastAsia="仿宋_GB2312" w:cs="仿宋"/>
          <w:sz w:val="32"/>
          <w:szCs w:val="32"/>
        </w:rPr>
        <w:t xml:space="preserve">    5、负责优化企业生产经营环境，维护企业合法权益。</w:t>
      </w:r>
    </w:p>
    <w:p>
      <w:pPr>
        <w:rPr>
          <w:rFonts w:ascii="仿宋_GB2312" w:hAnsi="仿宋" w:eastAsia="仿宋_GB2312" w:cs="仿宋"/>
          <w:sz w:val="32"/>
          <w:szCs w:val="32"/>
        </w:rPr>
      </w:pPr>
      <w:r>
        <w:rPr>
          <w:rFonts w:hint="eastAsia" w:ascii="仿宋_GB2312" w:hAnsi="仿宋" w:eastAsia="仿宋_GB2312" w:cs="仿宋"/>
          <w:sz w:val="32"/>
          <w:szCs w:val="32"/>
        </w:rPr>
        <w:t xml:space="preserve">    6、负责培育和发展行业协会等中介组织。</w:t>
      </w:r>
    </w:p>
    <w:p>
      <w:pPr>
        <w:rPr>
          <w:rFonts w:ascii="仿宋_GB2312" w:hAnsi="仿宋" w:eastAsia="仿宋_GB2312" w:cs="仿宋"/>
          <w:sz w:val="32"/>
          <w:szCs w:val="32"/>
        </w:rPr>
      </w:pPr>
      <w:r>
        <w:rPr>
          <w:rFonts w:hint="eastAsia" w:ascii="仿宋_GB2312" w:hAnsi="仿宋" w:eastAsia="仿宋_GB2312" w:cs="仿宋"/>
          <w:sz w:val="32"/>
          <w:szCs w:val="32"/>
        </w:rPr>
        <w:t xml:space="preserve">    7、承担相关职能部门派驻机构的协调服务工作。</w:t>
      </w:r>
    </w:p>
    <w:p>
      <w:pPr>
        <w:ind w:firstLine="630"/>
        <w:rPr>
          <w:rFonts w:hint="eastAsia" w:ascii="仿宋_GB2312" w:hAnsi="仿宋" w:eastAsia="仿宋_GB2312" w:cs="仿宋"/>
          <w:sz w:val="32"/>
          <w:szCs w:val="32"/>
        </w:rPr>
      </w:pPr>
      <w:r>
        <w:rPr>
          <w:rFonts w:hint="eastAsia" w:ascii="仿宋_GB2312" w:hAnsi="仿宋" w:eastAsia="仿宋_GB2312" w:cs="仿宋"/>
          <w:sz w:val="32"/>
          <w:szCs w:val="32"/>
        </w:rPr>
        <w:t>8、承担县委、县政府交办的其他工作。</w:t>
      </w:r>
    </w:p>
    <w:p>
      <w:pPr>
        <w:kinsoku w:val="0"/>
        <w:overflowPunct w:val="0"/>
        <w:adjustRightInd w:val="0"/>
        <w:snapToGrid w:val="0"/>
        <w:spacing w:line="360" w:lineRule="auto"/>
        <w:ind w:right="51" w:firstLine="321" w:firstLineChars="100"/>
        <w:jc w:val="left"/>
        <w:rPr>
          <w:rFonts w:hint="eastAsia" w:ascii="仿宋_GB2312" w:hAnsi="仿宋_GB2312" w:eastAsia="仿宋_GB2312" w:cs="仿宋_GB2312"/>
          <w:b/>
          <w:bCs/>
          <w:color w:val="000000"/>
          <w:sz w:val="32"/>
          <w:szCs w:val="32"/>
        </w:rPr>
      </w:pPr>
      <w:r>
        <w:rPr>
          <w:rFonts w:hint="eastAsia" w:ascii="仿宋_GB2312" w:hAnsi="仿宋_GB2312" w:eastAsia="仿宋_GB2312" w:cs="仿宋_GB2312"/>
          <w:b/>
          <w:bCs/>
          <w:color w:val="000000"/>
          <w:sz w:val="32"/>
          <w:szCs w:val="32"/>
        </w:rPr>
        <w:t>二、</w:t>
      </w:r>
      <w:r>
        <w:rPr>
          <w:rFonts w:hint="eastAsia" w:ascii="黑体" w:hAnsi="黑体" w:eastAsia="黑体" w:cs="黑体"/>
          <w:b w:val="0"/>
          <w:bCs/>
          <w:sz w:val="32"/>
          <w:szCs w:val="32"/>
        </w:rPr>
        <w:t>淮滨县先进制造业开发区管理委员会</w:t>
      </w:r>
      <w:r>
        <w:rPr>
          <w:rFonts w:hint="eastAsia" w:ascii="黑体" w:hAnsi="黑体" w:eastAsia="黑体" w:cs="黑体"/>
          <w:b w:val="0"/>
          <w:bCs/>
          <w:color w:val="000000"/>
          <w:sz w:val="32"/>
          <w:szCs w:val="32"/>
        </w:rPr>
        <w:t>内设机构设置情况</w:t>
      </w:r>
      <w:bookmarkStart w:id="0" w:name="_GoBack"/>
      <w:bookmarkEnd w:id="0"/>
    </w:p>
    <w:p>
      <w:pPr>
        <w:ind w:firstLine="630"/>
        <w:rPr>
          <w:rFonts w:ascii="仿宋_GB2312" w:hAnsi="仿宋" w:eastAsia="仿宋_GB2312" w:cs="仿宋"/>
          <w:sz w:val="32"/>
          <w:szCs w:val="32"/>
        </w:rPr>
      </w:pPr>
      <w:r>
        <w:rPr>
          <w:rFonts w:hint="eastAsia" w:ascii="仿宋" w:hAnsi="仿宋" w:eastAsia="仿宋" w:cs="仿宋"/>
          <w:bCs/>
          <w:sz w:val="32"/>
          <w:szCs w:val="32"/>
        </w:rPr>
        <w:t>淮滨县先进制造业开发区管理委员会</w:t>
      </w:r>
      <w:r>
        <w:rPr>
          <w:rFonts w:hint="eastAsia" w:ascii="仿宋_GB2312" w:hAnsi="Times New Roman" w:eastAsia="仿宋_GB2312" w:cs="Times New Roman"/>
          <w:color w:val="000000"/>
          <w:spacing w:val="0"/>
          <w:w w:val="100"/>
          <w:kern w:val="0"/>
          <w:position w:val="0"/>
          <w:sz w:val="32"/>
          <w:szCs w:val="32"/>
          <w:u w:val="none"/>
          <w:shd w:val="clear" w:color="auto" w:fill="auto"/>
          <w:lang w:val="en-US" w:eastAsia="zh-CN" w:bidi="en-US"/>
        </w:rPr>
        <w:t>作为县委、县政府的派出机构，现有综合办公室、投资合作部、规划建设部、计划财务部、</w:t>
      </w:r>
      <w:r>
        <w:rPr>
          <w:rFonts w:hint="eastAsia" w:ascii="仿宋_GB2312" w:hAnsi="Times New Roman" w:eastAsia="仿宋_GB2312" w:cs="Times New Roman"/>
          <w:color w:val="auto"/>
          <w:spacing w:val="0"/>
          <w:w w:val="100"/>
          <w:kern w:val="0"/>
          <w:position w:val="0"/>
          <w:sz w:val="32"/>
          <w:szCs w:val="32"/>
          <w:u w:val="none"/>
          <w:shd w:val="clear" w:color="auto" w:fill="auto"/>
          <w:lang w:val="en-US" w:eastAsia="zh-CN" w:bidi="en-US"/>
        </w:rPr>
        <w:t>新城西区中心园区管理办公室等5个内设机构，</w:t>
      </w:r>
      <w:r>
        <w:rPr>
          <w:rFonts w:hint="eastAsia" w:ascii="仿宋_GB2312" w:hAnsi="仿宋_GB2312" w:eastAsia="仿宋_GB2312" w:cs="仿宋_GB2312"/>
          <w:bCs/>
          <w:sz w:val="32"/>
          <w:szCs w:val="32"/>
        </w:rPr>
        <w:t>本单位无所属二级机构</w:t>
      </w:r>
      <w:r>
        <w:rPr>
          <w:rFonts w:hint="eastAsia" w:ascii="仿宋_GB2312" w:hAnsi="仿宋_GB2312" w:eastAsia="仿宋_GB2312" w:cs="仿宋_GB2312"/>
          <w:bCs/>
          <w:sz w:val="32"/>
          <w:szCs w:val="32"/>
          <w:lang w:eastAsia="zh-CN"/>
        </w:rPr>
        <w:t>。</w:t>
      </w:r>
    </w:p>
    <w:p>
      <w:pPr>
        <w:pStyle w:val="3"/>
        <w:numPr>
          <w:ilvl w:val="0"/>
          <w:numId w:val="0"/>
        </w:numPr>
        <w:tabs>
          <w:tab w:val="left" w:pos="880"/>
        </w:tabs>
        <w:kinsoku w:val="0"/>
        <w:overflowPunct w:val="0"/>
        <w:spacing w:before="0"/>
        <w:ind w:leftChars="200"/>
        <w:jc w:val="left"/>
        <w:rPr>
          <w:rFonts w:hint="default" w:ascii="黑体" w:hAnsi="黑体" w:eastAsia="黑体" w:cs="黑体"/>
          <w:bCs/>
          <w:szCs w:val="32"/>
        </w:rPr>
      </w:pPr>
      <w:r>
        <w:rPr>
          <w:rFonts w:hint="eastAsia" w:ascii="黑体" w:hAnsi="黑体" w:eastAsia="黑体" w:cs="黑体"/>
          <w:bCs/>
          <w:szCs w:val="32"/>
          <w:lang w:eastAsia="zh-CN"/>
        </w:rPr>
        <w:t>三、</w:t>
      </w:r>
      <w:r>
        <w:rPr>
          <w:rFonts w:ascii="黑体" w:hAnsi="黑体" w:eastAsia="黑体" w:cs="黑体"/>
          <w:bCs/>
          <w:szCs w:val="32"/>
        </w:rPr>
        <w:t>淮滨县先进制造业开发区管理委员会所属预算单位构成情况</w:t>
      </w:r>
    </w:p>
    <w:p>
      <w:pPr>
        <w:ind w:firstLine="640" w:firstLineChars="200"/>
        <w:jc w:val="left"/>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淮滨县先进制造业开发区管理委员会</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年部门预算包括局机关本级预算，本单位无所属二级机构预算。</w:t>
      </w:r>
    </w:p>
    <w:p>
      <w:pPr>
        <w:ind w:firstLine="640" w:firstLineChars="200"/>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淮滨县先进制造业开发区管理委员会</w:t>
      </w:r>
      <w:r>
        <w:rPr>
          <w:rFonts w:hint="eastAsia" w:ascii="仿宋_GB2312" w:hAnsi="仿宋_GB2312" w:eastAsia="仿宋_GB2312" w:cs="仿宋_GB2312"/>
          <w:bCs/>
          <w:sz w:val="32"/>
          <w:szCs w:val="32"/>
          <w:lang w:eastAsia="zh-CN"/>
        </w:rPr>
        <w:t>2023</w:t>
      </w:r>
      <w:r>
        <w:rPr>
          <w:rFonts w:hint="eastAsia" w:ascii="仿宋_GB2312" w:hAnsi="仿宋_GB2312" w:eastAsia="仿宋_GB2312" w:cs="仿宋_GB2312"/>
          <w:bCs/>
          <w:sz w:val="32"/>
          <w:szCs w:val="32"/>
        </w:rPr>
        <w:t>年</w:t>
      </w:r>
      <w:r>
        <w:rPr>
          <w:rFonts w:hint="eastAsia" w:ascii="仿宋_GB2312" w:hAnsi="仿宋_GB2312" w:eastAsia="仿宋_GB2312" w:cs="仿宋_GB2312"/>
          <w:bCs/>
          <w:sz w:val="32"/>
          <w:szCs w:val="32"/>
          <w:lang w:eastAsia="zh-CN"/>
        </w:rPr>
        <w:t>本级</w:t>
      </w:r>
      <w:r>
        <w:rPr>
          <w:rFonts w:hint="eastAsia" w:ascii="仿宋_GB2312" w:hAnsi="仿宋_GB2312" w:eastAsia="仿宋_GB2312" w:cs="仿宋_GB2312"/>
          <w:bCs/>
          <w:sz w:val="32"/>
          <w:szCs w:val="32"/>
        </w:rPr>
        <w:t>预算</w:t>
      </w:r>
      <w:r>
        <w:rPr>
          <w:rFonts w:hint="eastAsia" w:ascii="仿宋_GB2312" w:hAnsi="仿宋_GB2312" w:eastAsia="仿宋_GB2312" w:cs="仿宋_GB2312"/>
          <w:bCs/>
          <w:sz w:val="32"/>
          <w:szCs w:val="32"/>
          <w:lang w:eastAsia="zh-CN"/>
        </w:rPr>
        <w:t>包括：</w:t>
      </w:r>
      <w:r>
        <w:rPr>
          <w:rFonts w:hint="eastAsia" w:ascii="仿宋_GB2312" w:hAnsi="Times New Roman" w:eastAsia="仿宋_GB2312" w:cs="Times New Roman"/>
          <w:color w:val="000000"/>
          <w:spacing w:val="0"/>
          <w:w w:val="100"/>
          <w:kern w:val="0"/>
          <w:position w:val="0"/>
          <w:sz w:val="32"/>
          <w:szCs w:val="32"/>
          <w:u w:val="none"/>
          <w:shd w:val="clear" w:color="auto" w:fill="auto"/>
          <w:lang w:val="en-US" w:eastAsia="zh-CN" w:bidi="en-US"/>
        </w:rPr>
        <w:t>综合办公室、投资合作部、规划建设部、计划财务部、</w:t>
      </w:r>
      <w:r>
        <w:rPr>
          <w:rFonts w:hint="eastAsia" w:ascii="仿宋_GB2312" w:hAnsi="Times New Roman" w:eastAsia="仿宋_GB2312" w:cs="Times New Roman"/>
          <w:color w:val="auto"/>
          <w:spacing w:val="0"/>
          <w:w w:val="100"/>
          <w:kern w:val="0"/>
          <w:position w:val="0"/>
          <w:sz w:val="32"/>
          <w:szCs w:val="32"/>
          <w:u w:val="none"/>
          <w:shd w:val="clear" w:color="auto" w:fill="auto"/>
          <w:lang w:val="en-US" w:eastAsia="zh-CN" w:bidi="en-US"/>
        </w:rPr>
        <w:t>新城西区中心园区管理办公室的预算。</w:t>
      </w:r>
    </w:p>
    <w:p>
      <w:pPr>
        <w:jc w:val="both"/>
        <w:rPr>
          <w:rFonts w:ascii="黑体" w:hAnsi="黑体" w:eastAsia="黑体" w:cs="黑体"/>
          <w:b/>
          <w:bCs/>
          <w:sz w:val="36"/>
          <w:szCs w:val="36"/>
        </w:rPr>
      </w:pPr>
    </w:p>
    <w:p>
      <w:pPr>
        <w:jc w:val="center"/>
        <w:rPr>
          <w:rFonts w:ascii="黑体" w:hAnsi="黑体" w:eastAsia="黑体" w:cs="黑体"/>
          <w:b/>
          <w:bCs/>
          <w:sz w:val="36"/>
          <w:szCs w:val="36"/>
        </w:rPr>
      </w:pPr>
      <w:r>
        <w:rPr>
          <w:rFonts w:hint="eastAsia" w:ascii="黑体" w:hAnsi="黑体" w:eastAsia="黑体" w:cs="黑体"/>
          <w:b/>
          <w:bCs/>
          <w:sz w:val="36"/>
          <w:szCs w:val="36"/>
        </w:rPr>
        <w:t>第二部分</w:t>
      </w:r>
    </w:p>
    <w:p>
      <w:pPr>
        <w:jc w:val="center"/>
        <w:rPr>
          <w:rFonts w:ascii="黑体" w:hAnsi="黑体" w:eastAsia="黑体" w:cs="黑体"/>
          <w:b/>
          <w:bCs/>
          <w:sz w:val="36"/>
          <w:szCs w:val="36"/>
        </w:rPr>
      </w:pPr>
      <w:r>
        <w:rPr>
          <w:rFonts w:hint="eastAsia" w:ascii="黑体" w:hAnsi="黑体" w:eastAsia="黑体" w:cs="黑体"/>
          <w:b/>
          <w:bCs/>
          <w:sz w:val="36"/>
          <w:szCs w:val="36"/>
        </w:rPr>
        <w:t>淮滨县先进制造业开发区管理委员会</w:t>
      </w:r>
      <w:r>
        <w:rPr>
          <w:rFonts w:hint="eastAsia" w:ascii="黑体" w:hAnsi="黑体" w:eastAsia="黑体" w:cs="黑体"/>
          <w:b/>
          <w:bCs/>
          <w:sz w:val="36"/>
          <w:szCs w:val="36"/>
          <w:lang w:eastAsia="zh-CN"/>
        </w:rPr>
        <w:t>2023</w:t>
      </w:r>
      <w:r>
        <w:rPr>
          <w:rFonts w:hint="eastAsia" w:ascii="黑体" w:hAnsi="黑体" w:eastAsia="黑体" w:cs="黑体"/>
          <w:b/>
          <w:bCs/>
          <w:sz w:val="36"/>
          <w:szCs w:val="36"/>
        </w:rPr>
        <w:t>年度部门预算情况说明</w:t>
      </w:r>
    </w:p>
    <w:p>
      <w:pPr>
        <w:jc w:val="center"/>
        <w:rPr>
          <w:rFonts w:ascii="黑体" w:hAnsi="黑体" w:eastAsia="黑体" w:cs="黑体"/>
          <w:b/>
          <w:bCs/>
          <w:sz w:val="36"/>
          <w:szCs w:val="36"/>
        </w:rPr>
      </w:pPr>
    </w:p>
    <w:p>
      <w:pPr>
        <w:numPr>
          <w:ilvl w:val="0"/>
          <w:numId w:val="4"/>
        </w:numPr>
        <w:ind w:firstLine="640"/>
        <w:jc w:val="left"/>
        <w:rPr>
          <w:rFonts w:ascii="黑体" w:hAnsi="黑体" w:eastAsia="黑体" w:cs="黑体"/>
          <w:sz w:val="32"/>
          <w:szCs w:val="32"/>
        </w:rPr>
      </w:pPr>
      <w:r>
        <w:rPr>
          <w:rFonts w:hint="eastAsia" w:ascii="黑体" w:hAnsi="黑体" w:eastAsia="黑体" w:cs="黑体"/>
          <w:sz w:val="32"/>
          <w:szCs w:val="32"/>
        </w:rPr>
        <w:t>收入支出预算总体情况说明</w:t>
      </w:r>
    </w:p>
    <w:p>
      <w:pPr>
        <w:ind w:firstLine="640" w:firstLineChars="200"/>
        <w:jc w:val="left"/>
        <w:rPr>
          <w:rFonts w:hint="default" w:ascii="仿宋" w:hAnsi="仿宋" w:eastAsia="仿宋" w:cs="仿宋"/>
          <w:sz w:val="32"/>
          <w:szCs w:val="32"/>
          <w:lang w:val="en-US" w:eastAsia="zh-CN"/>
        </w:rPr>
      </w:pPr>
      <w:r>
        <w:rPr>
          <w:rFonts w:hint="eastAsia" w:ascii="仿宋" w:hAnsi="仿宋" w:eastAsia="仿宋" w:cs="仿宋"/>
          <w:sz w:val="32"/>
          <w:szCs w:val="32"/>
        </w:rPr>
        <w:t>淮滨县先进制造业开发区管理委员会</w:t>
      </w:r>
      <w:r>
        <w:rPr>
          <w:rFonts w:hint="eastAsia" w:ascii="仿宋" w:hAnsi="仿宋" w:eastAsia="仿宋" w:cs="仿宋"/>
          <w:sz w:val="32"/>
          <w:szCs w:val="32"/>
          <w:lang w:eastAsia="zh-CN"/>
        </w:rPr>
        <w:t>2023</w:t>
      </w:r>
      <w:r>
        <w:rPr>
          <w:rFonts w:hint="eastAsia" w:ascii="仿宋" w:hAnsi="仿宋" w:eastAsia="仿宋" w:cs="仿宋"/>
          <w:sz w:val="32"/>
          <w:szCs w:val="32"/>
        </w:rPr>
        <w:t>年收入总计</w:t>
      </w:r>
      <w:r>
        <w:rPr>
          <w:rFonts w:hint="eastAsia" w:ascii="仿宋" w:hAnsi="仿宋" w:eastAsia="仿宋" w:cs="仿宋"/>
          <w:sz w:val="32"/>
          <w:szCs w:val="32"/>
          <w:lang w:val="en-US" w:eastAsia="zh-CN"/>
        </w:rPr>
        <w:t>3565.55</w:t>
      </w:r>
      <w:r>
        <w:rPr>
          <w:rFonts w:hint="eastAsia" w:ascii="仿宋" w:hAnsi="仿宋" w:eastAsia="仿宋" w:cs="仿宋"/>
          <w:sz w:val="32"/>
          <w:szCs w:val="32"/>
        </w:rPr>
        <w:t>万元，支出总计</w:t>
      </w:r>
      <w:r>
        <w:rPr>
          <w:rFonts w:hint="eastAsia" w:ascii="仿宋" w:hAnsi="仿宋" w:eastAsia="仿宋" w:cs="仿宋"/>
          <w:sz w:val="32"/>
          <w:szCs w:val="32"/>
          <w:lang w:val="en-US" w:eastAsia="zh-CN"/>
        </w:rPr>
        <w:t>3565.55</w:t>
      </w:r>
      <w:r>
        <w:rPr>
          <w:rFonts w:hint="eastAsia" w:ascii="仿宋" w:hAnsi="仿宋" w:eastAsia="仿宋" w:cs="仿宋"/>
          <w:sz w:val="32"/>
          <w:szCs w:val="32"/>
        </w:rPr>
        <w:t>万元,与</w:t>
      </w:r>
      <w:r>
        <w:rPr>
          <w:rFonts w:hint="eastAsia" w:ascii="仿宋" w:hAnsi="仿宋" w:eastAsia="仿宋" w:cs="仿宋"/>
          <w:sz w:val="32"/>
          <w:szCs w:val="32"/>
          <w:lang w:eastAsia="zh-CN"/>
        </w:rPr>
        <w:t>2022</w:t>
      </w:r>
      <w:r>
        <w:rPr>
          <w:rFonts w:hint="eastAsia" w:ascii="仿宋" w:hAnsi="仿宋" w:eastAsia="仿宋" w:cs="仿宋"/>
          <w:sz w:val="32"/>
          <w:szCs w:val="32"/>
        </w:rPr>
        <w:t>年相比，收、支总计各增加</w:t>
      </w:r>
      <w:r>
        <w:rPr>
          <w:rFonts w:hint="eastAsia" w:ascii="仿宋" w:hAnsi="仿宋" w:eastAsia="仿宋" w:cs="仿宋"/>
          <w:sz w:val="32"/>
          <w:szCs w:val="32"/>
          <w:lang w:val="en-US" w:eastAsia="zh-CN"/>
        </w:rPr>
        <w:t>42.6</w:t>
      </w:r>
      <w:r>
        <w:rPr>
          <w:rFonts w:hint="eastAsia" w:ascii="仿宋" w:hAnsi="仿宋" w:eastAsia="仿宋" w:cs="仿宋"/>
          <w:sz w:val="32"/>
          <w:szCs w:val="32"/>
        </w:rPr>
        <w:t>万元，增长</w:t>
      </w:r>
      <w:r>
        <w:rPr>
          <w:rFonts w:hint="eastAsia" w:ascii="仿宋" w:hAnsi="仿宋" w:eastAsia="仿宋" w:cs="仿宋"/>
          <w:sz w:val="32"/>
          <w:szCs w:val="32"/>
          <w:lang w:val="en-US" w:eastAsia="zh-CN"/>
        </w:rPr>
        <w:t>1.2</w:t>
      </w:r>
      <w:r>
        <w:rPr>
          <w:rFonts w:hint="eastAsia" w:ascii="仿宋" w:hAnsi="仿宋" w:eastAsia="仿宋" w:cs="仿宋"/>
          <w:sz w:val="32"/>
          <w:szCs w:val="32"/>
        </w:rPr>
        <w:t>%。主要原因是</w:t>
      </w:r>
      <w:r>
        <w:rPr>
          <w:rFonts w:hint="eastAsia" w:ascii="仿宋" w:hAnsi="仿宋" w:eastAsia="仿宋" w:cs="仿宋"/>
          <w:sz w:val="32"/>
          <w:szCs w:val="32"/>
          <w:lang w:val="en-US" w:eastAsia="zh-CN"/>
        </w:rPr>
        <w:t>人员经费支出和项目支出有所增加。</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340350" cy="3567430"/>
            <wp:effectExtent l="0" t="0" r="12700" b="1397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收入预算总体情况说明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淮滨县先进制造业开发区管理委员会</w:t>
      </w:r>
      <w:r>
        <w:rPr>
          <w:rFonts w:hint="eastAsia" w:ascii="仿宋" w:hAnsi="仿宋" w:eastAsia="仿宋" w:cs="仿宋"/>
          <w:sz w:val="32"/>
          <w:lang w:eastAsia="zh-CN"/>
        </w:rPr>
        <w:t>2023</w:t>
      </w:r>
      <w:r>
        <w:rPr>
          <w:rFonts w:hint="eastAsia" w:ascii="仿宋" w:hAnsi="仿宋" w:eastAsia="仿宋" w:cs="仿宋"/>
          <w:sz w:val="32"/>
        </w:rPr>
        <w:t>年收入合计</w:t>
      </w:r>
      <w:r>
        <w:rPr>
          <w:rFonts w:hint="eastAsia" w:ascii="仿宋" w:hAnsi="仿宋" w:eastAsia="仿宋" w:cs="仿宋"/>
          <w:sz w:val="32"/>
          <w:szCs w:val="32"/>
          <w:lang w:val="en-US" w:eastAsia="zh-CN"/>
        </w:rPr>
        <w:t>3565.55</w:t>
      </w:r>
      <w:r>
        <w:rPr>
          <w:rFonts w:hint="eastAsia" w:ascii="仿宋" w:hAnsi="仿宋" w:eastAsia="仿宋" w:cs="仿宋"/>
          <w:sz w:val="32"/>
        </w:rPr>
        <w:t>万元，其中：一般公共预算收入</w:t>
      </w:r>
      <w:r>
        <w:rPr>
          <w:rFonts w:hint="eastAsia" w:ascii="仿宋" w:hAnsi="仿宋" w:eastAsia="仿宋" w:cs="仿宋"/>
          <w:sz w:val="32"/>
          <w:lang w:val="en-US" w:eastAsia="zh-CN"/>
        </w:rPr>
        <w:t>3292.19</w:t>
      </w:r>
      <w:r>
        <w:rPr>
          <w:rFonts w:hint="eastAsia" w:ascii="仿宋" w:hAnsi="仿宋" w:eastAsia="仿宋" w:cs="仿宋"/>
          <w:sz w:val="32"/>
        </w:rPr>
        <w:t>万元，</w:t>
      </w:r>
      <w:r>
        <w:rPr>
          <w:rFonts w:hint="eastAsia" w:ascii="仿宋" w:hAnsi="仿宋" w:eastAsia="仿宋" w:cs="仿宋"/>
          <w:sz w:val="32"/>
          <w:lang w:val="en-US" w:eastAsia="zh-CN"/>
        </w:rPr>
        <w:t>国有资本经营收入273.36万元，</w:t>
      </w:r>
      <w:r>
        <w:rPr>
          <w:rFonts w:hint="eastAsia" w:ascii="仿宋" w:hAnsi="仿宋" w:eastAsia="仿宋" w:cs="仿宋"/>
          <w:sz w:val="32"/>
        </w:rPr>
        <w:t>上年结转结余0万元。</w:t>
      </w:r>
    </w:p>
    <w:p>
      <w:pPr>
        <w:jc w:val="left"/>
        <w:rPr>
          <w:rFonts w:ascii="仿宋" w:hAnsi="仿宋" w:eastAsia="仿宋" w:cs="仿宋"/>
          <w:sz w:val="32"/>
        </w:rPr>
      </w:pPr>
      <w:r>
        <w:rPr>
          <w:rFonts w:hint="eastAsia" w:ascii="仿宋" w:hAnsi="仿宋" w:eastAsia="仿宋" w:cs="仿宋"/>
          <w:sz w:val="32"/>
        </w:rPr>
        <w:drawing>
          <wp:inline distT="0" distB="0" distL="0" distR="0">
            <wp:extent cx="5359400" cy="3141980"/>
            <wp:effectExtent l="0" t="0" r="12700" b="127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支出预算总体情况说明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w:t>
      </w:r>
      <w:r>
        <w:rPr>
          <w:rFonts w:hint="eastAsia" w:ascii="仿宋" w:hAnsi="仿宋" w:eastAsia="仿宋" w:cs="仿宋"/>
          <w:sz w:val="32"/>
          <w:szCs w:val="32"/>
        </w:rPr>
        <w:t>先进制造业开发区管理委员会</w:t>
      </w:r>
      <w:r>
        <w:rPr>
          <w:rFonts w:hint="eastAsia" w:ascii="仿宋" w:hAnsi="仿宋" w:eastAsia="仿宋" w:cs="仿宋"/>
          <w:sz w:val="32"/>
          <w:lang w:eastAsia="zh-CN"/>
        </w:rPr>
        <w:t>2023</w:t>
      </w:r>
      <w:r>
        <w:rPr>
          <w:rFonts w:hint="eastAsia" w:ascii="仿宋" w:hAnsi="仿宋" w:eastAsia="仿宋" w:cs="仿宋"/>
          <w:sz w:val="32"/>
        </w:rPr>
        <w:t>年支出合计</w:t>
      </w:r>
      <w:r>
        <w:rPr>
          <w:rFonts w:hint="eastAsia" w:ascii="仿宋" w:hAnsi="仿宋" w:eastAsia="仿宋" w:cs="仿宋"/>
          <w:sz w:val="32"/>
          <w:szCs w:val="32"/>
          <w:lang w:val="en-US" w:eastAsia="zh-CN"/>
        </w:rPr>
        <w:t>3565.55</w:t>
      </w:r>
      <w:r>
        <w:rPr>
          <w:rFonts w:hint="eastAsia" w:ascii="仿宋" w:hAnsi="仿宋" w:eastAsia="仿宋" w:cs="仿宋"/>
          <w:sz w:val="32"/>
        </w:rPr>
        <w:t>万元，其中：基本支出</w:t>
      </w:r>
      <w:r>
        <w:rPr>
          <w:rFonts w:hint="eastAsia" w:ascii="仿宋" w:hAnsi="仿宋" w:eastAsia="仿宋" w:cs="仿宋"/>
          <w:sz w:val="32"/>
          <w:lang w:val="en-US" w:eastAsia="zh-CN"/>
        </w:rPr>
        <w:t>578.52</w:t>
      </w:r>
      <w:r>
        <w:rPr>
          <w:rFonts w:hint="eastAsia" w:ascii="仿宋" w:hAnsi="仿宋" w:eastAsia="仿宋" w:cs="仿宋"/>
          <w:sz w:val="32"/>
        </w:rPr>
        <w:t>万元，占</w:t>
      </w:r>
      <w:r>
        <w:rPr>
          <w:rFonts w:hint="eastAsia" w:ascii="仿宋" w:hAnsi="仿宋" w:eastAsia="仿宋" w:cs="仿宋"/>
          <w:sz w:val="32"/>
          <w:lang w:val="en-US" w:eastAsia="zh-CN"/>
        </w:rPr>
        <w:t>16</w:t>
      </w:r>
      <w:r>
        <w:rPr>
          <w:rFonts w:hint="eastAsia" w:ascii="仿宋" w:hAnsi="仿宋" w:eastAsia="仿宋" w:cs="仿宋"/>
          <w:sz w:val="32"/>
        </w:rPr>
        <w:t>%；项目支出</w:t>
      </w:r>
      <w:r>
        <w:rPr>
          <w:rFonts w:hint="eastAsia" w:ascii="仿宋" w:hAnsi="仿宋" w:eastAsia="仿宋" w:cs="仿宋"/>
          <w:sz w:val="32"/>
          <w:lang w:val="en-US" w:eastAsia="zh-CN"/>
        </w:rPr>
        <w:t>2987.03</w:t>
      </w:r>
      <w:r>
        <w:rPr>
          <w:rFonts w:hint="eastAsia" w:ascii="仿宋" w:hAnsi="仿宋" w:eastAsia="仿宋" w:cs="仿宋"/>
          <w:sz w:val="32"/>
        </w:rPr>
        <w:t>万元，占</w:t>
      </w:r>
      <w:r>
        <w:rPr>
          <w:rFonts w:hint="eastAsia" w:ascii="仿宋" w:hAnsi="仿宋" w:eastAsia="仿宋" w:cs="仿宋"/>
          <w:sz w:val="32"/>
          <w:lang w:val="en-US" w:eastAsia="zh-CN"/>
        </w:rPr>
        <w:t>84</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rPr>
        <w:drawing>
          <wp:inline distT="0" distB="0" distL="0" distR="0">
            <wp:extent cx="5233035" cy="3181350"/>
            <wp:effectExtent l="5080" t="4445" r="1968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numPr>
          <w:ilvl w:val="0"/>
          <w:numId w:val="4"/>
        </w:numPr>
        <w:ind w:firstLine="640"/>
        <w:jc w:val="left"/>
        <w:rPr>
          <w:rFonts w:ascii="黑体" w:hAnsi="黑体" w:eastAsia="黑体" w:cs="黑体"/>
          <w:sz w:val="32"/>
        </w:rPr>
      </w:pPr>
      <w:r>
        <w:rPr>
          <w:rFonts w:hint="eastAsia" w:ascii="黑体" w:hAnsi="黑体" w:eastAsia="黑体" w:cs="黑体"/>
          <w:sz w:val="32"/>
        </w:rPr>
        <w:t>财政拨款收支预算总体情况说明</w:t>
      </w:r>
    </w:p>
    <w:p>
      <w:pPr>
        <w:ind w:firstLine="640" w:firstLineChars="200"/>
        <w:jc w:val="left"/>
        <w:rPr>
          <w:rFonts w:ascii="仿宋" w:hAnsi="仿宋" w:eastAsia="仿宋" w:cs="仿宋"/>
          <w:sz w:val="32"/>
        </w:rPr>
      </w:pPr>
      <w:r>
        <w:rPr>
          <w:rFonts w:hint="eastAsia" w:ascii="仿宋" w:hAnsi="仿宋" w:eastAsia="仿宋" w:cs="仿宋"/>
          <w:sz w:val="32"/>
        </w:rPr>
        <w:t>淮滨县先进制造业开发区管理委员会</w:t>
      </w:r>
      <w:r>
        <w:rPr>
          <w:rFonts w:hint="eastAsia" w:ascii="仿宋" w:hAnsi="仿宋" w:eastAsia="仿宋" w:cs="仿宋"/>
          <w:sz w:val="32"/>
          <w:lang w:eastAsia="zh-CN"/>
        </w:rPr>
        <w:t>2023</w:t>
      </w:r>
      <w:r>
        <w:rPr>
          <w:rFonts w:hint="eastAsia" w:ascii="仿宋" w:hAnsi="仿宋" w:eastAsia="仿宋" w:cs="仿宋"/>
          <w:sz w:val="32"/>
        </w:rPr>
        <w:t>年财政拨款收支预算</w:t>
      </w:r>
      <w:r>
        <w:rPr>
          <w:rFonts w:hint="eastAsia" w:ascii="仿宋" w:hAnsi="仿宋" w:eastAsia="仿宋" w:cs="仿宋"/>
          <w:sz w:val="32"/>
          <w:lang w:val="en-US" w:eastAsia="zh-CN"/>
        </w:rPr>
        <w:t>3292.19</w:t>
      </w:r>
      <w:r>
        <w:rPr>
          <w:rFonts w:hint="eastAsia" w:ascii="仿宋" w:hAnsi="仿宋" w:eastAsia="仿宋" w:cs="仿宋"/>
          <w:sz w:val="32"/>
        </w:rPr>
        <w:t>万元，与</w:t>
      </w:r>
      <w:r>
        <w:rPr>
          <w:rFonts w:hint="eastAsia" w:ascii="仿宋" w:hAnsi="仿宋" w:eastAsia="仿宋" w:cs="仿宋"/>
          <w:sz w:val="32"/>
          <w:lang w:eastAsia="zh-CN"/>
        </w:rPr>
        <w:t>2022</w:t>
      </w:r>
      <w:r>
        <w:rPr>
          <w:rFonts w:hint="eastAsia" w:ascii="仿宋" w:hAnsi="仿宋" w:eastAsia="仿宋" w:cs="仿宋"/>
          <w:sz w:val="32"/>
        </w:rPr>
        <w:t>年相比，财政拨款收支预算增加</w:t>
      </w:r>
      <w:r>
        <w:rPr>
          <w:rFonts w:hint="eastAsia" w:ascii="仿宋" w:hAnsi="仿宋" w:eastAsia="仿宋" w:cs="仿宋"/>
          <w:sz w:val="32"/>
          <w:lang w:val="en-US" w:eastAsia="zh-CN"/>
        </w:rPr>
        <w:t>210.24</w:t>
      </w:r>
      <w:r>
        <w:rPr>
          <w:rFonts w:hint="eastAsia" w:ascii="仿宋" w:hAnsi="仿宋" w:eastAsia="仿宋" w:cs="仿宋"/>
          <w:sz w:val="32"/>
        </w:rPr>
        <w:t>万元，增长</w:t>
      </w:r>
      <w:r>
        <w:rPr>
          <w:rFonts w:hint="eastAsia" w:ascii="仿宋" w:hAnsi="仿宋" w:eastAsia="仿宋" w:cs="仿宋"/>
          <w:sz w:val="32"/>
          <w:lang w:val="en-US" w:eastAsia="zh-CN"/>
        </w:rPr>
        <w:t>6.8</w:t>
      </w:r>
      <w:r>
        <w:rPr>
          <w:rFonts w:hint="eastAsia" w:ascii="仿宋" w:hAnsi="仿宋" w:eastAsia="仿宋" w:cs="仿宋"/>
          <w:sz w:val="32"/>
        </w:rPr>
        <w:t>%，主要原因</w:t>
      </w:r>
      <w:r>
        <w:rPr>
          <w:rFonts w:hint="eastAsia" w:ascii="仿宋" w:hAnsi="仿宋" w:eastAsia="仿宋" w:cs="仿宋"/>
          <w:sz w:val="32"/>
          <w:lang w:val="en-US" w:eastAsia="zh-CN"/>
        </w:rPr>
        <w:t>是</w:t>
      </w:r>
      <w:r>
        <w:rPr>
          <w:rFonts w:hint="eastAsia" w:ascii="仿宋" w:hAnsi="仿宋" w:eastAsia="仿宋" w:cs="仿宋"/>
          <w:sz w:val="32"/>
          <w:szCs w:val="32"/>
          <w:lang w:val="en-US" w:eastAsia="zh-CN"/>
        </w:rPr>
        <w:t>人员经费支出和项目支出有所增加</w:t>
      </w:r>
      <w:r>
        <w:rPr>
          <w:rFonts w:hint="eastAsia" w:ascii="仿宋" w:hAnsi="仿宋" w:eastAsia="仿宋" w:cs="仿宋"/>
          <w:sz w:val="32"/>
        </w:rPr>
        <w:t>。</w:t>
      </w:r>
    </w:p>
    <w:p>
      <w:pPr>
        <w:jc w:val="left"/>
        <w:rPr>
          <w:rFonts w:ascii="仿宋" w:hAnsi="仿宋" w:eastAsia="仿宋" w:cs="仿宋"/>
          <w:sz w:val="32"/>
        </w:rPr>
      </w:pPr>
      <w:r>
        <w:rPr>
          <w:rFonts w:hint="eastAsia" w:ascii="仿宋" w:hAnsi="仿宋" w:eastAsia="仿宋" w:cs="仿宋"/>
          <w:sz w:val="32"/>
          <w:szCs w:val="32"/>
        </w:rPr>
        <w:drawing>
          <wp:inline distT="0" distB="0" distL="0" distR="0">
            <wp:extent cx="5274310" cy="3526790"/>
            <wp:effectExtent l="0" t="0" r="2540" b="1651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一般公共预算支出预算情况说明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淮滨县先进制造业开发区管理委员会</w:t>
      </w:r>
      <w:r>
        <w:rPr>
          <w:rFonts w:hint="eastAsia" w:ascii="仿宋" w:hAnsi="仿宋" w:eastAsia="仿宋" w:cs="仿宋"/>
          <w:sz w:val="32"/>
          <w:lang w:eastAsia="zh-CN"/>
        </w:rPr>
        <w:t>2023</w:t>
      </w:r>
      <w:r>
        <w:rPr>
          <w:rFonts w:hint="eastAsia" w:ascii="仿宋" w:hAnsi="仿宋" w:eastAsia="仿宋" w:cs="仿宋"/>
          <w:sz w:val="32"/>
        </w:rPr>
        <w:t>年一般公共预算支出年初预算为</w:t>
      </w:r>
      <w:r>
        <w:rPr>
          <w:rFonts w:hint="eastAsia" w:ascii="仿宋" w:hAnsi="仿宋" w:eastAsia="仿宋" w:cs="仿宋"/>
          <w:sz w:val="32"/>
          <w:szCs w:val="32"/>
          <w:lang w:val="en-US" w:eastAsia="zh-CN"/>
        </w:rPr>
        <w:t>3565.55</w:t>
      </w:r>
      <w:r>
        <w:rPr>
          <w:rFonts w:hint="eastAsia" w:ascii="仿宋" w:hAnsi="仿宋" w:eastAsia="仿宋" w:cs="仿宋"/>
          <w:sz w:val="32"/>
        </w:rPr>
        <w:t>万元。其中：基本支出</w:t>
      </w:r>
      <w:r>
        <w:rPr>
          <w:rFonts w:hint="eastAsia" w:ascii="仿宋" w:hAnsi="仿宋" w:eastAsia="仿宋" w:cs="仿宋"/>
          <w:sz w:val="32"/>
          <w:lang w:val="en-US" w:eastAsia="zh-CN"/>
        </w:rPr>
        <w:t>578.52</w:t>
      </w:r>
      <w:r>
        <w:rPr>
          <w:rFonts w:hint="eastAsia" w:ascii="仿宋" w:hAnsi="仿宋" w:eastAsia="仿宋" w:cs="仿宋"/>
          <w:sz w:val="32"/>
        </w:rPr>
        <w:t>万元，占</w:t>
      </w:r>
      <w:r>
        <w:rPr>
          <w:rFonts w:hint="eastAsia" w:ascii="仿宋" w:hAnsi="仿宋" w:eastAsia="仿宋" w:cs="仿宋"/>
          <w:sz w:val="32"/>
          <w:lang w:val="en-US" w:eastAsia="zh-CN"/>
        </w:rPr>
        <w:t>16</w:t>
      </w:r>
      <w:r>
        <w:rPr>
          <w:rFonts w:hint="eastAsia" w:ascii="仿宋" w:hAnsi="仿宋" w:eastAsia="仿宋" w:cs="仿宋"/>
          <w:sz w:val="32"/>
        </w:rPr>
        <w:t>%;项目支出</w:t>
      </w:r>
      <w:r>
        <w:rPr>
          <w:rFonts w:hint="eastAsia" w:ascii="仿宋" w:hAnsi="仿宋" w:eastAsia="仿宋" w:cs="仿宋"/>
          <w:sz w:val="32"/>
          <w:lang w:val="en-US" w:eastAsia="zh-CN"/>
        </w:rPr>
        <w:t>2987.03</w:t>
      </w:r>
      <w:r>
        <w:rPr>
          <w:rFonts w:hint="eastAsia" w:ascii="仿宋" w:hAnsi="仿宋" w:eastAsia="仿宋" w:cs="仿宋"/>
          <w:sz w:val="32"/>
        </w:rPr>
        <w:t>万元，占</w:t>
      </w:r>
      <w:r>
        <w:rPr>
          <w:rFonts w:hint="eastAsia" w:ascii="仿宋" w:hAnsi="仿宋" w:eastAsia="仿宋" w:cs="仿宋"/>
          <w:sz w:val="32"/>
          <w:lang w:val="en-US" w:eastAsia="zh-CN"/>
        </w:rPr>
        <w:t>84</w:t>
      </w:r>
      <w:r>
        <w:rPr>
          <w:rFonts w:hint="eastAsia" w:ascii="仿宋" w:hAnsi="仿宋" w:eastAsia="仿宋" w:cs="仿宋"/>
          <w:sz w:val="32"/>
        </w:rPr>
        <w:t>%。</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162550" cy="2781300"/>
            <wp:effectExtent l="19050" t="0" r="19050" b="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numPr>
          <w:ilvl w:val="0"/>
          <w:numId w:val="4"/>
        </w:numPr>
        <w:ind w:firstLine="640"/>
        <w:jc w:val="left"/>
        <w:rPr>
          <w:rFonts w:ascii="黑体" w:hAnsi="黑体" w:eastAsia="黑体" w:cs="黑体"/>
          <w:color w:val="000000"/>
          <w:sz w:val="32"/>
          <w:szCs w:val="32"/>
        </w:rPr>
      </w:pPr>
      <w:r>
        <w:rPr>
          <w:rFonts w:hint="eastAsia" w:ascii="黑体" w:hAnsi="黑体" w:eastAsia="黑体" w:cs="黑体"/>
          <w:color w:val="000000"/>
          <w:sz w:val="32"/>
          <w:szCs w:val="32"/>
        </w:rPr>
        <w:t>一般公共预算基本支出预算情况说明</w:t>
      </w:r>
    </w:p>
    <w:p>
      <w:pPr>
        <w:ind w:firstLine="640" w:firstLineChars="200"/>
        <w:jc w:val="left"/>
        <w:rPr>
          <w:rFonts w:ascii="仿宋" w:hAnsi="仿宋" w:eastAsia="仿宋" w:cs="仿宋"/>
          <w:color w:val="000000"/>
          <w:sz w:val="32"/>
          <w:szCs w:val="32"/>
        </w:rPr>
      </w:pPr>
      <w:r>
        <w:rPr>
          <w:rFonts w:hint="eastAsia" w:ascii="仿宋" w:hAnsi="仿宋" w:eastAsia="仿宋" w:cs="仿宋"/>
          <w:color w:val="000000"/>
          <w:sz w:val="32"/>
          <w:szCs w:val="32"/>
        </w:rPr>
        <w:t>淮滨县</w:t>
      </w:r>
      <w:r>
        <w:rPr>
          <w:rFonts w:hint="eastAsia" w:ascii="仿宋" w:hAnsi="仿宋" w:eastAsia="仿宋" w:cs="仿宋"/>
          <w:sz w:val="32"/>
        </w:rPr>
        <w:t>先进制造业开发区管理委员会</w:t>
      </w:r>
      <w:r>
        <w:rPr>
          <w:rFonts w:hint="eastAsia" w:ascii="仿宋" w:hAnsi="仿宋" w:eastAsia="仿宋" w:cs="仿宋"/>
          <w:color w:val="000000"/>
          <w:sz w:val="32"/>
          <w:szCs w:val="32"/>
          <w:lang w:eastAsia="zh-CN"/>
        </w:rPr>
        <w:t>2023</w:t>
      </w:r>
      <w:r>
        <w:rPr>
          <w:rFonts w:hint="eastAsia" w:ascii="仿宋" w:hAnsi="仿宋" w:eastAsia="仿宋" w:cs="仿宋"/>
          <w:color w:val="000000"/>
          <w:sz w:val="32"/>
          <w:szCs w:val="32"/>
        </w:rPr>
        <w:t>年一般公共预算基本支出年初预算为</w:t>
      </w:r>
      <w:r>
        <w:rPr>
          <w:rFonts w:hint="eastAsia" w:ascii="仿宋" w:hAnsi="仿宋" w:eastAsia="仿宋" w:cs="仿宋"/>
          <w:color w:val="000000"/>
          <w:sz w:val="32"/>
          <w:szCs w:val="32"/>
          <w:lang w:val="en-US" w:eastAsia="zh-CN"/>
        </w:rPr>
        <w:t>578.52</w:t>
      </w:r>
      <w:r>
        <w:rPr>
          <w:rFonts w:hint="eastAsia" w:ascii="仿宋" w:hAnsi="仿宋" w:eastAsia="仿宋" w:cs="仿宋"/>
          <w:color w:val="000000"/>
          <w:sz w:val="32"/>
          <w:szCs w:val="32"/>
        </w:rPr>
        <w:t>万元。其中：人员经费支出</w:t>
      </w:r>
      <w:r>
        <w:rPr>
          <w:rFonts w:hint="eastAsia" w:ascii="仿宋" w:hAnsi="仿宋" w:eastAsia="仿宋" w:cs="仿宋"/>
          <w:color w:val="000000"/>
          <w:sz w:val="32"/>
          <w:szCs w:val="32"/>
          <w:lang w:val="en-US" w:eastAsia="zh-CN"/>
        </w:rPr>
        <w:t>554.55</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96</w:t>
      </w:r>
      <w:r>
        <w:rPr>
          <w:rFonts w:hint="eastAsia" w:ascii="仿宋" w:hAnsi="仿宋" w:eastAsia="仿宋" w:cs="仿宋"/>
          <w:color w:val="000000"/>
          <w:sz w:val="32"/>
          <w:szCs w:val="32"/>
        </w:rPr>
        <w:t>%；公用经费支出</w:t>
      </w:r>
      <w:r>
        <w:rPr>
          <w:rFonts w:hint="eastAsia" w:ascii="仿宋" w:hAnsi="仿宋" w:eastAsia="仿宋" w:cs="仿宋"/>
          <w:color w:val="000000"/>
          <w:sz w:val="32"/>
          <w:szCs w:val="32"/>
          <w:lang w:val="en-US" w:eastAsia="zh-CN"/>
        </w:rPr>
        <w:t>23.97</w:t>
      </w:r>
      <w:r>
        <w:rPr>
          <w:rFonts w:hint="eastAsia" w:ascii="仿宋" w:hAnsi="仿宋" w:eastAsia="仿宋" w:cs="仿宋"/>
          <w:color w:val="000000"/>
          <w:sz w:val="32"/>
          <w:szCs w:val="32"/>
        </w:rPr>
        <w:t>万元，占</w:t>
      </w:r>
      <w:r>
        <w:rPr>
          <w:rFonts w:hint="eastAsia" w:ascii="仿宋" w:hAnsi="仿宋" w:eastAsia="仿宋" w:cs="仿宋"/>
          <w:color w:val="000000"/>
          <w:sz w:val="32"/>
          <w:szCs w:val="32"/>
          <w:lang w:val="en-US" w:eastAsia="zh-CN"/>
        </w:rPr>
        <w:t>4</w:t>
      </w:r>
      <w:r>
        <w:rPr>
          <w:rFonts w:hint="eastAsia" w:ascii="仿宋" w:hAnsi="仿宋" w:eastAsia="仿宋" w:cs="仿宋"/>
          <w:color w:val="000000"/>
          <w:sz w:val="32"/>
          <w:szCs w:val="32"/>
        </w:rPr>
        <w:t>%。</w:t>
      </w:r>
    </w:p>
    <w:p>
      <w:pPr>
        <w:jc w:val="left"/>
        <w:rPr>
          <w:rFonts w:ascii="仿宋" w:hAnsi="仿宋" w:eastAsia="仿宋" w:cs="仿宋"/>
          <w:color w:val="000000"/>
          <w:sz w:val="32"/>
          <w:szCs w:val="32"/>
        </w:rPr>
      </w:pPr>
      <w:r>
        <w:rPr>
          <w:rFonts w:hint="eastAsia" w:ascii="仿宋" w:hAnsi="仿宋" w:eastAsia="仿宋" w:cs="仿宋"/>
          <w:sz w:val="32"/>
          <w:szCs w:val="32"/>
        </w:rPr>
        <w:drawing>
          <wp:inline distT="0" distB="0" distL="0" distR="0">
            <wp:extent cx="5274310" cy="3076575"/>
            <wp:effectExtent l="5080" t="4445" r="16510" b="508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numPr>
          <w:ilvl w:val="0"/>
          <w:numId w:val="4"/>
        </w:numPr>
        <w:ind w:firstLine="640"/>
        <w:jc w:val="left"/>
        <w:rPr>
          <w:rFonts w:ascii="黑体" w:hAnsi="黑体" w:eastAsia="黑体" w:cs="黑体"/>
          <w:sz w:val="32"/>
          <w:szCs w:val="32"/>
        </w:rPr>
      </w:pPr>
      <w:r>
        <w:rPr>
          <w:rFonts w:hint="eastAsia" w:ascii="黑体" w:hAnsi="黑体" w:eastAsia="黑体" w:cs="黑体"/>
          <w:color w:val="000000"/>
          <w:sz w:val="32"/>
          <w:szCs w:val="32"/>
        </w:rPr>
        <w:t>一般公共预算</w:t>
      </w:r>
      <w:r>
        <w:rPr>
          <w:rFonts w:hint="eastAsia" w:ascii="黑体" w:hAnsi="黑体" w:eastAsia="黑体" w:cs="黑体"/>
          <w:sz w:val="32"/>
          <w:szCs w:val="32"/>
        </w:rPr>
        <w:t>“三公”经费支出预算情况说明</w:t>
      </w:r>
    </w:p>
    <w:p>
      <w:pPr>
        <w:pStyle w:val="7"/>
        <w:widowControl/>
        <w:spacing w:beforeAutospacing="0" w:afterAutospacing="0" w:line="600" w:lineRule="atLeast"/>
        <w:ind w:firstLine="630"/>
        <w:jc w:val="both"/>
        <w:rPr>
          <w:rFonts w:ascii="仿宋" w:hAnsi="仿宋" w:eastAsia="仿宋" w:cs="仿宋"/>
          <w:sz w:val="32"/>
          <w:szCs w:val="32"/>
        </w:rPr>
      </w:pPr>
      <w:r>
        <w:rPr>
          <w:rFonts w:hint="eastAsia" w:ascii="仿宋" w:hAnsi="仿宋" w:eastAsia="仿宋" w:cs="仿宋"/>
          <w:sz w:val="32"/>
          <w:szCs w:val="32"/>
        </w:rPr>
        <w:t>淮滨县</w:t>
      </w:r>
      <w:r>
        <w:rPr>
          <w:rFonts w:hint="eastAsia" w:ascii="仿宋" w:hAnsi="仿宋" w:eastAsia="仿宋" w:cs="仿宋"/>
          <w:sz w:val="32"/>
        </w:rPr>
        <w:t>先进制造业开发区管理委员会</w:t>
      </w:r>
      <w:r>
        <w:rPr>
          <w:rFonts w:hint="eastAsia" w:ascii="仿宋" w:hAnsi="仿宋" w:eastAsia="仿宋" w:cs="仿宋"/>
          <w:sz w:val="32"/>
          <w:szCs w:val="32"/>
          <w:lang w:eastAsia="zh-CN"/>
        </w:rPr>
        <w:t>2023</w:t>
      </w:r>
      <w:r>
        <w:rPr>
          <w:rFonts w:hint="eastAsia" w:ascii="仿宋" w:hAnsi="仿宋" w:eastAsia="仿宋" w:cs="仿宋"/>
          <w:sz w:val="32"/>
          <w:szCs w:val="32"/>
        </w:rPr>
        <w:t>年“三公”经费支出预算为13.95万元,与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具体支出情况如下：</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（一）因公出国（境）费用</w:t>
      </w:r>
      <w:r>
        <w:rPr>
          <w:rFonts w:hint="eastAsia" w:ascii="仿宋" w:hAnsi="仿宋" w:eastAsia="仿宋" w:cs="仿宋"/>
          <w:sz w:val="32"/>
          <w:szCs w:val="32"/>
        </w:rPr>
        <w:t>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（二）公务接待费</w:t>
      </w:r>
      <w:r>
        <w:rPr>
          <w:rFonts w:hint="eastAsia" w:ascii="仿宋" w:hAnsi="仿宋" w:eastAsia="仿宋" w:cs="仿宋"/>
          <w:sz w:val="32"/>
          <w:szCs w:val="32"/>
        </w:rPr>
        <w:t>6.75万元。主要用于按规定开支的各类公务接待支出。预算数与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ind w:firstLine="643" w:firstLineChars="200"/>
        <w:jc w:val="left"/>
        <w:rPr>
          <w:rFonts w:ascii="仿宋" w:hAnsi="仿宋" w:eastAsia="仿宋" w:cs="仿宋"/>
          <w:sz w:val="32"/>
          <w:szCs w:val="32"/>
        </w:rPr>
      </w:pPr>
      <w:r>
        <w:rPr>
          <w:rFonts w:hint="eastAsia" w:ascii="仿宋" w:hAnsi="仿宋" w:eastAsia="仿宋" w:cs="仿宋"/>
          <w:b/>
          <w:bCs/>
          <w:sz w:val="32"/>
          <w:szCs w:val="32"/>
        </w:rPr>
        <w:t>（三）公务用车购置及运行费</w:t>
      </w:r>
      <w:r>
        <w:rPr>
          <w:rFonts w:hint="eastAsia" w:ascii="仿宋" w:hAnsi="仿宋" w:eastAsia="仿宋" w:cs="仿宋"/>
          <w:sz w:val="32"/>
          <w:szCs w:val="32"/>
        </w:rPr>
        <w:t>7.2万元，其中：公务用车运行维护费7.2万元，公务用车购置0万元。预算数与</w:t>
      </w:r>
      <w:r>
        <w:rPr>
          <w:rFonts w:hint="eastAsia" w:ascii="仿宋" w:hAnsi="仿宋" w:eastAsia="仿宋" w:cs="仿宋"/>
          <w:sz w:val="32"/>
          <w:szCs w:val="32"/>
          <w:lang w:eastAsia="zh-CN"/>
        </w:rPr>
        <w:t>2022</w:t>
      </w:r>
      <w:r>
        <w:rPr>
          <w:rFonts w:hint="eastAsia" w:ascii="仿宋" w:hAnsi="仿宋" w:eastAsia="仿宋" w:cs="仿宋"/>
          <w:sz w:val="32"/>
          <w:szCs w:val="32"/>
        </w:rPr>
        <w:t>年保持一致。</w:t>
      </w:r>
    </w:p>
    <w:p>
      <w:pPr>
        <w:jc w:val="left"/>
        <w:rPr>
          <w:rFonts w:ascii="仿宋" w:hAnsi="仿宋" w:eastAsia="仿宋" w:cs="仿宋"/>
          <w:sz w:val="32"/>
          <w:szCs w:val="32"/>
        </w:rPr>
      </w:pPr>
      <w:r>
        <w:rPr>
          <w:rFonts w:hint="eastAsia" w:ascii="仿宋" w:hAnsi="仿宋" w:eastAsia="仿宋" w:cs="仿宋"/>
          <w:sz w:val="32"/>
          <w:szCs w:val="32"/>
        </w:rPr>
        <w:drawing>
          <wp:inline distT="0" distB="0" distL="0" distR="0">
            <wp:extent cx="5274310" cy="3076575"/>
            <wp:effectExtent l="5080" t="4445" r="16510" b="508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numPr>
          <w:ilvl w:val="0"/>
          <w:numId w:val="4"/>
        </w:numPr>
        <w:ind w:firstLine="640"/>
        <w:jc w:val="left"/>
        <w:rPr>
          <w:rFonts w:ascii="黑体" w:hAnsi="黑体" w:eastAsia="黑体"/>
          <w:sz w:val="32"/>
        </w:rPr>
      </w:pPr>
      <w:r>
        <w:rPr>
          <w:rFonts w:hint="eastAsia" w:ascii="黑体" w:hAnsi="黑体" w:eastAsia="黑体"/>
          <w:sz w:val="32"/>
        </w:rPr>
        <w:t>政府性基金预算支出预算情况说明</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w:t>
      </w:r>
      <w:r>
        <w:rPr>
          <w:rFonts w:hint="eastAsia" w:ascii="仿宋_GB2312" w:eastAsia="仿宋_GB2312"/>
          <w:sz w:val="32"/>
          <w:szCs w:val="32"/>
        </w:rPr>
        <w:t>没有政府性基金预算拨款收入，也没有政府性基金预算安排的支出，故无数据情况说明</w:t>
      </w:r>
      <w:r>
        <w:rPr>
          <w:rFonts w:hint="eastAsia" w:ascii="仿宋" w:hAnsi="仿宋" w:eastAsia="仿宋" w:cs="仿宋"/>
          <w:sz w:val="32"/>
        </w:rPr>
        <w:t>。</w:t>
      </w:r>
    </w:p>
    <w:p>
      <w:pPr>
        <w:numPr>
          <w:ilvl w:val="0"/>
          <w:numId w:val="4"/>
        </w:numPr>
        <w:ind w:firstLine="640"/>
        <w:jc w:val="left"/>
        <w:rPr>
          <w:rFonts w:ascii="黑体" w:hAnsi="黑体" w:eastAsia="黑体"/>
          <w:sz w:val="32"/>
        </w:rPr>
      </w:pPr>
      <w:r>
        <w:rPr>
          <w:rFonts w:hint="eastAsia" w:ascii="黑体" w:hAnsi="黑体" w:eastAsia="黑体"/>
          <w:sz w:val="32"/>
        </w:rPr>
        <w:t>其他重要事项的情况说明</w:t>
      </w:r>
    </w:p>
    <w:p>
      <w:pPr>
        <w:ind w:left="420" w:leftChars="200"/>
        <w:jc w:val="left"/>
        <w:rPr>
          <w:rFonts w:ascii="仿宋" w:hAnsi="仿宋" w:eastAsia="仿宋" w:cs="仿宋"/>
          <w:b/>
          <w:bCs/>
          <w:sz w:val="32"/>
        </w:rPr>
      </w:pPr>
      <w:r>
        <w:rPr>
          <w:rFonts w:hint="eastAsia" w:ascii="仿宋" w:hAnsi="仿宋" w:eastAsia="仿宋" w:cs="仿宋"/>
          <w:b/>
          <w:bCs/>
          <w:sz w:val="32"/>
        </w:rPr>
        <w:t>（一）行政（事业）单位机构运转经费</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年机构运行经费</w:t>
      </w:r>
      <w:r>
        <w:rPr>
          <w:rFonts w:hint="eastAsia" w:ascii="仿宋" w:hAnsi="仿宋" w:eastAsia="仿宋" w:cs="仿宋"/>
          <w:sz w:val="32"/>
          <w:lang w:val="en-US" w:eastAsia="zh-CN"/>
        </w:rPr>
        <w:t>支出</w:t>
      </w:r>
      <w:r>
        <w:rPr>
          <w:rFonts w:hint="eastAsia" w:ascii="仿宋" w:hAnsi="仿宋" w:eastAsia="仿宋" w:cs="仿宋"/>
          <w:sz w:val="32"/>
        </w:rPr>
        <w:t>预算</w:t>
      </w:r>
      <w:r>
        <w:rPr>
          <w:rFonts w:hint="eastAsia" w:ascii="仿宋" w:hAnsi="仿宋" w:eastAsia="仿宋" w:cs="仿宋"/>
          <w:sz w:val="32"/>
          <w:lang w:val="en-US" w:eastAsia="zh-CN"/>
        </w:rPr>
        <w:t>37.92</w:t>
      </w:r>
      <w:r>
        <w:rPr>
          <w:rFonts w:hint="eastAsia" w:ascii="仿宋" w:hAnsi="仿宋" w:eastAsia="仿宋" w:cs="仿宋"/>
          <w:sz w:val="32"/>
        </w:rPr>
        <w:t>万元，</w:t>
      </w:r>
      <w:r>
        <w:rPr>
          <w:rFonts w:hint="eastAsia" w:ascii="仿宋" w:hAnsi="仿宋" w:eastAsia="仿宋" w:cs="仿宋"/>
          <w:sz w:val="32"/>
          <w:lang w:val="en-US" w:eastAsia="zh-CN"/>
        </w:rPr>
        <w:t>较2022年增加了10.67万元，增长了39%，主要原因是办公费支出较上年有所增加。</w:t>
      </w:r>
      <w:r>
        <w:rPr>
          <w:rFonts w:hint="eastAsia" w:ascii="仿宋" w:hAnsi="仿宋" w:eastAsia="仿宋" w:cs="仿宋"/>
          <w:sz w:val="32"/>
        </w:rPr>
        <w:t>机构运行经费</w:t>
      </w:r>
      <w:r>
        <w:rPr>
          <w:rFonts w:hint="eastAsia" w:ascii="仿宋" w:hAnsi="仿宋" w:eastAsia="仿宋" w:cs="仿宋"/>
          <w:sz w:val="32"/>
          <w:lang w:val="en-US" w:eastAsia="zh-CN"/>
        </w:rPr>
        <w:t>支出</w:t>
      </w:r>
      <w:r>
        <w:rPr>
          <w:rFonts w:hint="eastAsia" w:ascii="仿宋" w:hAnsi="仿宋" w:eastAsia="仿宋" w:cs="仿宋"/>
          <w:sz w:val="32"/>
        </w:rPr>
        <w:t>主要保障机构正常运转及正常履职需要，用于购买货物和服务的支出。包括办公及印刷费、邮电费、差旅费、会议费、福利费、日常维修费及一般设备购置费、办公用房水电费、办公用房取暖费、办公用房物业管理费、公务用车运行维护费以及其他费用。</w:t>
      </w:r>
    </w:p>
    <w:p>
      <w:pPr>
        <w:ind w:firstLine="643" w:firstLineChars="200"/>
        <w:jc w:val="left"/>
        <w:rPr>
          <w:rFonts w:ascii="仿宋" w:hAnsi="仿宋" w:eastAsia="仿宋" w:cs="仿宋"/>
          <w:b/>
          <w:bCs/>
          <w:sz w:val="32"/>
        </w:rPr>
      </w:pPr>
      <w:r>
        <w:rPr>
          <w:rFonts w:hint="eastAsia" w:ascii="仿宋" w:hAnsi="仿宋" w:eastAsia="仿宋" w:cs="仿宋"/>
          <w:b/>
          <w:bCs/>
          <w:sz w:val="32"/>
        </w:rPr>
        <w:t>（二）政府采购支出预算情况</w:t>
      </w:r>
    </w:p>
    <w:p>
      <w:pPr>
        <w:ind w:firstLine="640" w:firstLineChars="200"/>
        <w:jc w:val="left"/>
        <w:rPr>
          <w:rFonts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年政府采购预算安排2.9万元，其中：货物类采购预算2.9万元，工程类采购预算0万元，服务类采购预算0万元。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绩效目标设置情况</w:t>
      </w:r>
    </w:p>
    <w:p>
      <w:pPr>
        <w:ind w:firstLine="640" w:firstLineChars="200"/>
        <w:jc w:val="left"/>
        <w:rPr>
          <w:rFonts w:hint="eastAsia" w:ascii="仿宋" w:hAnsi="仿宋" w:eastAsia="仿宋" w:cs="仿宋"/>
          <w:sz w:val="32"/>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年预算项目均按要求编制了绩效目标，从 项目产出、项目效益、满意度等方面设置了绩效目标，综合 反映项目预期完成的数量、实效、质量，预期达到的社会经 济效益、可持续影响以及对象满意度等情况。</w:t>
      </w:r>
    </w:p>
    <w:p>
      <w:pPr>
        <w:ind w:firstLine="640" w:firstLineChars="200"/>
        <w:jc w:val="left"/>
        <w:rPr>
          <w:rFonts w:hint="eastAsia" w:ascii="仿宋" w:hAnsi="仿宋" w:eastAsia="仿宋" w:cs="仿宋"/>
          <w:sz w:val="32"/>
        </w:rPr>
      </w:pPr>
      <w:r>
        <w:rPr>
          <w:rFonts w:hint="eastAsia" w:ascii="仿宋_GB2312" w:hAnsi="仿宋_GB2312" w:eastAsia="仿宋_GB2312" w:cs="仿宋_GB2312"/>
          <w:color w:val="000000"/>
          <w:kern w:val="0"/>
          <w:sz w:val="32"/>
          <w:szCs w:val="32"/>
          <w:lang w:val="en-US" w:eastAsia="zh-CN"/>
        </w:rPr>
        <w:t>2023</w:t>
      </w:r>
      <w:r>
        <w:rPr>
          <w:rFonts w:hint="eastAsia" w:ascii="仿宋_GB2312" w:hAnsi="仿宋_GB2312" w:eastAsia="仿宋_GB2312" w:cs="仿宋_GB2312"/>
          <w:color w:val="000000"/>
          <w:kern w:val="0"/>
          <w:sz w:val="32"/>
          <w:szCs w:val="32"/>
        </w:rPr>
        <w:t>年部门预算金额共计</w:t>
      </w:r>
      <w:r>
        <w:rPr>
          <w:rFonts w:hint="eastAsia" w:ascii="仿宋" w:hAnsi="仿宋" w:eastAsia="仿宋" w:cs="仿宋"/>
          <w:sz w:val="32"/>
          <w:szCs w:val="32"/>
          <w:lang w:val="en-US" w:eastAsia="zh-CN"/>
        </w:rPr>
        <w:t>3565.55</w:t>
      </w:r>
      <w:r>
        <w:rPr>
          <w:rFonts w:hint="eastAsia" w:ascii="仿宋" w:hAnsi="仿宋" w:eastAsia="仿宋" w:cs="仿宋"/>
          <w:sz w:val="32"/>
        </w:rPr>
        <w:t>万元</w:t>
      </w:r>
      <w:r>
        <w:rPr>
          <w:rFonts w:hint="eastAsia" w:ascii="仿宋" w:hAnsi="仿宋" w:eastAsia="仿宋" w:cs="仿宋"/>
          <w:sz w:val="32"/>
          <w:lang w:eastAsia="zh-CN"/>
        </w:rPr>
        <w:t>，其中项目共计</w:t>
      </w:r>
      <w:r>
        <w:rPr>
          <w:rFonts w:hint="eastAsia" w:ascii="仿宋" w:hAnsi="仿宋" w:eastAsia="仿宋" w:cs="仿宋"/>
          <w:sz w:val="32"/>
          <w:lang w:val="en-US" w:eastAsia="zh-CN"/>
        </w:rPr>
        <w:t>3个，金额为2983.07万元。</w:t>
      </w:r>
    </w:p>
    <w:p>
      <w:pPr>
        <w:numPr>
          <w:ilvl w:val="0"/>
          <w:numId w:val="5"/>
        </w:numPr>
        <w:ind w:firstLine="643" w:firstLineChars="200"/>
        <w:jc w:val="left"/>
        <w:rPr>
          <w:rFonts w:ascii="仿宋" w:hAnsi="仿宋" w:eastAsia="仿宋" w:cs="仿宋"/>
          <w:b/>
          <w:bCs/>
          <w:sz w:val="32"/>
        </w:rPr>
      </w:pPr>
      <w:r>
        <w:rPr>
          <w:rFonts w:hint="eastAsia" w:ascii="仿宋" w:hAnsi="仿宋" w:eastAsia="仿宋" w:cs="仿宋"/>
          <w:b/>
          <w:bCs/>
          <w:sz w:val="32"/>
        </w:rPr>
        <w:t>国有资产占用情况</w:t>
      </w:r>
    </w:p>
    <w:p>
      <w:pPr>
        <w:ind w:firstLine="640" w:firstLineChars="200"/>
        <w:jc w:val="left"/>
        <w:rPr>
          <w:rFonts w:ascii="仿宋" w:hAnsi="仿宋" w:eastAsia="仿宋" w:cs="仿宋"/>
          <w:sz w:val="32"/>
        </w:rPr>
      </w:pPr>
      <w:r>
        <w:rPr>
          <w:rFonts w:hint="eastAsia" w:ascii="仿宋" w:hAnsi="仿宋" w:eastAsia="仿宋" w:cs="仿宋"/>
          <w:sz w:val="32"/>
          <w:lang w:eastAsia="zh-CN"/>
        </w:rPr>
        <w:t>2022</w:t>
      </w:r>
      <w:r>
        <w:rPr>
          <w:rFonts w:hint="eastAsia" w:ascii="仿宋" w:hAnsi="仿宋" w:eastAsia="仿宋" w:cs="仿宋"/>
          <w:sz w:val="32"/>
        </w:rPr>
        <w:t>年期末，我单位共有车辆1辆，其中：一般公务用车1辆、一般执法执勤用车0辆、其他用车0辆；单价50万元以上通用设备0套，单位价值100万元以上专用设备0套。</w:t>
      </w:r>
    </w:p>
    <w:p>
      <w:pPr>
        <w:ind w:firstLine="643" w:firstLineChars="200"/>
        <w:jc w:val="left"/>
        <w:rPr>
          <w:rFonts w:ascii="黑体" w:hAnsi="黑体" w:eastAsia="黑体"/>
          <w:b/>
          <w:bCs/>
          <w:sz w:val="32"/>
        </w:rPr>
      </w:pPr>
      <w:r>
        <w:rPr>
          <w:rFonts w:hint="eastAsia" w:ascii="仿宋" w:hAnsi="仿宋" w:eastAsia="仿宋" w:cs="仿宋"/>
          <w:b/>
          <w:bCs/>
          <w:sz w:val="32"/>
        </w:rPr>
        <w:t>（五）专项转移支付项目情况</w:t>
      </w:r>
    </w:p>
    <w:p>
      <w:pPr>
        <w:ind w:firstLine="640" w:firstLineChars="200"/>
        <w:jc w:val="left"/>
        <w:rPr>
          <w:rFonts w:ascii="黑体" w:hAnsi="黑体" w:eastAsia="黑体"/>
          <w:b/>
          <w:bCs/>
          <w:sz w:val="36"/>
          <w:szCs w:val="36"/>
        </w:rPr>
      </w:pPr>
      <w:r>
        <w:rPr>
          <w:rFonts w:hint="eastAsia" w:ascii="仿宋" w:hAnsi="仿宋" w:eastAsia="仿宋" w:cs="仿宋"/>
          <w:sz w:val="32"/>
        </w:rPr>
        <w:t>我单位</w:t>
      </w:r>
      <w:r>
        <w:rPr>
          <w:rFonts w:hint="eastAsia" w:ascii="仿宋" w:hAnsi="仿宋" w:eastAsia="仿宋" w:cs="仿宋"/>
          <w:sz w:val="32"/>
          <w:lang w:eastAsia="zh-CN"/>
        </w:rPr>
        <w:t>2023</w:t>
      </w:r>
      <w:r>
        <w:rPr>
          <w:rFonts w:hint="eastAsia" w:ascii="仿宋" w:hAnsi="仿宋" w:eastAsia="仿宋" w:cs="仿宋"/>
          <w:sz w:val="32"/>
        </w:rPr>
        <w:t>年预算内负责管理的专项转移支付项目共有0项。</w:t>
      </w: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hint="eastAsia" w:ascii="黑体" w:hAnsi="黑体" w:eastAsia="黑体"/>
          <w:b/>
          <w:bCs/>
          <w:sz w:val="36"/>
          <w:szCs w:val="36"/>
        </w:rPr>
      </w:pPr>
    </w:p>
    <w:p>
      <w:pPr>
        <w:jc w:val="center"/>
        <w:rPr>
          <w:rFonts w:ascii="黑体" w:hAnsi="黑体" w:eastAsia="黑体"/>
          <w:b/>
          <w:bCs/>
          <w:sz w:val="36"/>
          <w:szCs w:val="36"/>
        </w:rPr>
      </w:pPr>
      <w:r>
        <w:rPr>
          <w:rFonts w:hint="eastAsia" w:ascii="黑体" w:hAnsi="黑体" w:eastAsia="黑体"/>
          <w:b/>
          <w:bCs/>
          <w:sz w:val="36"/>
          <w:szCs w:val="36"/>
        </w:rPr>
        <w:t xml:space="preserve">第三部分 </w:t>
      </w:r>
    </w:p>
    <w:p>
      <w:pPr>
        <w:jc w:val="center"/>
        <w:rPr>
          <w:rFonts w:ascii="黑体" w:hAnsi="黑体" w:eastAsia="黑体"/>
          <w:b/>
          <w:bCs/>
          <w:sz w:val="36"/>
          <w:szCs w:val="36"/>
        </w:rPr>
      </w:pPr>
      <w:r>
        <w:rPr>
          <w:rFonts w:hint="eastAsia" w:ascii="黑体" w:hAnsi="黑体" w:eastAsia="黑体"/>
          <w:b/>
          <w:bCs/>
          <w:sz w:val="36"/>
          <w:szCs w:val="36"/>
        </w:rPr>
        <w:t>名词解释</w:t>
      </w:r>
    </w:p>
    <w:p>
      <w:pPr>
        <w:jc w:val="left"/>
        <w:rPr>
          <w:rFonts w:ascii="黑体" w:hAnsi="黑体" w:eastAsia="黑体"/>
          <w:sz w:val="32"/>
        </w:rPr>
      </w:pP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 xml:space="preserve">财政拨款收入：是指县级财政当年拨付的资金。 </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事业收入：是指事业单位开展专业活动及辅助活动</w:t>
      </w:r>
    </w:p>
    <w:p>
      <w:pPr>
        <w:jc w:val="left"/>
        <w:rPr>
          <w:rFonts w:ascii="仿宋" w:hAnsi="仿宋" w:eastAsia="仿宋" w:cs="仿宋"/>
          <w:sz w:val="32"/>
        </w:rPr>
      </w:pPr>
      <w:r>
        <w:rPr>
          <w:rFonts w:hint="eastAsia" w:ascii="仿宋" w:hAnsi="仿宋" w:eastAsia="仿宋" w:cs="仿宋"/>
          <w:sz w:val="32"/>
        </w:rPr>
        <w:t>所取得的收入。</w:t>
      </w:r>
    </w:p>
    <w:p>
      <w:pPr>
        <w:numPr>
          <w:ilvl w:val="0"/>
          <w:numId w:val="6"/>
        </w:numPr>
        <w:ind w:firstLine="640" w:firstLineChars="200"/>
        <w:jc w:val="left"/>
        <w:rPr>
          <w:rFonts w:ascii="宋体" w:hAnsi="宋体" w:eastAsia="宋体" w:cs="宋体"/>
          <w:color w:val="333333"/>
          <w:sz w:val="24"/>
        </w:rPr>
      </w:pPr>
      <w:r>
        <w:rPr>
          <w:rFonts w:hint="eastAsia" w:ascii="仿宋" w:hAnsi="仿宋" w:eastAsia="仿宋" w:cs="仿宋"/>
          <w:sz w:val="32"/>
        </w:rPr>
        <w:t>其他收入：是指部门取得的除“财政拨款”、“事 业收入”、“事业单位经营收入”等以外的收入。</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上年结转：</w:t>
      </w:r>
      <w:r>
        <w:rPr>
          <w:rFonts w:hint="eastAsia" w:ascii="仿宋" w:hAnsi="仿宋" w:eastAsia="仿宋" w:cs="仿宋"/>
          <w:color w:val="333333"/>
          <w:sz w:val="32"/>
          <w:szCs w:val="32"/>
          <w:shd w:val="clear" w:color="auto" w:fill="FFFFFF"/>
        </w:rPr>
        <w:t>指以前年度安排、结转到本年仍按原用途继续使用的资金。</w:t>
      </w:r>
    </w:p>
    <w:p>
      <w:pPr>
        <w:numPr>
          <w:ilvl w:val="0"/>
          <w:numId w:val="6"/>
        </w:numPr>
        <w:ind w:firstLine="640" w:firstLineChars="200"/>
        <w:jc w:val="left"/>
        <w:rPr>
          <w:rFonts w:ascii="仿宋" w:hAnsi="仿宋" w:eastAsia="仿宋" w:cs="仿宋"/>
          <w:sz w:val="32"/>
        </w:rPr>
      </w:pPr>
      <w:r>
        <w:rPr>
          <w:rFonts w:ascii="仿宋" w:hAnsi="仿宋" w:eastAsia="仿宋" w:cs="仿宋"/>
          <w:color w:val="333333"/>
          <w:sz w:val="32"/>
          <w:szCs w:val="32"/>
          <w:shd w:val="clear" w:color="auto" w:fill="FFFFFF"/>
        </w:rPr>
        <w:t>结转下年：</w:t>
      </w:r>
      <w:r>
        <w:rPr>
          <w:rFonts w:hint="eastAsia" w:ascii="仿宋" w:hAnsi="仿宋" w:eastAsia="仿宋" w:cs="仿宋"/>
          <w:color w:val="333333"/>
          <w:sz w:val="32"/>
          <w:szCs w:val="32"/>
          <w:shd w:val="clear" w:color="auto" w:fill="FFFFFF"/>
        </w:rPr>
        <w:t>指以前年度预算安排、因客观条件发生变化无法按原计划实施，需以后年度按原用途继续使用的资金。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用事业基金弥补收支差额：是指事业单位在当年的 “财政拨款收入”、“事业收入”、“经营收入”和“其他 收入”不足以安排当年支出的情况下，使用以前年度积累的 事业基金（即事业单位以前各年度收支相抵后，按国家规定 提取、用于弥补以后年度收支差额的基金）弥补当年收支 缺口的资金。</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基本支出：是指为保障机构正常运转、完成日常工 作任务所必需的开支，其内容包括人员经费和日常公用经费 两部分。</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项目支出：是指在基本支出之外，为完成特定的行政工作任务或事业发展目标所发生的支出。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“三公”经费：是指纳入市级财政预算管理，部门 使用财政拨款安排的因公出国（境）费、公务用车购置及运 行费和公务接待费。其中，因公出国（境）费反映单位公务 出国（境）的住宿费、旅费、伙食补助费、杂费、培训费等 支出；公务用车购置及运行费反映单位公务用车购置费及租 用费、燃料费、维修费、过路过桥费、保险费、安全奖励费 用等支出；公务接待费反映单位按规定开支的各类公务接待</w:t>
      </w:r>
    </w:p>
    <w:p>
      <w:pPr>
        <w:jc w:val="left"/>
        <w:rPr>
          <w:rFonts w:ascii="仿宋" w:hAnsi="仿宋" w:eastAsia="仿宋" w:cs="仿宋"/>
          <w:sz w:val="32"/>
        </w:rPr>
      </w:pPr>
      <w:r>
        <w:rPr>
          <w:rFonts w:hint="eastAsia" w:ascii="仿宋" w:hAnsi="仿宋" w:eastAsia="仿宋" w:cs="仿宋"/>
          <w:sz w:val="32"/>
        </w:rPr>
        <w:t>（含外宾接待）支出。</w:t>
      </w:r>
    </w:p>
    <w:p>
      <w:pPr>
        <w:numPr>
          <w:ilvl w:val="0"/>
          <w:numId w:val="6"/>
        </w:numPr>
        <w:ind w:firstLine="640" w:firstLineChars="200"/>
        <w:jc w:val="left"/>
        <w:rPr>
          <w:rFonts w:ascii="仿宋" w:hAnsi="仿宋" w:eastAsia="仿宋" w:cs="仿宋"/>
          <w:sz w:val="32"/>
        </w:rPr>
      </w:pPr>
      <w:r>
        <w:rPr>
          <w:rFonts w:hint="eastAsia" w:ascii="仿宋" w:hAnsi="仿宋" w:eastAsia="仿宋" w:cs="仿宋"/>
          <w:sz w:val="32"/>
        </w:rPr>
        <w:t>行政（事业）单位机构运转经费：是指为保障单位（包括行政单位和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numPr>
          <w:ilvl w:val="0"/>
          <w:numId w:val="6"/>
        </w:numPr>
        <w:ind w:firstLine="620" w:firstLineChars="200"/>
        <w:jc w:val="left"/>
        <w:rPr>
          <w:rFonts w:ascii="仿宋" w:hAnsi="仿宋" w:eastAsia="仿宋" w:cs="仿宋"/>
          <w:sz w:val="32"/>
        </w:rPr>
      </w:pPr>
      <w:r>
        <w:rPr>
          <w:rFonts w:ascii="仿宋_GB2312" w:hAnsi="宋体" w:eastAsia="仿宋_GB2312" w:cs="仿宋_GB2312"/>
          <w:color w:val="000000"/>
          <w:sz w:val="31"/>
          <w:szCs w:val="31"/>
          <w:shd w:val="clear" w:color="auto" w:fill="FFFFFF"/>
        </w:rPr>
        <w:t>专项转移支付：</w:t>
      </w:r>
      <w:r>
        <w:rPr>
          <w:rFonts w:hint="eastAsia" w:ascii="仿宋_GB2312" w:hAnsi="宋体" w:eastAsia="仿宋_GB2312" w:cs="仿宋_GB2312"/>
          <w:color w:val="000000"/>
          <w:sz w:val="31"/>
          <w:szCs w:val="31"/>
          <w:shd w:val="clear" w:color="auto" w:fill="FFFFFF"/>
        </w:rPr>
        <w:t>是指上级政府(在我国一般指中央、省、市级政府)为实现特定的宏观政策目标，以及对委托下级政府代理的一些事务进行补偿而设立的专项补助资金。资金接受者需按规定用途使用资金。</w:t>
      </w:r>
    </w:p>
    <w:p>
      <w:pPr>
        <w:ind w:left="640"/>
        <w:jc w:val="left"/>
      </w:pPr>
      <w:r>
        <w:rPr>
          <w:rFonts w:hint="eastAsia" w:ascii="黑体" w:hAnsi="黑体" w:eastAsia="黑体" w:cs="黑体"/>
          <w:sz w:val="32"/>
        </w:rPr>
        <w:t>附件：淮滨县先进制造业开发区管理委员会</w:t>
      </w:r>
      <w:r>
        <w:rPr>
          <w:rFonts w:hint="eastAsia" w:ascii="黑体" w:hAnsi="黑体" w:eastAsia="黑体" w:cs="黑体"/>
          <w:sz w:val="32"/>
          <w:lang w:eastAsia="zh-CN"/>
        </w:rPr>
        <w:t>2023</w:t>
      </w:r>
      <w:r>
        <w:rPr>
          <w:rFonts w:hint="eastAsia" w:ascii="黑体" w:hAnsi="黑体" w:eastAsia="黑体" w:cs="黑体"/>
          <w:sz w:val="32"/>
        </w:rPr>
        <w:t>年部门预算表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8B0532"/>
    <w:multiLevelType w:val="singleLevel"/>
    <w:tmpl w:val="CC8B0532"/>
    <w:lvl w:ilvl="0" w:tentative="0">
      <w:start w:val="1"/>
      <w:numFmt w:val="chineseCounting"/>
      <w:suff w:val="space"/>
      <w:lvlText w:val="第%1部分"/>
      <w:lvlJc w:val="left"/>
      <w:rPr>
        <w:rFonts w:hint="eastAsia"/>
      </w:rPr>
    </w:lvl>
  </w:abstractNum>
  <w:abstractNum w:abstractNumId="1">
    <w:nsid w:val="DECAE212"/>
    <w:multiLevelType w:val="singleLevel"/>
    <w:tmpl w:val="DECAE212"/>
    <w:lvl w:ilvl="0" w:tentative="0">
      <w:start w:val="1"/>
      <w:numFmt w:val="chineseCounting"/>
      <w:suff w:val="nothing"/>
      <w:lvlText w:val="%1、"/>
      <w:lvlJc w:val="left"/>
      <w:pPr>
        <w:ind w:left="-10"/>
      </w:pPr>
      <w:rPr>
        <w:rFonts w:hint="eastAsia"/>
      </w:rPr>
    </w:lvl>
  </w:abstractNum>
  <w:abstractNum w:abstractNumId="2">
    <w:nsid w:val="E1D7C83E"/>
    <w:multiLevelType w:val="singleLevel"/>
    <w:tmpl w:val="E1D7C83E"/>
    <w:lvl w:ilvl="0" w:tentative="0">
      <w:start w:val="1"/>
      <w:numFmt w:val="chineseCounting"/>
      <w:suff w:val="nothing"/>
      <w:lvlText w:val="%1、"/>
      <w:lvlJc w:val="left"/>
      <w:rPr>
        <w:rFonts w:hint="eastAsia" w:ascii="仿宋" w:hAnsi="仿宋" w:eastAsia="仿宋" w:cs="仿宋"/>
        <w:b w:val="0"/>
        <w:bCs w:val="0"/>
        <w:sz w:val="32"/>
        <w:szCs w:val="32"/>
      </w:rPr>
    </w:lvl>
  </w:abstractNum>
  <w:abstractNum w:abstractNumId="3">
    <w:nsid w:val="1DBE515B"/>
    <w:multiLevelType w:val="singleLevel"/>
    <w:tmpl w:val="1DBE515B"/>
    <w:lvl w:ilvl="0" w:tentative="0">
      <w:start w:val="1"/>
      <w:numFmt w:val="chineseCounting"/>
      <w:suff w:val="nothing"/>
      <w:lvlText w:val="%1、"/>
      <w:lvlJc w:val="left"/>
      <w:rPr>
        <w:rFonts w:hint="eastAsia"/>
      </w:rPr>
    </w:lvl>
  </w:abstractNum>
  <w:abstractNum w:abstractNumId="4">
    <w:nsid w:val="6EC1A300"/>
    <w:multiLevelType w:val="singleLevel"/>
    <w:tmpl w:val="6EC1A300"/>
    <w:lvl w:ilvl="0" w:tentative="0">
      <w:start w:val="1"/>
      <w:numFmt w:val="chineseCounting"/>
      <w:suff w:val="nothing"/>
      <w:lvlText w:val="%1、"/>
      <w:lvlJc w:val="left"/>
      <w:rPr>
        <w:rFonts w:hint="eastAsia"/>
      </w:rPr>
    </w:lvl>
  </w:abstractNum>
  <w:abstractNum w:abstractNumId="5">
    <w:nsid w:val="73A1052D"/>
    <w:multiLevelType w:val="singleLevel"/>
    <w:tmpl w:val="73A1052D"/>
    <w:lvl w:ilvl="0" w:tentative="0">
      <w:start w:val="3"/>
      <w:numFmt w:val="chineseCounting"/>
      <w:suff w:val="nothing"/>
      <w:lvlText w:val="（%1）"/>
      <w:lvlJc w:val="left"/>
      <w:rPr>
        <w:rFonts w:hint="eastAsia"/>
      </w:rPr>
    </w:lvl>
  </w:abstractNum>
  <w:num w:numId="1">
    <w:abstractNumId w:val="3"/>
  </w:num>
  <w:num w:numId="2">
    <w:abstractNumId w:val="0"/>
  </w:num>
  <w:num w:numId="3">
    <w:abstractNumId w:val="4"/>
  </w:num>
  <w:num w:numId="4">
    <w:abstractNumId w:val="1"/>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EwMzNjYjE2Y2Y1ZjI5NTc0YjQ5MGE1MTUyNzVmY2UifQ=="/>
    <w:docVar w:name="KSO_WPS_MARK_KEY" w:val="a42679e6-305d-404c-8169-253ae86f7f59"/>
  </w:docVars>
  <w:rsids>
    <w:rsidRoot w:val="3E5A6C85"/>
    <w:rsid w:val="00077C0D"/>
    <w:rsid w:val="00091F12"/>
    <w:rsid w:val="000A6609"/>
    <w:rsid w:val="000C27D0"/>
    <w:rsid w:val="000D60B2"/>
    <w:rsid w:val="00143DF7"/>
    <w:rsid w:val="001742A7"/>
    <w:rsid w:val="00174CFC"/>
    <w:rsid w:val="001B08B2"/>
    <w:rsid w:val="001B17CE"/>
    <w:rsid w:val="001C1C18"/>
    <w:rsid w:val="001F1010"/>
    <w:rsid w:val="001F4C06"/>
    <w:rsid w:val="002072FE"/>
    <w:rsid w:val="002B73E6"/>
    <w:rsid w:val="003558B6"/>
    <w:rsid w:val="00374185"/>
    <w:rsid w:val="00390FD5"/>
    <w:rsid w:val="003A0352"/>
    <w:rsid w:val="004700D3"/>
    <w:rsid w:val="00490CAA"/>
    <w:rsid w:val="004B7307"/>
    <w:rsid w:val="004C098F"/>
    <w:rsid w:val="004C7D32"/>
    <w:rsid w:val="004D03EA"/>
    <w:rsid w:val="005128CE"/>
    <w:rsid w:val="005A05F6"/>
    <w:rsid w:val="005A553F"/>
    <w:rsid w:val="005A78FC"/>
    <w:rsid w:val="005C1755"/>
    <w:rsid w:val="005C5D65"/>
    <w:rsid w:val="00647F85"/>
    <w:rsid w:val="006D14AB"/>
    <w:rsid w:val="007E6C7D"/>
    <w:rsid w:val="00816421"/>
    <w:rsid w:val="00874408"/>
    <w:rsid w:val="008D3590"/>
    <w:rsid w:val="00902E9A"/>
    <w:rsid w:val="0091161C"/>
    <w:rsid w:val="009238E3"/>
    <w:rsid w:val="00937FE5"/>
    <w:rsid w:val="009412CA"/>
    <w:rsid w:val="00986364"/>
    <w:rsid w:val="00995DAB"/>
    <w:rsid w:val="00997E16"/>
    <w:rsid w:val="00A14C44"/>
    <w:rsid w:val="00AA26C9"/>
    <w:rsid w:val="00AA7872"/>
    <w:rsid w:val="00AB09A3"/>
    <w:rsid w:val="00AD7827"/>
    <w:rsid w:val="00AF1F45"/>
    <w:rsid w:val="00AF46F8"/>
    <w:rsid w:val="00B1451A"/>
    <w:rsid w:val="00B44F53"/>
    <w:rsid w:val="00BD1004"/>
    <w:rsid w:val="00C40E6C"/>
    <w:rsid w:val="00C42CEA"/>
    <w:rsid w:val="00C9610D"/>
    <w:rsid w:val="00CB1918"/>
    <w:rsid w:val="00CF0B03"/>
    <w:rsid w:val="00D02D76"/>
    <w:rsid w:val="00D1451C"/>
    <w:rsid w:val="00D616D9"/>
    <w:rsid w:val="00D67A39"/>
    <w:rsid w:val="00D84F17"/>
    <w:rsid w:val="00DB46CF"/>
    <w:rsid w:val="00E602FE"/>
    <w:rsid w:val="00EA37A7"/>
    <w:rsid w:val="00ED084E"/>
    <w:rsid w:val="00F47B6D"/>
    <w:rsid w:val="00FB5B8C"/>
    <w:rsid w:val="037B79F7"/>
    <w:rsid w:val="041D2A27"/>
    <w:rsid w:val="05377B18"/>
    <w:rsid w:val="06440A7A"/>
    <w:rsid w:val="071D4AEC"/>
    <w:rsid w:val="084542FA"/>
    <w:rsid w:val="09C83CDD"/>
    <w:rsid w:val="0A1E11C0"/>
    <w:rsid w:val="0A6251B2"/>
    <w:rsid w:val="0D0F4ED6"/>
    <w:rsid w:val="0D513137"/>
    <w:rsid w:val="0E9D5577"/>
    <w:rsid w:val="10602789"/>
    <w:rsid w:val="123258EF"/>
    <w:rsid w:val="12EF1A32"/>
    <w:rsid w:val="144A1E7D"/>
    <w:rsid w:val="15F07B94"/>
    <w:rsid w:val="173B6758"/>
    <w:rsid w:val="191C5F4B"/>
    <w:rsid w:val="1B351FAC"/>
    <w:rsid w:val="1CA53161"/>
    <w:rsid w:val="1D0460DA"/>
    <w:rsid w:val="1D2E3157"/>
    <w:rsid w:val="1F046865"/>
    <w:rsid w:val="1FE67D19"/>
    <w:rsid w:val="228003BD"/>
    <w:rsid w:val="228C104B"/>
    <w:rsid w:val="246B28E3"/>
    <w:rsid w:val="24DA1A42"/>
    <w:rsid w:val="274F7F6E"/>
    <w:rsid w:val="279A1B15"/>
    <w:rsid w:val="27A42993"/>
    <w:rsid w:val="28196722"/>
    <w:rsid w:val="28447CD2"/>
    <w:rsid w:val="28EA3406"/>
    <w:rsid w:val="2AA67AA4"/>
    <w:rsid w:val="2AA8279A"/>
    <w:rsid w:val="2ACE5F14"/>
    <w:rsid w:val="2C081B10"/>
    <w:rsid w:val="2D4A0B6E"/>
    <w:rsid w:val="2F072B71"/>
    <w:rsid w:val="2F8530AA"/>
    <w:rsid w:val="32476D3D"/>
    <w:rsid w:val="33ED121E"/>
    <w:rsid w:val="3402116D"/>
    <w:rsid w:val="34030A42"/>
    <w:rsid w:val="34E010E6"/>
    <w:rsid w:val="358856A2"/>
    <w:rsid w:val="3699743B"/>
    <w:rsid w:val="38237904"/>
    <w:rsid w:val="3872263A"/>
    <w:rsid w:val="39D84127"/>
    <w:rsid w:val="3A2B0CF2"/>
    <w:rsid w:val="3A865F28"/>
    <w:rsid w:val="3AFF274F"/>
    <w:rsid w:val="3C1B1C1A"/>
    <w:rsid w:val="3C1F6635"/>
    <w:rsid w:val="3E5A6C85"/>
    <w:rsid w:val="419D0727"/>
    <w:rsid w:val="41FF59D4"/>
    <w:rsid w:val="43572B58"/>
    <w:rsid w:val="45554E75"/>
    <w:rsid w:val="456A4DC4"/>
    <w:rsid w:val="469D4D26"/>
    <w:rsid w:val="46D01A4F"/>
    <w:rsid w:val="483D40CA"/>
    <w:rsid w:val="4B86222C"/>
    <w:rsid w:val="4BBC3BEF"/>
    <w:rsid w:val="4CC72AFC"/>
    <w:rsid w:val="4CF03F96"/>
    <w:rsid w:val="4E10402F"/>
    <w:rsid w:val="519E1D35"/>
    <w:rsid w:val="56CE6835"/>
    <w:rsid w:val="56E7105D"/>
    <w:rsid w:val="60881AF8"/>
    <w:rsid w:val="61F061FA"/>
    <w:rsid w:val="63514A76"/>
    <w:rsid w:val="647F6552"/>
    <w:rsid w:val="64BB489D"/>
    <w:rsid w:val="65921CF6"/>
    <w:rsid w:val="65DB5214"/>
    <w:rsid w:val="66A82BFF"/>
    <w:rsid w:val="67AE693B"/>
    <w:rsid w:val="67F105D6"/>
    <w:rsid w:val="69F65D89"/>
    <w:rsid w:val="6AAD2EDA"/>
    <w:rsid w:val="6C715A72"/>
    <w:rsid w:val="6EEF1D13"/>
    <w:rsid w:val="71BD526D"/>
    <w:rsid w:val="746F63D8"/>
    <w:rsid w:val="747B790C"/>
    <w:rsid w:val="75A37A3E"/>
    <w:rsid w:val="75E31EA6"/>
    <w:rsid w:val="768A2321"/>
    <w:rsid w:val="76D0242A"/>
    <w:rsid w:val="791401EC"/>
    <w:rsid w:val="792702FB"/>
    <w:rsid w:val="7B6C0247"/>
    <w:rsid w:val="7EE527EB"/>
    <w:rsid w:val="7F5636E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qFormat/>
    <w:uiPriority w:val="0"/>
    <w:pPr>
      <w:jc w:val="left"/>
    </w:pPr>
  </w:style>
  <w:style w:type="paragraph" w:styleId="3">
    <w:name w:val="Body Text"/>
    <w:basedOn w:val="1"/>
    <w:unhideWhenUsed/>
    <w:qFormat/>
    <w:uiPriority w:val="1"/>
    <w:pPr>
      <w:spacing w:before="140"/>
      <w:ind w:left="120"/>
    </w:pPr>
    <w:rPr>
      <w:rFonts w:hint="eastAsia" w:ascii="仿宋" w:hAnsi="仿宋" w:eastAsia="仿宋"/>
      <w:sz w:val="32"/>
    </w:rPr>
  </w:style>
  <w:style w:type="paragraph" w:styleId="4">
    <w:name w:val="Balloon Text"/>
    <w:basedOn w:val="1"/>
    <w:link w:val="15"/>
    <w:qFormat/>
    <w:uiPriority w:val="0"/>
    <w:rPr>
      <w:sz w:val="18"/>
      <w:szCs w:val="18"/>
    </w:rPr>
  </w:style>
  <w:style w:type="paragraph" w:styleId="5">
    <w:name w:val="footer"/>
    <w:basedOn w:val="1"/>
    <w:link w:val="17"/>
    <w:qFormat/>
    <w:uiPriority w:val="0"/>
    <w:pPr>
      <w:tabs>
        <w:tab w:val="center" w:pos="4153"/>
        <w:tab w:val="right" w:pos="8306"/>
      </w:tabs>
      <w:snapToGrid w:val="0"/>
      <w:jc w:val="left"/>
    </w:pPr>
    <w:rPr>
      <w:sz w:val="18"/>
      <w:szCs w:val="18"/>
    </w:rPr>
  </w:style>
  <w:style w:type="paragraph" w:styleId="6">
    <w:name w:val="header"/>
    <w:basedOn w:val="1"/>
    <w:link w:val="16"/>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paragraph" w:styleId="8">
    <w:name w:val="annotation subject"/>
    <w:basedOn w:val="2"/>
    <w:next w:val="2"/>
    <w:link w:val="14"/>
    <w:qFormat/>
    <w:uiPriority w:val="0"/>
    <w:rPr>
      <w:b/>
      <w:bCs/>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annotation reference"/>
    <w:basedOn w:val="11"/>
    <w:qFormat/>
    <w:uiPriority w:val="0"/>
    <w:rPr>
      <w:sz w:val="21"/>
      <w:szCs w:val="21"/>
    </w:rPr>
  </w:style>
  <w:style w:type="character" w:customStyle="1" w:styleId="13">
    <w:name w:val="批注文字 Char"/>
    <w:basedOn w:val="11"/>
    <w:link w:val="2"/>
    <w:qFormat/>
    <w:uiPriority w:val="0"/>
    <w:rPr>
      <w:rFonts w:asciiTheme="minorHAnsi" w:hAnsiTheme="minorHAnsi" w:eastAsiaTheme="minorEastAsia" w:cstheme="minorBidi"/>
      <w:kern w:val="2"/>
      <w:sz w:val="21"/>
      <w:szCs w:val="24"/>
    </w:rPr>
  </w:style>
  <w:style w:type="character" w:customStyle="1" w:styleId="14">
    <w:name w:val="批注主题 Char"/>
    <w:basedOn w:val="13"/>
    <w:link w:val="8"/>
    <w:qFormat/>
    <w:uiPriority w:val="0"/>
    <w:rPr>
      <w:rFonts w:asciiTheme="minorHAnsi" w:hAnsiTheme="minorHAnsi" w:eastAsiaTheme="minorEastAsia" w:cstheme="minorBidi"/>
      <w:b/>
      <w:bCs/>
      <w:kern w:val="2"/>
      <w:sz w:val="21"/>
      <w:szCs w:val="24"/>
    </w:rPr>
  </w:style>
  <w:style w:type="character" w:customStyle="1" w:styleId="15">
    <w:name w:val="批注框文本 Char"/>
    <w:basedOn w:val="11"/>
    <w:link w:val="4"/>
    <w:qFormat/>
    <w:uiPriority w:val="0"/>
    <w:rPr>
      <w:rFonts w:asciiTheme="minorHAnsi" w:hAnsiTheme="minorHAnsi" w:eastAsiaTheme="minorEastAsia" w:cstheme="minorBidi"/>
      <w:kern w:val="2"/>
      <w:sz w:val="18"/>
      <w:szCs w:val="18"/>
    </w:rPr>
  </w:style>
  <w:style w:type="character" w:customStyle="1" w:styleId="16">
    <w:name w:val="页眉 Char"/>
    <w:basedOn w:val="11"/>
    <w:link w:val="6"/>
    <w:qFormat/>
    <w:uiPriority w:val="0"/>
    <w:rPr>
      <w:rFonts w:asciiTheme="minorHAnsi" w:hAnsiTheme="minorHAnsi" w:eastAsiaTheme="minorEastAsia" w:cstheme="minorBidi"/>
      <w:kern w:val="2"/>
      <w:sz w:val="18"/>
      <w:szCs w:val="18"/>
    </w:rPr>
  </w:style>
  <w:style w:type="character" w:customStyle="1" w:styleId="17">
    <w:name w:val="页脚 Char"/>
    <w:basedOn w:val="11"/>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hart" Target="charts/chart6.xml"/><Relationship Id="rId8" Type="http://schemas.openxmlformats.org/officeDocument/2006/relationships/chart" Target="charts/chart5.xml"/><Relationship Id="rId7" Type="http://schemas.openxmlformats.org/officeDocument/2006/relationships/chart" Target="charts/chart4.xml"/><Relationship Id="rId6" Type="http://schemas.openxmlformats.org/officeDocument/2006/relationships/chart" Target="charts/chart3.xml"/><Relationship Id="rId5" Type="http://schemas.openxmlformats.org/officeDocument/2006/relationships/chart" Target="charts/chart2.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hart" Target="charts/chart7.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收支预算总体情况</a:t>
            </a:r>
            <a:endParaRPr lang="zh-CN" altLang="en-US" b="1">
              <a:latin typeface="+mj-ea"/>
              <a:ea typeface="+mj-ea"/>
            </a:endParaRPr>
          </a:p>
        </c:rich>
      </c:tx>
      <c:layout>
        <c:manualLayout>
          <c:xMode val="edge"/>
          <c:yMode val="edge"/>
          <c:x val="0.33098964603901"/>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3522.95</c:v>
                </c:pt>
                <c:pt idx="1">
                  <c:v>3565.55</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3522.95</c:v>
                </c:pt>
                <c:pt idx="1">
                  <c:v>3565.55</c:v>
                </c:pt>
              </c:numCache>
            </c:numRef>
          </c:val>
        </c:ser>
        <c:dLbls>
          <c:showLegendKey val="0"/>
          <c:showVal val="1"/>
          <c:showCatName val="0"/>
          <c:showSerName val="0"/>
          <c:showPercent val="0"/>
          <c:showBubbleSize val="0"/>
        </c:dLbls>
        <c:gapWidth val="182"/>
        <c:axId val="185036160"/>
        <c:axId val="185042048"/>
      </c:barChart>
      <c:catAx>
        <c:axId val="1850361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5042048"/>
        <c:crosses val="autoZero"/>
        <c:auto val="1"/>
        <c:lblAlgn val="ctr"/>
        <c:lblOffset val="100"/>
        <c:noMultiLvlLbl val="0"/>
      </c:catAx>
      <c:valAx>
        <c:axId val="185042048"/>
        <c:scaling>
          <c:orientation val="minMax"/>
          <c:min val="5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50361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收入预算总体情况</a:t>
            </a:r>
            <a:endParaRPr lang="zh-CN" altLang="en-US" b="1"/>
          </a:p>
        </c:rich>
      </c:tx>
      <c:layout/>
      <c:overlay val="0"/>
      <c:spPr>
        <a:noFill/>
        <a:ln>
          <a:noFill/>
        </a:ln>
        <a:effectLst/>
      </c:spPr>
    </c:title>
    <c:autoTitleDeleted val="0"/>
    <c:plotArea>
      <c:layout/>
      <c:barChart>
        <c:barDir val="bar"/>
        <c:grouping val="clustered"/>
        <c:varyColors val="0"/>
        <c:ser>
          <c:idx val="0"/>
          <c:order val="0"/>
          <c:tx>
            <c:strRef>
              <c:f>Sheet1!$B$1</c:f>
              <c:strCache>
                <c:ptCount val="1"/>
                <c:pt idx="0">
                  <c:v>收入预算</c:v>
                </c:pt>
              </c:strCache>
            </c:strRef>
          </c:tx>
          <c:invertIfNegative val="0"/>
          <c:dPt>
            <c:idx val="0"/>
            <c:invertIfNegative val="0"/>
            <c:bubble3D val="0"/>
            <c:spPr>
              <a:solidFill>
                <a:schemeClr val="accent1"/>
              </a:solidFill>
              <a:ln w="19050">
                <a:solidFill>
                  <a:schemeClr val="lt1"/>
                </a:solidFill>
              </a:ln>
              <a:effectLst/>
            </c:spPr>
          </c:dPt>
          <c:dPt>
            <c:idx val="1"/>
            <c:invertIfNegative val="0"/>
            <c:bubble3D val="0"/>
            <c:spPr>
              <a:solidFill>
                <a:schemeClr val="accent2"/>
              </a:solidFill>
              <a:ln w="19050">
                <a:solidFill>
                  <a:schemeClr val="lt1"/>
                </a:solidFill>
              </a:ln>
              <a:effectLst/>
            </c:spPr>
          </c:dPt>
          <c:dPt>
            <c:idx val="2"/>
            <c:invertIfNegative val="0"/>
            <c:bubble3D val="0"/>
            <c:spPr>
              <a:solidFill>
                <a:schemeClr val="accent3"/>
              </a:solidFill>
              <a:ln w="19050">
                <a:solidFill>
                  <a:schemeClr val="lt1"/>
                </a:solidFill>
              </a:ln>
              <a:effectLst/>
            </c:spPr>
          </c:dPt>
          <c:dPt>
            <c:idx val="3"/>
            <c:invertIfNegative val="0"/>
            <c:bubble3D val="0"/>
            <c:spPr>
              <a:solidFill>
                <a:schemeClr val="accent4"/>
              </a:solidFill>
              <a:ln w="19050">
                <a:solidFill>
                  <a:schemeClr val="lt1"/>
                </a:solidFill>
              </a:ln>
              <a:effectLst/>
            </c:spPr>
          </c:dPt>
          <c:dPt>
            <c:idx val="4"/>
            <c:invertIfNegative val="0"/>
            <c:bubble3D val="0"/>
            <c:spPr>
              <a:solidFill>
                <a:schemeClr val="accent5"/>
              </a:solidFill>
              <a:ln w="19050">
                <a:solidFill>
                  <a:schemeClr val="lt1"/>
                </a:solidFill>
              </a:ln>
              <a:effectLst/>
            </c:spPr>
          </c:dPt>
          <c:dPt>
            <c:idx val="5"/>
            <c:invertIfNegative val="0"/>
            <c:bubble3D val="0"/>
            <c:spPr>
              <a:solidFill>
                <a:schemeClr val="accent6"/>
              </a:solidFill>
              <a:ln w="19050">
                <a:solidFill>
                  <a:schemeClr val="lt1"/>
                </a:solidFill>
              </a:ln>
              <a:effectLst/>
            </c:spPr>
          </c:dPt>
          <c:dPt>
            <c:idx val="6"/>
            <c:invertIfNegative val="0"/>
            <c:bubble3D val="0"/>
            <c:spPr>
              <a:solidFill>
                <a:schemeClr val="accent1">
                  <a:lumMod val="60000"/>
                </a:schemeClr>
              </a:solidFill>
              <a:ln w="19050">
                <a:solidFill>
                  <a:schemeClr val="lt1"/>
                </a:solidFill>
              </a:ln>
              <a:effectLst/>
            </c:spPr>
          </c:dPt>
          <c:dPt>
            <c:idx val="7"/>
            <c:invertIfNegative val="0"/>
            <c:bubble3D val="0"/>
            <c:spPr>
              <a:solidFill>
                <a:schemeClr val="accent2">
                  <a:lumMod val="60000"/>
                </a:schemeClr>
              </a:solidFill>
              <a:ln w="19050">
                <a:solidFill>
                  <a:schemeClr val="lt1"/>
                </a:solidFill>
              </a:ln>
              <a:effectLst/>
            </c:spPr>
          </c:dPt>
          <c:dPt>
            <c:idx val="8"/>
            <c:invertIfNegative val="0"/>
            <c:bubble3D val="0"/>
            <c:spPr>
              <a:solidFill>
                <a:schemeClr val="accent3">
                  <a:lumMod val="60000"/>
                </a:schemeClr>
              </a:solidFill>
              <a:ln w="19050">
                <a:solidFill>
                  <a:schemeClr val="lt1"/>
                </a:solidFill>
              </a:ln>
              <a:effectLst/>
            </c:spPr>
          </c:dPt>
          <c:dPt>
            <c:idx val="9"/>
            <c:invertIfNegative val="0"/>
            <c:bubble3D val="0"/>
            <c:spPr>
              <a:solidFill>
                <a:schemeClr val="accent4">
                  <a:lumMod val="60000"/>
                </a:schemeClr>
              </a:solidFill>
              <a:ln w="19050">
                <a:solidFill>
                  <a:schemeClr val="lt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ext>
            </c:extLst>
          </c:dLbls>
          <c:cat>
            <c:strRef>
              <c:f>Sheet1!$A$2:$A$11</c:f>
              <c:strCache>
                <c:ptCount val="10"/>
                <c:pt idx="0">
                  <c:v>一般公共预算收入</c:v>
                </c:pt>
                <c:pt idx="1">
                  <c:v>政府性基金收入</c:v>
                </c:pt>
                <c:pt idx="2">
                  <c:v>国有资本经营收入</c:v>
                </c:pt>
                <c:pt idx="3">
                  <c:v>财政专户管理资金收入</c:v>
                </c:pt>
                <c:pt idx="4">
                  <c:v>事业收入</c:v>
                </c:pt>
                <c:pt idx="5">
                  <c:v>事业单位经营收入</c:v>
                </c:pt>
                <c:pt idx="6">
                  <c:v>上级补助收入</c:v>
                </c:pt>
                <c:pt idx="7">
                  <c:v>附属单位上缴收入</c:v>
                </c:pt>
                <c:pt idx="8">
                  <c:v>其他收入</c:v>
                </c:pt>
                <c:pt idx="9">
                  <c:v>上年结转结余</c:v>
                </c:pt>
              </c:strCache>
            </c:strRef>
          </c:cat>
          <c:val>
            <c:numRef>
              <c:f>Sheet1!$B$2:$B$11</c:f>
              <c:numCache>
                <c:formatCode>General</c:formatCode>
                <c:ptCount val="10"/>
                <c:pt idx="0">
                  <c:v>3292.19</c:v>
                </c:pt>
                <c:pt idx="2">
                  <c:v>273.36</c:v>
                </c:pt>
              </c:numCache>
            </c:numRef>
          </c:val>
        </c:ser>
        <c:dLbls>
          <c:showLegendKey val="0"/>
          <c:showVal val="1"/>
          <c:showCatName val="0"/>
          <c:showSerName val="0"/>
          <c:showPercent val="0"/>
          <c:showBubbleSize val="0"/>
        </c:dLbls>
        <c:gapWidth val="100"/>
        <c:axId val="168408192"/>
        <c:axId val="168409728"/>
      </c:barChart>
      <c:catAx>
        <c:axId val="168408192"/>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68409728"/>
        <c:crosses val="autoZero"/>
        <c:auto val="1"/>
        <c:lblAlgn val="ctr"/>
        <c:lblOffset val="100"/>
        <c:noMultiLvlLbl val="0"/>
      </c:catAx>
      <c:valAx>
        <c:axId val="168409728"/>
        <c:scaling>
          <c:orientation val="minMax"/>
        </c:scaling>
        <c:delete val="0"/>
        <c:axPos val="b"/>
        <c:majorGridlines/>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6840819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b="1"/>
              <a:t>支出预算总体情况</a:t>
            </a:r>
            <a:endParaRPr lang="zh-CN" altLang="en-US" b="1"/>
          </a:p>
        </c:rich>
      </c:tx>
      <c:layout/>
      <c:overlay val="0"/>
      <c:spPr>
        <a:noFill/>
        <a:ln>
          <a:noFill/>
        </a:ln>
        <a:effectLst/>
      </c:spPr>
    </c:title>
    <c:autoTitleDeleted val="0"/>
    <c:plotArea>
      <c:layout/>
      <c:pieChart>
        <c:varyColors val="1"/>
        <c:ser>
          <c:idx val="0"/>
          <c:order val="0"/>
          <c:tx>
            <c:strRef>
              <c:f>Sheet1!$B$1</c:f>
              <c:strCache>
                <c:ptCount val="1"/>
                <c:pt idx="0">
                  <c:v>支出预算</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65000"/>
                    <a:lumOff val="35000"/>
                  </a:sysClr>
                </a:solid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ext>
            </c:extLst>
          </c:dLbls>
          <c:cat>
            <c:strRef>
              <c:f>Sheet1!$A$2:$A$3</c:f>
              <c:strCache>
                <c:ptCount val="2"/>
                <c:pt idx="0">
                  <c:v>基本支出</c:v>
                </c:pt>
                <c:pt idx="1">
                  <c:v>项目支出</c:v>
                </c:pt>
              </c:strCache>
            </c:strRef>
          </c:cat>
          <c:val>
            <c:numRef>
              <c:f>Sheet1!$B$2:$B$3</c:f>
              <c:numCache>
                <c:formatCode>General</c:formatCode>
                <c:ptCount val="2"/>
                <c:pt idx="0">
                  <c:v>578.52</c:v>
                </c:pt>
                <c:pt idx="1">
                  <c:v>2987.03</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ctr">
              <a:defRPr lang="zh-CN" sz="1400" b="1" i="0" u="none" strike="noStrike" kern="1200" spc="0" baseline="0">
                <a:solidFill>
                  <a:schemeClr val="tx1">
                    <a:lumMod val="65000"/>
                    <a:lumOff val="35000"/>
                  </a:schemeClr>
                </a:solidFill>
                <a:latin typeface="+mj-ea"/>
                <a:ea typeface="+mj-ea"/>
                <a:cs typeface="+mn-cs"/>
              </a:defRPr>
            </a:pPr>
            <a:r>
              <a:rPr lang="zh-CN" altLang="en-US" b="1">
                <a:latin typeface="+mj-ea"/>
                <a:ea typeface="+mj-ea"/>
              </a:rPr>
              <a:t>财政拨款收支预算总体情况</a:t>
            </a:r>
            <a:endParaRPr lang="zh-CN" altLang="en-US" b="1">
              <a:latin typeface="+mj-ea"/>
              <a:ea typeface="+mj-ea"/>
            </a:endParaRPr>
          </a:p>
        </c:rich>
      </c:tx>
      <c:layout>
        <c:manualLayout>
          <c:xMode val="edge"/>
          <c:yMode val="edge"/>
          <c:x val="0.33098964603901"/>
          <c:y val="0.0247678018575851"/>
        </c:manualLayout>
      </c:layout>
      <c:overlay val="0"/>
      <c:spPr>
        <a:noFill/>
        <a:ln>
          <a:noFill/>
        </a:ln>
        <a:effectLst/>
      </c:spPr>
    </c:title>
    <c:autoTitleDeleted val="0"/>
    <c:plotArea>
      <c:layout/>
      <c:barChart>
        <c:barDir val="col"/>
        <c:grouping val="clustered"/>
        <c:varyColors val="0"/>
        <c:ser>
          <c:idx val="0"/>
          <c:order val="0"/>
          <c:tx>
            <c:strRef>
              <c:f>'2022年部门收支预算表'!$B$1</c:f>
              <c:strCache>
                <c:ptCount val="1"/>
                <c:pt idx="0">
                  <c:v>收入</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'2022年部门收支预算表'!$B$2:$B$3</c:f>
              <c:numCache>
                <c:formatCode>General</c:formatCode>
                <c:ptCount val="2"/>
                <c:pt idx="0">
                  <c:v>3081.95</c:v>
                </c:pt>
                <c:pt idx="1">
                  <c:v>3292.19</c:v>
                </c:pt>
              </c:numCache>
            </c:numRef>
          </c:val>
        </c:ser>
        <c:ser>
          <c:idx val="1"/>
          <c:order val="1"/>
          <c:tx>
            <c:strRef>
              <c:f>'2022年部门收支预算表'!$C$1</c:f>
              <c:strCache>
                <c:ptCount val="1"/>
                <c:pt idx="0">
                  <c:v>支出</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'2022年部门收支预算表'!$A$2:$A$3</c:f>
              <c:strCache>
                <c:ptCount val="2"/>
                <c:pt idx="0">
                  <c:v>2022年</c:v>
                </c:pt>
                <c:pt idx="1">
                  <c:v>2023年</c:v>
                </c:pt>
              </c:strCache>
            </c:strRef>
          </c:cat>
          <c:val>
            <c:numRef>
              <c:f>'2022年部门收支预算表'!$C$2:$C$3</c:f>
              <c:numCache>
                <c:formatCode>General</c:formatCode>
                <c:ptCount val="2"/>
                <c:pt idx="0">
                  <c:v>3081.95</c:v>
                </c:pt>
                <c:pt idx="1">
                  <c:v>3292.19</c:v>
                </c:pt>
              </c:numCache>
            </c:numRef>
          </c:val>
        </c:ser>
        <c:dLbls>
          <c:showLegendKey val="0"/>
          <c:showVal val="1"/>
          <c:showCatName val="0"/>
          <c:showSerName val="0"/>
          <c:showPercent val="0"/>
          <c:showBubbleSize val="0"/>
        </c:dLbls>
        <c:gapWidth val="182"/>
        <c:axId val="185075968"/>
        <c:axId val="185085952"/>
      </c:barChart>
      <c:catAx>
        <c:axId val="18507596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5085952"/>
        <c:crosses val="autoZero"/>
        <c:auto val="1"/>
        <c:lblAlgn val="ctr"/>
        <c:lblOffset val="100"/>
        <c:noMultiLvlLbl val="0"/>
      </c:catAx>
      <c:valAx>
        <c:axId val="185085952"/>
        <c:scaling>
          <c:orientation val="minMax"/>
          <c:min val="50"/>
        </c:scaling>
        <c:delete val="0"/>
        <c:axPos val="l"/>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8507596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defTabSz="914400">
              <a:defRPr lang="zh-CN" sz="1400" b="1" i="0" u="none" strike="noStrike" kern="1200" spc="0" baseline="0">
                <a:solidFill>
                  <a:schemeClr val="tx1">
                    <a:lumMod val="65000"/>
                    <a:lumOff val="35000"/>
                  </a:schemeClr>
                </a:solidFill>
                <a:latin typeface="+mn-lt"/>
                <a:ea typeface="+mn-ea"/>
                <a:cs typeface="+mn-cs"/>
              </a:defRPr>
            </a:pPr>
            <a:r>
              <a:rPr lang="zh-CN" altLang="en-US" sz="1400"/>
              <a:t>一般公共预算支出预算情况</a:t>
            </a:r>
            <a:endParaRPr lang="zh-CN" altLang="en-US" sz="1400"/>
          </a:p>
        </c:rich>
      </c:tx>
      <c:layout/>
      <c:overlay val="0"/>
      <c:spPr>
        <a:noFill/>
        <a:ln>
          <a:noFill/>
        </a:ln>
        <a:effectLst/>
      </c:spPr>
    </c:title>
    <c:autoTitleDeleted val="0"/>
    <c:plotArea>
      <c:layout/>
      <c:pieChart>
        <c:varyColors val="1"/>
        <c:ser>
          <c:idx val="0"/>
          <c:order val="0"/>
          <c:tx>
            <c:strRef>
              <c:f>Sheet1!$B$1</c:f>
              <c:strCache>
                <c:ptCount val="1"/>
                <c:pt idx="0">
                  <c:v>列1</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578.52</c:v>
                </c:pt>
                <c:pt idx="1">
                  <c:v>2987.03</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zh-CN" sz="1400" b="1" i="0" u="none" strike="noStrike" kern="1200" spc="0" baseline="0">
                <a:solidFill>
                  <a:schemeClr val="tx1">
                    <a:lumMod val="65000"/>
                    <a:lumOff val="35000"/>
                  </a:schemeClr>
                </a:solidFill>
                <a:latin typeface="+mn-lt"/>
                <a:ea typeface="+mn-ea"/>
                <a:cs typeface="+mn-cs"/>
              </a:defRPr>
            </a:pPr>
            <a:r>
              <a:rPr lang="zh-CN" altLang="en-US"/>
              <a:t>一般公共预算基本支出预算情况</a:t>
            </a:r>
            <a:endParaRPr lang="zh-CN" altLang="en-US"/>
          </a:p>
        </c:rich>
      </c:tx>
      <c:layout/>
      <c:overlay val="0"/>
      <c:spPr>
        <a:noFill/>
        <a:ln>
          <a:noFill/>
        </a:ln>
        <a:effectLst/>
      </c:spPr>
    </c:title>
    <c:autoTitleDeleted val="0"/>
    <c:plotArea>
      <c:layout/>
      <c:pieChart>
        <c:varyColors val="1"/>
        <c:ser>
          <c:idx val="0"/>
          <c:order val="0"/>
          <c:tx>
            <c:strRef>
              <c:f>Sheet1!$B$1</c:f>
              <c:strCache>
                <c:ptCount val="1"/>
                <c:pt idx="0">
                  <c:v>一般公共预算支出预算情况</c:v>
                </c:pt>
              </c:strCache>
            </c:strRef>
          </c:tx>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lang="zh-CN" sz="900" b="0" i="0" u="none" strike="noStrike" kern="1200" baseline="0">
                    <a:solidFill>
                      <a:schemeClr val="dk1">
                        <a:lumMod val="65000"/>
                        <a:lumOff val="35000"/>
                      </a:schemeClr>
                    </a:solidFill>
                    <a:latin typeface="+mn-lt"/>
                    <a:ea typeface="+mn-ea"/>
                    <a:cs typeface="+mn-cs"/>
                  </a:defRPr>
                </a:pPr>
              </a:p>
            </c:txPr>
            <c:dLblPos val="outEnd"/>
            <c:showLegendKey val="0"/>
            <c:showVal val="0"/>
            <c:showCatName val="1"/>
            <c:showSerName val="0"/>
            <c:showPercent val="1"/>
            <c:showBubbleSize val="0"/>
            <c:showLeaderLines val="0"/>
            <c:extLst>
              <c:ext xmlns:c15="http://schemas.microsoft.com/office/drawing/2012/chart" uri="{CE6537A1-D6FC-4f65-9D91-7224C49458BB}">
                <c15:spPr xmlns:c15="http://schemas.microsoft.com/office/drawing/2012/chart">
                  <a:prstGeom prst="wedgeRectCallout">
                    <a:avLst/>
                  </a:prstGeom>
                  <a:noFill/>
                  <a:ln>
                    <a:noFill/>
                  </a:ln>
                </c15:spPr>
                <c15:layout/>
                <c15:showLeaderLines val="0"/>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人员经费</c:v>
                </c:pt>
                <c:pt idx="1">
                  <c:v>公用经费</c:v>
                </c:pt>
              </c:strCache>
            </c:strRef>
          </c:cat>
          <c:val>
            <c:numRef>
              <c:f>Sheet1!$B$2:$B$3</c:f>
              <c:numCache>
                <c:formatCode>General</c:formatCode>
                <c:ptCount val="2"/>
                <c:pt idx="0">
                  <c:v>554.55</c:v>
                </c:pt>
                <c:pt idx="1">
                  <c:v>23.97</c:v>
                </c:pt>
              </c:numCache>
            </c:numRef>
          </c:val>
        </c:ser>
        <c:dLbls>
          <c:showLegendKey val="0"/>
          <c:showVal val="0"/>
          <c:showCatName val="1"/>
          <c:showSerName val="0"/>
          <c:showPercent val="1"/>
          <c:showBubbleSize val="0"/>
          <c:showLeaderLines val="1"/>
        </c:dLbls>
        <c:firstSliceAng val="0"/>
      </c:pie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zero"/>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lgn="l">
              <a:defRPr lang="zh-CN" sz="1400" b="0" i="0" u="none" strike="noStrike" kern="1200" spc="0" baseline="0">
                <a:solidFill>
                  <a:schemeClr val="tx1">
                    <a:lumMod val="65000"/>
                    <a:lumOff val="35000"/>
                  </a:schemeClr>
                </a:solidFill>
                <a:latin typeface="+mn-lt"/>
                <a:ea typeface="+mn-ea"/>
                <a:cs typeface="+mn-cs"/>
              </a:defRPr>
            </a:pPr>
            <a:r>
              <a:rPr lang="zh-CN" altLang="zh-CN" sz="1400" b="1" i="0" u="none" strike="noStrike" baseline="0">
                <a:effectLst/>
              </a:rPr>
              <a:t>一般公共预算“三公”经费支出预算情况</a:t>
            </a:r>
            <a:endParaRPr lang="zh-CN" altLang="en-US" sz="1400" b="1"/>
          </a:p>
        </c:rich>
      </c:tx>
      <c:layout>
        <c:manualLayout>
          <c:xMode val="edge"/>
          <c:yMode val="edge"/>
          <c:x val="0.188538405971587"/>
          <c:y val="0.0371517027863779"/>
        </c:manualLayout>
      </c:layout>
      <c:overlay val="0"/>
      <c:spPr>
        <a:noFill/>
        <a:ln>
          <a:noFill/>
        </a:ln>
        <a:effectLst/>
      </c:spPr>
    </c:title>
    <c:autoTitleDeleted val="0"/>
    <c:plotArea>
      <c:layout>
        <c:manualLayout>
          <c:layoutTarget val="inner"/>
          <c:xMode val="edge"/>
          <c:yMode val="edge"/>
          <c:x val="0.0992776306284614"/>
          <c:y val="0.154179566563467"/>
          <c:w val="0.87604141584397"/>
          <c:h val="0.649411764705882"/>
        </c:manualLayout>
      </c:layout>
      <c:barChart>
        <c:barDir val="bar"/>
        <c:grouping val="clustered"/>
        <c:varyColors val="0"/>
        <c:ser>
          <c:idx val="0"/>
          <c:order val="0"/>
          <c:tx>
            <c:strRef>
              <c:f>Sheet1!$B$1</c:f>
              <c:strCache>
                <c:ptCount val="1"/>
                <c:pt idx="0">
                  <c:v>因公出国（境）费用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Sheet1!$B$2:$B$3</c:f>
              <c:numCache>
                <c:formatCode>General</c:formatCode>
                <c:ptCount val="2"/>
                <c:pt idx="0">
                  <c:v>0</c:v>
                </c:pt>
                <c:pt idx="1">
                  <c:v>0</c:v>
                </c:pt>
              </c:numCache>
            </c:numRef>
          </c:val>
        </c:ser>
        <c:ser>
          <c:idx val="1"/>
          <c:order val="1"/>
          <c:tx>
            <c:strRef>
              <c:f>Sheet1!$C$1</c:f>
              <c:strCache>
                <c:ptCount val="1"/>
                <c:pt idx="0">
                  <c:v>公务接待费</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Sheet1!$C$2:$C$3</c:f>
              <c:numCache>
                <c:formatCode>General</c:formatCode>
                <c:ptCount val="2"/>
                <c:pt idx="0">
                  <c:v>6.75</c:v>
                </c:pt>
                <c:pt idx="1">
                  <c:v>6.75</c:v>
                </c:pt>
              </c:numCache>
            </c:numRef>
          </c:val>
        </c:ser>
        <c:ser>
          <c:idx val="2"/>
          <c:order val="2"/>
          <c:tx>
            <c:strRef>
              <c:f>Sheet1!$D$1</c:f>
              <c:strCache>
                <c:ptCount val="1"/>
                <c:pt idx="0">
                  <c:v>公务用车购置及运行费</c:v>
                </c:pt>
              </c:strCache>
            </c:strRef>
          </c:tx>
          <c:spPr>
            <a:solidFill>
              <a:schemeClr val="accent3"/>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prstDash val="solid"/>
                      <a:round/>
                    </a:ln>
                    <a:effectLst/>
                  </c:spPr>
                </c15:leaderLines>
              </c:ext>
            </c:extLst>
          </c:dLbls>
          <c:cat>
            <c:strRef>
              <c:f>Sheet1!$A$2:$A$3</c:f>
              <c:strCache>
                <c:ptCount val="2"/>
                <c:pt idx="0">
                  <c:v>2022年</c:v>
                </c:pt>
                <c:pt idx="1">
                  <c:v>2023年</c:v>
                </c:pt>
              </c:strCache>
            </c:strRef>
          </c:cat>
          <c:val>
            <c:numRef>
              <c:f>Sheet1!$D$2:$D$3</c:f>
              <c:numCache>
                <c:formatCode>General</c:formatCode>
                <c:ptCount val="2"/>
                <c:pt idx="0">
                  <c:v>7.2</c:v>
                </c:pt>
                <c:pt idx="1">
                  <c:v>7.2</c:v>
                </c:pt>
              </c:numCache>
            </c:numRef>
          </c:val>
        </c:ser>
        <c:dLbls>
          <c:showLegendKey val="0"/>
          <c:showVal val="1"/>
          <c:showCatName val="0"/>
          <c:showSerName val="0"/>
          <c:showPercent val="0"/>
          <c:showBubbleSize val="0"/>
        </c:dLbls>
        <c:gapWidth val="219"/>
        <c:axId val="199159808"/>
        <c:axId val="199161344"/>
      </c:barChart>
      <c:catAx>
        <c:axId val="19915980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9161344"/>
        <c:crosses val="autoZero"/>
        <c:auto val="1"/>
        <c:lblAlgn val="ctr"/>
        <c:lblOffset val="100"/>
        <c:noMultiLvlLbl val="0"/>
      </c:catAx>
      <c:valAx>
        <c:axId val="199161344"/>
        <c:scaling>
          <c:orientation val="minMax"/>
        </c:scaling>
        <c:delete val="0"/>
        <c:axPos val="b"/>
        <c:majorGridlines>
          <c:spPr>
            <a:ln w="9525" cap="flat" cmpd="sng" algn="ctr">
              <a:solidFill>
                <a:schemeClr val="tx1">
                  <a:lumMod val="15000"/>
                  <a:lumOff val="85000"/>
                </a:schemeClr>
              </a:solidFill>
              <a:prstDash val="solid"/>
              <a:round/>
            </a:ln>
            <a:effectLst/>
          </c:spPr>
        </c:majorGridlines>
        <c:numFmt formatCode="General" sourceLinked="1"/>
        <c:majorTickMark val="none"/>
        <c:minorTickMark val="none"/>
        <c:tickLblPos val="nextTo"/>
        <c:spPr>
          <a:noFill/>
          <a:ln w="6350" cap="flat" cmpd="sng" algn="ctr">
            <a:noFill/>
            <a:prstDash val="solid"/>
            <a:round/>
          </a:ln>
          <a:effectLst/>
        </c:spPr>
        <c:txPr>
          <a:bodyPr rot="-6000000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99159808"/>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2994</Words>
  <Characters>3269</Characters>
  <Lines>22</Lines>
  <Paragraphs>6</Paragraphs>
  <TotalTime>1</TotalTime>
  <ScaleCrop>false</ScaleCrop>
  <LinksUpToDate>false</LinksUpToDate>
  <CharactersWithSpaces>3315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2022-05-23T00:38:00Z</dcterms:created>
  <dc:creator>Administrator</dc:creator>
  <cp:lastModifiedBy>dodo9527</cp:lastModifiedBy>
  <dcterms:modified xsi:type="dcterms:W3CDTF">2023-03-07T14:08:21Z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2F606E965C3F47A2A23C8CF82E347772</vt:lpwstr>
  </property>
</Properties>
</file>