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Override PartName="/word/theme/themeOverride2.xml" ContentType="application/vnd.openxmlformats-officedocument.themeOverride+xml"/>
  <Override PartName="/word/theme/themeOverride3.xml" ContentType="application/vnd.openxmlformats-officedocument.themeOverride+xml"/>
  <Override PartName="/word/theme/themeOverride4.xml" ContentType="application/vnd.openxmlformats-officedocument.themeOverride+xml"/>
  <Override PartName="/word/theme/themeOverride5.xml" ContentType="application/vnd.openxmlformats-officedocument.themeOverride+xml"/>
  <Override PartName="/word/theme/themeOverride6.xml" ContentType="application/vnd.openxmlformats-officedocument.themeOverride+xml"/>
  <Override PartName="/word/theme/themeOverride7.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黑体" w:hAnsi="黑体" w:eastAsia="黑体" w:cs="黑体"/>
          <w:b/>
          <w:bCs/>
          <w:sz w:val="44"/>
          <w:szCs w:val="44"/>
        </w:rPr>
      </w:pPr>
    </w:p>
    <w:p>
      <w:pPr>
        <w:spacing w:line="480" w:lineRule="auto"/>
        <w:jc w:val="center"/>
        <w:rPr>
          <w:rFonts w:ascii="宋体" w:hAnsi="宋体" w:eastAsia="宋体" w:cs="宋体"/>
          <w:b/>
          <w:bCs/>
          <w:sz w:val="44"/>
          <w:szCs w:val="44"/>
        </w:rPr>
      </w:pPr>
      <w:r>
        <w:rPr>
          <w:rFonts w:hint="eastAsia" w:ascii="黑体" w:hAnsi="黑体" w:eastAsia="黑体" w:cs="黑体"/>
          <w:b/>
          <w:bCs/>
          <w:sz w:val="44"/>
          <w:szCs w:val="44"/>
          <w:lang w:eastAsia="zh-CN"/>
        </w:rPr>
        <w:t>2023年</w:t>
      </w:r>
      <w:r>
        <w:rPr>
          <w:rFonts w:hint="eastAsia" w:ascii="黑体" w:hAnsi="黑体" w:eastAsia="黑体" w:cs="黑体"/>
          <w:b/>
          <w:bCs/>
          <w:sz w:val="44"/>
          <w:szCs w:val="44"/>
        </w:rPr>
        <w:t>淮滨县房产服务中心部门预算说明</w:t>
      </w:r>
    </w:p>
    <w:p>
      <w:pPr>
        <w:pStyle w:val="3"/>
        <w:tabs>
          <w:tab w:val="left" w:pos="880"/>
        </w:tabs>
        <w:kinsoku w:val="0"/>
        <w:overflowPunct w:val="0"/>
        <w:spacing w:before="0" w:line="480" w:lineRule="auto"/>
        <w:ind w:left="0"/>
        <w:jc w:val="center"/>
        <w:rPr>
          <w:rFonts w:hint="default" w:ascii="黑体" w:hAnsi="黑体" w:eastAsia="黑体" w:cs="黑体"/>
          <w:b/>
          <w:w w:val="95"/>
          <w:sz w:val="30"/>
          <w:szCs w:val="30"/>
        </w:rPr>
      </w:pPr>
    </w:p>
    <w:p>
      <w:pPr>
        <w:pStyle w:val="3"/>
        <w:tabs>
          <w:tab w:val="left" w:pos="880"/>
        </w:tabs>
        <w:kinsoku w:val="0"/>
        <w:overflowPunct w:val="0"/>
        <w:spacing w:before="0" w:line="480" w:lineRule="auto"/>
        <w:ind w:left="0"/>
        <w:jc w:val="center"/>
        <w:rPr>
          <w:rFonts w:hint="default" w:ascii="黑体" w:hAnsi="黑体" w:eastAsia="黑体" w:cs="黑体"/>
          <w:b/>
          <w:sz w:val="44"/>
          <w:szCs w:val="44"/>
        </w:rPr>
      </w:pPr>
      <w:r>
        <w:rPr>
          <w:rFonts w:ascii="黑体" w:hAnsi="黑体" w:eastAsia="黑体" w:cs="黑体"/>
          <w:b/>
          <w:w w:val="95"/>
          <w:sz w:val="44"/>
          <w:szCs w:val="44"/>
        </w:rPr>
        <w:t>目</w:t>
      </w:r>
      <w:r>
        <w:rPr>
          <w:rFonts w:ascii="黑体" w:hAnsi="黑体" w:eastAsia="黑体" w:cs="黑体"/>
          <w:b/>
          <w:w w:val="95"/>
          <w:sz w:val="44"/>
          <w:szCs w:val="44"/>
        </w:rPr>
        <w:tab/>
      </w:r>
      <w:r>
        <w:rPr>
          <w:rFonts w:ascii="黑体" w:hAnsi="黑体" w:eastAsia="黑体" w:cs="黑体"/>
          <w:b/>
          <w:sz w:val="44"/>
          <w:szCs w:val="44"/>
        </w:rPr>
        <w:t>录</w:t>
      </w:r>
    </w:p>
    <w:p>
      <w:pPr>
        <w:kinsoku w:val="0"/>
        <w:overflowPunct w:val="0"/>
        <w:autoSpaceDE w:val="0"/>
        <w:autoSpaceDN w:val="0"/>
        <w:adjustRightInd w:val="0"/>
        <w:spacing w:before="351"/>
        <w:ind w:right="126"/>
        <w:rPr>
          <w:rFonts w:ascii="黑体" w:hAnsi="黑体" w:eastAsia="黑体" w:cs="黑体"/>
          <w:sz w:val="32"/>
          <w:szCs w:val="32"/>
        </w:rPr>
      </w:pPr>
      <w:r>
        <w:rPr>
          <w:rFonts w:hint="eastAsia" w:ascii="黑体" w:hAnsi="黑体" w:eastAsia="黑体" w:cs="黑体"/>
          <w:sz w:val="32"/>
          <w:szCs w:val="32"/>
        </w:rPr>
        <w:t>第一部分</w:t>
      </w:r>
      <w:r>
        <w:rPr>
          <w:rFonts w:hint="eastAsia" w:ascii="黑体" w:hAnsi="黑体" w:eastAsia="黑体" w:cs="黑体"/>
          <w:spacing w:val="-7"/>
          <w:sz w:val="32"/>
          <w:szCs w:val="32"/>
        </w:rPr>
        <w:t xml:space="preserve"> 淮滨县房产服务中心</w:t>
      </w:r>
      <w:r>
        <w:rPr>
          <w:rFonts w:hint="eastAsia" w:ascii="黑体" w:hAnsi="黑体" w:eastAsia="黑体" w:cs="黑体"/>
          <w:sz w:val="32"/>
          <w:szCs w:val="32"/>
        </w:rPr>
        <w:t>概况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主要职责</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内设机构设置情况</w:t>
      </w:r>
    </w:p>
    <w:p>
      <w:pPr>
        <w:numPr>
          <w:ilvl w:val="0"/>
          <w:numId w:val="1"/>
        </w:numPr>
        <w:kinsoku w:val="0"/>
        <w:overflowPunct w:val="0"/>
        <w:autoSpaceDE w:val="0"/>
        <w:autoSpaceDN w:val="0"/>
        <w:adjustRightInd w:val="0"/>
        <w:spacing w:before="48" w:line="560" w:lineRule="exact"/>
        <w:ind w:right="765" w:firstLine="320" w:firstLineChars="100"/>
        <w:rPr>
          <w:rFonts w:hint="eastAsia" w:ascii="仿宋" w:hAnsi="仿宋" w:eastAsia="仿宋" w:cs="Times New Roman"/>
          <w:sz w:val="32"/>
          <w:szCs w:val="32"/>
        </w:rPr>
      </w:pPr>
      <w:r>
        <w:rPr>
          <w:rFonts w:hint="eastAsia" w:ascii="仿宋" w:hAnsi="仿宋" w:eastAsia="仿宋" w:cs="Times New Roman"/>
          <w:sz w:val="32"/>
          <w:szCs w:val="32"/>
        </w:rPr>
        <w:t>部门所属预算单位构成情况</w:t>
      </w:r>
    </w:p>
    <w:p>
      <w:pPr>
        <w:kinsoku w:val="0"/>
        <w:overflowPunct w:val="0"/>
        <w:autoSpaceDE w:val="0"/>
        <w:autoSpaceDN w:val="0"/>
        <w:adjustRightInd w:val="0"/>
        <w:spacing w:before="12" w:line="357" w:lineRule="auto"/>
        <w:ind w:right="126"/>
        <w:rPr>
          <w:rFonts w:ascii="黑体" w:hAnsi="黑体" w:eastAsia="黑体" w:cs="Times New Roman"/>
          <w:w w:val="99"/>
          <w:sz w:val="32"/>
          <w:szCs w:val="32"/>
        </w:rPr>
      </w:pPr>
      <w:bookmarkStart w:id="4" w:name="_GoBack"/>
      <w:bookmarkEnd w:id="4"/>
      <w:r>
        <w:rPr>
          <w:rFonts w:hint="eastAsia" w:ascii="黑体" w:hAnsi="黑体" w:eastAsia="黑体" w:cs="Times New Roman"/>
          <w:sz w:val="32"/>
          <w:szCs w:val="32"/>
        </w:rPr>
        <w:t>第二部分</w:t>
      </w:r>
      <w:r>
        <w:rPr>
          <w:rFonts w:hint="eastAsia" w:ascii="黑体" w:hAnsi="黑体" w:eastAsia="黑体" w:cs="Times New Roman"/>
          <w:spacing w:val="-5"/>
          <w:sz w:val="32"/>
          <w:szCs w:val="32"/>
        </w:rPr>
        <w:t xml:space="preserve"> 淮滨县房产服务中心</w:t>
      </w:r>
      <w:r>
        <w:rPr>
          <w:rFonts w:hint="eastAsia" w:ascii="黑体" w:hAnsi="黑体" w:eastAsia="黑体" w:cs="Times New Roman"/>
          <w:sz w:val="32"/>
          <w:szCs w:val="32"/>
        </w:rPr>
        <w:t>202</w:t>
      </w:r>
      <w:r>
        <w:rPr>
          <w:rFonts w:hint="eastAsia" w:ascii="黑体" w:hAnsi="黑体" w:eastAsia="黑体" w:cs="Times New Roman"/>
          <w:sz w:val="32"/>
          <w:szCs w:val="32"/>
          <w:lang w:val="en-US" w:eastAsia="zh-CN"/>
        </w:rPr>
        <w:t>3</w:t>
      </w:r>
      <w:r>
        <w:rPr>
          <w:rFonts w:hint="eastAsia" w:ascii="黑体" w:hAnsi="黑体" w:eastAsia="黑体" w:cs="Times New Roman"/>
          <w:spacing w:val="-83"/>
          <w:sz w:val="32"/>
          <w:szCs w:val="32"/>
        </w:rPr>
        <w:t xml:space="preserve"> </w:t>
      </w:r>
      <w:r>
        <w:rPr>
          <w:rFonts w:hint="eastAsia" w:ascii="黑体" w:hAnsi="黑体" w:eastAsia="黑体" w:cs="Times New Roman"/>
          <w:sz w:val="32"/>
          <w:szCs w:val="32"/>
        </w:rPr>
        <w:t>年度部门预算情况说明</w:t>
      </w:r>
      <w:r>
        <w:rPr>
          <w:rFonts w:hint="eastAsia" w:ascii="黑体" w:hAnsi="黑体" w:eastAsia="黑体" w:cs="Times New Roman"/>
          <w:w w:val="99"/>
          <w:sz w:val="32"/>
          <w:szCs w:val="32"/>
        </w:rPr>
        <w:t xml:space="preserve"> </w:t>
      </w:r>
    </w:p>
    <w:p>
      <w:pPr>
        <w:kinsoku w:val="0"/>
        <w:overflowPunct w:val="0"/>
        <w:autoSpaceDE w:val="0"/>
        <w:autoSpaceDN w:val="0"/>
        <w:adjustRightInd w:val="0"/>
        <w:spacing w:before="12" w:line="357" w:lineRule="auto"/>
        <w:ind w:right="126"/>
        <w:rPr>
          <w:rFonts w:ascii="黑体" w:hAnsi="黑体" w:eastAsia="黑体" w:cs="Times New Roman"/>
          <w:sz w:val="32"/>
          <w:szCs w:val="32"/>
        </w:rPr>
      </w:pPr>
      <w:r>
        <w:rPr>
          <w:rFonts w:hint="eastAsia" w:ascii="黑体" w:hAnsi="黑体" w:eastAsia="黑体" w:cs="Times New Roman"/>
          <w:sz w:val="32"/>
          <w:szCs w:val="32"/>
        </w:rPr>
        <w:t>第三部分</w:t>
      </w:r>
      <w:r>
        <w:rPr>
          <w:rFonts w:hint="eastAsia" w:ascii="黑体" w:hAnsi="黑体" w:eastAsia="黑体" w:cs="Times New Roman"/>
          <w:spacing w:val="-3"/>
          <w:sz w:val="32"/>
          <w:szCs w:val="32"/>
        </w:rPr>
        <w:t xml:space="preserve"> </w:t>
      </w:r>
      <w:r>
        <w:rPr>
          <w:rFonts w:hint="eastAsia" w:ascii="黑体" w:hAnsi="黑体" w:eastAsia="黑体" w:cs="Times New Roman"/>
          <w:sz w:val="32"/>
          <w:szCs w:val="32"/>
        </w:rPr>
        <w:t>名词解释</w:t>
      </w:r>
    </w:p>
    <w:p>
      <w:pPr>
        <w:kinsoku w:val="0"/>
        <w:overflowPunct w:val="0"/>
        <w:autoSpaceDE w:val="0"/>
        <w:autoSpaceDN w:val="0"/>
        <w:adjustRightInd w:val="0"/>
        <w:spacing w:before="48" w:line="345" w:lineRule="auto"/>
        <w:ind w:right="766"/>
        <w:rPr>
          <w:rFonts w:ascii="黑体" w:hAnsi="黑体" w:eastAsia="黑体" w:cs="Times New Roman"/>
          <w:sz w:val="32"/>
          <w:szCs w:val="32"/>
        </w:rPr>
      </w:pPr>
      <w:r>
        <w:rPr>
          <w:rFonts w:hint="eastAsia" w:ascii="黑体" w:hAnsi="黑体" w:eastAsia="黑体" w:cs="Times New Roman"/>
          <w:sz w:val="32"/>
          <w:szCs w:val="32"/>
        </w:rPr>
        <w:t>附件：淮滨县房产服务中心</w:t>
      </w:r>
      <w:r>
        <w:rPr>
          <w:rFonts w:hint="eastAsia" w:ascii="黑体" w:hAnsi="黑体" w:eastAsia="黑体" w:cs="Times New Roman"/>
          <w:sz w:val="32"/>
          <w:szCs w:val="32"/>
          <w:lang w:eastAsia="zh-CN"/>
        </w:rPr>
        <w:t>2023年</w:t>
      </w:r>
      <w:r>
        <w:rPr>
          <w:rFonts w:hint="eastAsia" w:ascii="黑体" w:hAnsi="黑体" w:eastAsia="黑体" w:cs="Times New Roman"/>
          <w:sz w:val="32"/>
          <w:szCs w:val="32"/>
        </w:rPr>
        <w:t>度部门预算表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部门收入预算表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财政拨款收支预算表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一般公共预算基本支出预算表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支出经济分类汇总表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一般公共预算“三公”经费预算表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政府性基金支出预算表</w:t>
      </w:r>
    </w:p>
    <w:p>
      <w:pPr>
        <w:numPr>
          <w:ilvl w:val="0"/>
          <w:numId w:val="1"/>
        </w:numPr>
        <w:kinsoku w:val="0"/>
        <w:overflowPunct w:val="0"/>
        <w:autoSpaceDE w:val="0"/>
        <w:autoSpaceDN w:val="0"/>
        <w:adjustRightInd w:val="0"/>
        <w:spacing w:before="48" w:line="560" w:lineRule="exact"/>
        <w:ind w:right="765" w:firstLine="28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国有资本经营支出预算表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项目支出预算表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政府采购预算表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部门(单位)整体绩效目标表</w:t>
      </w:r>
    </w:p>
    <w:p>
      <w:pPr>
        <w:numPr>
          <w:ilvl w:val="0"/>
          <w:numId w:val="1"/>
        </w:numPr>
        <w:kinsoku w:val="0"/>
        <w:overflowPunct w:val="0"/>
        <w:autoSpaceDE w:val="0"/>
        <w:autoSpaceDN w:val="0"/>
        <w:adjustRightInd w:val="0"/>
        <w:spacing w:before="48" w:line="560" w:lineRule="exact"/>
        <w:ind w:right="765" w:firstLine="320" w:firstLineChars="100"/>
        <w:rPr>
          <w:rFonts w:ascii="仿宋" w:hAnsi="仿宋" w:eastAsia="仿宋" w:cs="Times New Roman"/>
          <w:sz w:val="32"/>
          <w:szCs w:val="32"/>
        </w:rPr>
      </w:pPr>
      <w:r>
        <w:rPr>
          <w:rFonts w:hint="eastAsia" w:ascii="仿宋" w:hAnsi="仿宋" w:eastAsia="仿宋" w:cs="Times New Roman"/>
          <w:sz w:val="32"/>
          <w:szCs w:val="32"/>
          <w:lang w:eastAsia="zh-CN"/>
        </w:rPr>
        <w:t>2023年</w:t>
      </w:r>
      <w:r>
        <w:rPr>
          <w:rFonts w:hint="eastAsia" w:ascii="仿宋" w:hAnsi="仿宋" w:eastAsia="仿宋" w:cs="Times New Roman"/>
          <w:sz w:val="32"/>
          <w:szCs w:val="32"/>
        </w:rPr>
        <w:t>部门(单位)预算项目绩效目标表</w:t>
      </w: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kinsoku w:val="0"/>
        <w:overflowPunct w:val="0"/>
        <w:autoSpaceDE w:val="0"/>
        <w:autoSpaceDN w:val="0"/>
        <w:adjustRightInd w:val="0"/>
        <w:spacing w:before="48" w:line="560" w:lineRule="exact"/>
        <w:ind w:right="765"/>
        <w:rPr>
          <w:rFonts w:ascii="仿宋" w:hAnsi="仿宋" w:eastAsia="仿宋" w:cs="Times New Roman"/>
          <w:sz w:val="32"/>
          <w:szCs w:val="32"/>
        </w:rPr>
      </w:pPr>
    </w:p>
    <w:p>
      <w:pPr>
        <w:pStyle w:val="3"/>
        <w:numPr>
          <w:ilvl w:val="0"/>
          <w:numId w:val="2"/>
        </w:numPr>
        <w:tabs>
          <w:tab w:val="left" w:pos="880"/>
        </w:tabs>
        <w:kinsoku w:val="0"/>
        <w:overflowPunct w:val="0"/>
        <w:spacing w:before="0"/>
        <w:jc w:val="center"/>
        <w:rPr>
          <w:rFonts w:hint="default" w:ascii="黑体" w:hAnsi="黑体" w:eastAsia="黑体" w:cs="黑体"/>
          <w:b/>
          <w:sz w:val="36"/>
          <w:szCs w:val="36"/>
        </w:rPr>
      </w:pPr>
    </w:p>
    <w:p>
      <w:pPr>
        <w:pStyle w:val="3"/>
        <w:tabs>
          <w:tab w:val="left" w:pos="880"/>
        </w:tabs>
        <w:kinsoku w:val="0"/>
        <w:overflowPunct w:val="0"/>
        <w:spacing w:before="0"/>
        <w:ind w:left="0"/>
        <w:jc w:val="center"/>
        <w:rPr>
          <w:rFonts w:hint="default" w:ascii="黑体" w:hAnsi="黑体" w:eastAsia="黑体" w:cs="黑体"/>
          <w:b/>
          <w:sz w:val="36"/>
          <w:szCs w:val="36"/>
        </w:rPr>
      </w:pPr>
      <w:r>
        <w:rPr>
          <w:rFonts w:hint="eastAsia" w:ascii="黑体" w:hAnsi="黑体" w:eastAsia="黑体" w:cs="黑体"/>
          <w:b/>
          <w:sz w:val="36"/>
          <w:szCs w:val="36"/>
        </w:rPr>
        <w:t>淮滨县房产服务中心</w:t>
      </w:r>
      <w:r>
        <w:rPr>
          <w:rFonts w:ascii="黑体" w:hAnsi="黑体" w:eastAsia="黑体" w:cs="黑体"/>
          <w:b/>
          <w:sz w:val="36"/>
          <w:szCs w:val="36"/>
        </w:rPr>
        <w:t>概况</w:t>
      </w:r>
    </w:p>
    <w:p>
      <w:pPr>
        <w:pStyle w:val="3"/>
        <w:numPr>
          <w:ilvl w:val="0"/>
          <w:numId w:val="3"/>
        </w:numPr>
        <w:tabs>
          <w:tab w:val="left" w:pos="880"/>
        </w:tabs>
        <w:kinsoku w:val="0"/>
        <w:overflowPunct w:val="0"/>
        <w:spacing w:before="0"/>
        <w:ind w:firstLine="640" w:firstLineChars="200"/>
        <w:jc w:val="left"/>
        <w:rPr>
          <w:rFonts w:hint="default" w:ascii="黑体" w:hAnsi="黑体" w:eastAsia="黑体" w:cs="黑体"/>
          <w:bCs/>
          <w:szCs w:val="32"/>
        </w:rPr>
      </w:pPr>
      <w:r>
        <w:rPr>
          <w:rFonts w:hint="eastAsia" w:ascii="黑体" w:hAnsi="黑体" w:eastAsia="黑体" w:cs="黑体"/>
          <w:bCs/>
          <w:szCs w:val="32"/>
        </w:rPr>
        <w:t>淮滨县房产服务中心</w:t>
      </w:r>
      <w:r>
        <w:rPr>
          <w:rFonts w:ascii="黑体" w:hAnsi="黑体" w:eastAsia="黑体" w:cs="黑体"/>
          <w:bCs/>
          <w:szCs w:val="32"/>
        </w:rPr>
        <w:t>主要职责</w:t>
      </w:r>
    </w:p>
    <w:p>
      <w:pPr>
        <w:pStyle w:val="3"/>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_GB2312" w:hAnsi="仿宋_GB2312" w:eastAsia="仿宋_GB2312" w:cs="仿宋_GB2312"/>
          <w:bCs/>
          <w:szCs w:val="32"/>
        </w:rPr>
        <w:t>淮滨县房产服务中心</w:t>
      </w:r>
      <w:r>
        <w:rPr>
          <w:rFonts w:ascii="仿宋_GB2312" w:hAnsi="仿宋_GB2312" w:eastAsia="仿宋_GB2312" w:cs="仿宋_GB2312"/>
          <w:bCs/>
          <w:szCs w:val="32"/>
        </w:rPr>
        <w:t>主要职责是：</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 w:hAnsi="仿宋" w:eastAsia="仿宋" w:cs="仿宋"/>
          <w:sz w:val="32"/>
          <w:szCs w:val="32"/>
        </w:rPr>
        <w:t>负责全县房产业的行业管理和行政执法监督工作；</w:t>
      </w:r>
      <w:r>
        <w:rPr>
          <w:rFonts w:hint="eastAsia" w:ascii="仿宋" w:hAnsi="仿宋" w:eastAsia="仿宋" w:cs="仿宋"/>
          <w:sz w:val="32"/>
          <w:szCs w:val="32"/>
          <w:lang w:val="en-US" w:eastAsia="zh-CN"/>
        </w:rPr>
        <w:t>贯彻执行国家，省 市有关房产业的法律、法规、政策：拟定全县房产管理的规范性文件，并组织实施：查处违反房产法律法规的违法行为。</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 w:hAnsi="仿宋" w:eastAsia="仿宋" w:cs="仿宋"/>
          <w:sz w:val="32"/>
          <w:szCs w:val="32"/>
        </w:rPr>
        <w:t>负责全县房产开发行业管理；</w:t>
      </w:r>
      <w:r>
        <w:rPr>
          <w:rFonts w:hint="eastAsia" w:ascii="仿宋" w:hAnsi="仿宋" w:eastAsia="仿宋" w:cs="仿宋"/>
          <w:sz w:val="32"/>
          <w:szCs w:val="32"/>
          <w:lang w:val="en-US" w:eastAsia="zh-CN"/>
        </w:rPr>
        <w:t>负责全县房产开发企业的资质管理，动态考核和房产开发经营活动的监督管理工作。</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 w:hAnsi="仿宋" w:eastAsia="仿宋" w:cs="仿宋"/>
          <w:sz w:val="32"/>
          <w:szCs w:val="32"/>
          <w:lang w:val="en-US" w:eastAsia="zh-CN"/>
        </w:rPr>
        <w:t>负责全县公租房，经济适用住房审核，申报，建设等监管工作</w:t>
      </w:r>
      <w:r>
        <w:rPr>
          <w:rFonts w:hint="eastAsia" w:ascii="仿宋" w:hAnsi="仿宋" w:eastAsia="仿宋" w:cs="仿宋"/>
          <w:sz w:val="32"/>
          <w:szCs w:val="32"/>
        </w:rPr>
        <w:t>；</w:t>
      </w:r>
      <w:r>
        <w:rPr>
          <w:rFonts w:hint="eastAsia" w:ascii="仿宋" w:hAnsi="仿宋" w:eastAsia="仿宋" w:cs="仿宋"/>
          <w:sz w:val="32"/>
          <w:szCs w:val="32"/>
          <w:lang w:val="en-US" w:eastAsia="zh-CN"/>
        </w:rPr>
        <w:t>责县级困难企业集资建房的审批监管工作</w:t>
      </w:r>
      <w:r>
        <w:rPr>
          <w:rFonts w:hint="eastAsia" w:ascii="仿宋" w:hAnsi="仿宋" w:eastAsia="仿宋" w:cs="仿宋"/>
          <w:sz w:val="32"/>
          <w:szCs w:val="32"/>
        </w:rPr>
        <w:t>；</w:t>
      </w:r>
      <w:r>
        <w:rPr>
          <w:rFonts w:hint="eastAsia" w:ascii="仿宋" w:hAnsi="仿宋" w:eastAsia="仿宋" w:cs="仿宋"/>
          <w:sz w:val="32"/>
          <w:szCs w:val="32"/>
          <w:lang w:val="en-US" w:eastAsia="zh-CN"/>
        </w:rPr>
        <w:t>负责全县住房制度改革工作</w:t>
      </w:r>
      <w:r>
        <w:rPr>
          <w:rFonts w:hint="eastAsia" w:ascii="仿宋" w:hAnsi="仿宋" w:eastAsia="仿宋" w:cs="仿宋"/>
          <w:sz w:val="32"/>
          <w:szCs w:val="32"/>
        </w:rPr>
        <w:t>；</w:t>
      </w:r>
      <w:r>
        <w:rPr>
          <w:rFonts w:hint="eastAsia" w:ascii="仿宋" w:hAnsi="仿宋" w:eastAsia="仿宋" w:cs="仿宋"/>
          <w:sz w:val="32"/>
          <w:szCs w:val="32"/>
          <w:lang w:val="en-US" w:eastAsia="zh-CN"/>
        </w:rPr>
        <w:t>贯彻落实国家住房制度改革的方针，政策和措施</w:t>
      </w:r>
      <w:r>
        <w:rPr>
          <w:rFonts w:hint="eastAsia" w:ascii="仿宋" w:hAnsi="仿宋" w:eastAsia="仿宋" w:cs="仿宋"/>
          <w:sz w:val="32"/>
          <w:szCs w:val="32"/>
        </w:rPr>
        <w:t>；</w:t>
      </w:r>
      <w:r>
        <w:rPr>
          <w:rFonts w:hint="eastAsia" w:ascii="仿宋" w:hAnsi="仿宋" w:eastAsia="仿宋" w:cs="仿宋"/>
          <w:sz w:val="32"/>
          <w:szCs w:val="32"/>
          <w:lang w:val="en-US" w:eastAsia="zh-CN"/>
        </w:rPr>
        <w:t>研究拟定全县有关住房制度改革的具体政策和实施办法</w:t>
      </w:r>
      <w:r>
        <w:rPr>
          <w:rFonts w:hint="eastAsia" w:ascii="仿宋" w:hAnsi="仿宋" w:eastAsia="仿宋" w:cs="仿宋"/>
          <w:sz w:val="32"/>
          <w:szCs w:val="32"/>
        </w:rPr>
        <w:t>；</w:t>
      </w:r>
      <w:r>
        <w:rPr>
          <w:rFonts w:hint="eastAsia" w:ascii="仿宋" w:hAnsi="仿宋" w:eastAsia="仿宋" w:cs="仿宋"/>
          <w:sz w:val="32"/>
          <w:szCs w:val="32"/>
          <w:lang w:val="en-US" w:eastAsia="zh-CN"/>
        </w:rPr>
        <w:t>负责住房分配货币化的实施和发放住房补贴审核工作</w:t>
      </w:r>
      <w:r>
        <w:rPr>
          <w:rFonts w:hint="eastAsia" w:ascii="仿宋" w:hAnsi="仿宋" w:eastAsia="仿宋" w:cs="仿宋"/>
          <w:sz w:val="32"/>
          <w:szCs w:val="32"/>
        </w:rPr>
        <w:t>；</w:t>
      </w:r>
      <w:r>
        <w:rPr>
          <w:rFonts w:hint="eastAsia" w:ascii="仿宋" w:hAnsi="仿宋" w:eastAsia="仿宋" w:cs="仿宋"/>
          <w:sz w:val="32"/>
          <w:szCs w:val="32"/>
          <w:lang w:val="en-US" w:eastAsia="zh-CN"/>
        </w:rPr>
        <w:t>负责城区棚户区，工矿棚户区改造项目立项审批，资金使用的监管及改造建设的监管等工作。</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 w:hAnsi="仿宋" w:eastAsia="仿宋" w:cs="仿宋"/>
          <w:sz w:val="32"/>
          <w:szCs w:val="32"/>
        </w:rPr>
        <w:t>负责全县房产交易市场管理</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负责商品房预售管理和商品预售款的监管工作，办理商品房预售合同备案，管理辖区房地产转让，买卖、租赁、抵押、交换、赠与等交易行为</w:t>
      </w:r>
      <w:r>
        <w:rPr>
          <w:rFonts w:hint="eastAsia" w:ascii="仿宋" w:hAnsi="仿宋" w:eastAsia="仿宋" w:cs="仿宋"/>
          <w:sz w:val="32"/>
          <w:szCs w:val="32"/>
        </w:rPr>
        <w:t>；</w:t>
      </w:r>
      <w:r>
        <w:rPr>
          <w:rFonts w:hint="eastAsia" w:ascii="仿宋" w:hAnsi="仿宋" w:eastAsia="仿宋" w:cs="仿宋"/>
          <w:sz w:val="32"/>
          <w:szCs w:val="32"/>
          <w:lang w:val="en-US" w:eastAsia="zh-CN"/>
        </w:rPr>
        <w:t>参与城镇有土地使用权出让方案的制定，指导城镇国有土地使用权有偿转让和开发利用工作。</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 w:hAnsi="仿宋" w:eastAsia="仿宋" w:cs="仿宋"/>
          <w:sz w:val="32"/>
          <w:szCs w:val="32"/>
        </w:rPr>
        <w:t>负责编制县旧城改造总体规划和年度计划，并组织实施；</w:t>
      </w:r>
      <w:r>
        <w:rPr>
          <w:rFonts w:hint="eastAsia" w:ascii="仿宋" w:hAnsi="仿宋" w:eastAsia="仿宋" w:cs="仿宋"/>
          <w:sz w:val="32"/>
          <w:szCs w:val="32"/>
          <w:lang w:val="en-US" w:eastAsia="zh-CN"/>
        </w:rPr>
        <w:t xml:space="preserve">负责全县国有土地上的房屋征收管理和拆迁单位资格认证工作 </w:t>
      </w:r>
      <w:r>
        <w:rPr>
          <w:rFonts w:hint="eastAsia" w:ascii="仿宋" w:hAnsi="仿宋" w:eastAsia="仿宋" w:cs="仿宋"/>
          <w:sz w:val="32"/>
          <w:szCs w:val="32"/>
        </w:rPr>
        <w:t>；</w:t>
      </w:r>
      <w:r>
        <w:rPr>
          <w:rFonts w:hint="eastAsia" w:ascii="仿宋" w:hAnsi="仿宋" w:eastAsia="仿宋" w:cs="仿宋"/>
          <w:sz w:val="32"/>
          <w:szCs w:val="32"/>
          <w:lang w:val="en-US" w:eastAsia="zh-CN"/>
        </w:rPr>
        <w:t>规范房屋征收市场</w:t>
      </w:r>
      <w:r>
        <w:rPr>
          <w:rFonts w:hint="eastAsia" w:ascii="仿宋" w:hAnsi="仿宋" w:eastAsia="仿宋" w:cs="仿宋"/>
          <w:sz w:val="32"/>
          <w:szCs w:val="32"/>
        </w:rPr>
        <w:t>；</w:t>
      </w:r>
      <w:r>
        <w:rPr>
          <w:rFonts w:hint="eastAsia" w:ascii="仿宋" w:hAnsi="仿宋" w:eastAsia="仿宋" w:cs="仿宋"/>
          <w:sz w:val="32"/>
          <w:szCs w:val="32"/>
          <w:lang w:val="en-US" w:eastAsia="zh-CN"/>
        </w:rPr>
        <w:t>监管征收补偿安置资金</w:t>
      </w:r>
      <w:r>
        <w:rPr>
          <w:rFonts w:hint="eastAsia" w:ascii="仿宋" w:hAnsi="仿宋" w:eastAsia="仿宋" w:cs="仿宋"/>
          <w:sz w:val="32"/>
          <w:szCs w:val="32"/>
        </w:rPr>
        <w:t>；</w:t>
      </w:r>
      <w:r>
        <w:rPr>
          <w:rFonts w:hint="eastAsia" w:ascii="仿宋" w:hAnsi="仿宋" w:eastAsia="仿宋" w:cs="仿宋"/>
          <w:sz w:val="32"/>
          <w:szCs w:val="32"/>
          <w:lang w:val="en-US" w:eastAsia="zh-CN"/>
        </w:rPr>
        <w:t>裁决征收纠纷</w:t>
      </w:r>
      <w:r>
        <w:rPr>
          <w:rFonts w:hint="eastAsia" w:ascii="仿宋" w:hAnsi="仿宋" w:eastAsia="仿宋" w:cs="仿宋"/>
          <w:sz w:val="32"/>
          <w:szCs w:val="32"/>
        </w:rPr>
        <w:t>；</w:t>
      </w:r>
      <w:r>
        <w:rPr>
          <w:rFonts w:hint="eastAsia" w:ascii="仿宋" w:hAnsi="仿宋" w:eastAsia="仿宋" w:cs="仿宋"/>
          <w:sz w:val="32"/>
          <w:szCs w:val="32"/>
          <w:lang w:val="en-US" w:eastAsia="zh-CN"/>
        </w:rPr>
        <w:t>负责房屋征收公告的发布</w:t>
      </w:r>
      <w:r>
        <w:rPr>
          <w:rFonts w:hint="eastAsia" w:ascii="仿宋" w:hAnsi="仿宋" w:eastAsia="仿宋" w:cs="仿宋"/>
          <w:sz w:val="32"/>
          <w:szCs w:val="32"/>
        </w:rPr>
        <w:t>；</w:t>
      </w:r>
      <w:r>
        <w:rPr>
          <w:rFonts w:hint="eastAsia" w:ascii="仿宋" w:hAnsi="仿宋" w:eastAsia="仿宋" w:cs="仿宋"/>
          <w:sz w:val="32"/>
          <w:szCs w:val="32"/>
          <w:lang w:val="en-US" w:eastAsia="zh-CN"/>
        </w:rPr>
        <w:t>裁决城市房屋征收安置补偿争议</w:t>
      </w:r>
      <w:r>
        <w:rPr>
          <w:rFonts w:hint="eastAsia" w:ascii="仿宋" w:hAnsi="仿宋" w:eastAsia="仿宋" w:cs="仿宋"/>
          <w:sz w:val="32"/>
          <w:szCs w:val="32"/>
        </w:rPr>
        <w:t>；负责全县房屋安全管理和危险房屋鉴定工作；</w:t>
      </w:r>
      <w:r>
        <w:rPr>
          <w:rFonts w:hint="eastAsia" w:ascii="仿宋" w:hAnsi="仿宋" w:eastAsia="仿宋" w:cs="仿宋"/>
          <w:sz w:val="32"/>
          <w:szCs w:val="32"/>
          <w:lang w:val="en-US" w:eastAsia="zh-CN"/>
        </w:rPr>
        <w:t>负责县本级直管公房的修缮管理工作。</w:t>
      </w:r>
      <w:r>
        <w:rPr>
          <w:rFonts w:hint="eastAsia" w:ascii="仿宋" w:hAnsi="仿宋" w:eastAsia="仿宋" w:cs="仿宋"/>
          <w:sz w:val="32"/>
          <w:szCs w:val="32"/>
        </w:rPr>
        <w:t>负责全县物业管理工作，规范物业管理市场；</w:t>
      </w:r>
      <w:r>
        <w:rPr>
          <w:rFonts w:hint="eastAsia" w:ascii="仿宋" w:hAnsi="仿宋" w:eastAsia="仿宋" w:cs="仿宋"/>
          <w:sz w:val="32"/>
          <w:szCs w:val="32"/>
          <w:lang w:val="en-US" w:eastAsia="zh-CN"/>
        </w:rPr>
        <w:t>负责物业管理企业资质审批，业务指导和动态考核工作</w:t>
      </w:r>
      <w:r>
        <w:rPr>
          <w:rFonts w:hint="eastAsia" w:ascii="仿宋" w:hAnsi="仿宋" w:eastAsia="仿宋" w:cs="仿宋"/>
          <w:sz w:val="32"/>
          <w:szCs w:val="32"/>
        </w:rPr>
        <w:t>；</w:t>
      </w:r>
      <w:r>
        <w:rPr>
          <w:rFonts w:hint="eastAsia" w:ascii="仿宋" w:hAnsi="仿宋" w:eastAsia="仿宋" w:cs="仿宋"/>
          <w:sz w:val="32"/>
          <w:szCs w:val="32"/>
          <w:lang w:val="en-US" w:eastAsia="zh-CN"/>
        </w:rPr>
        <w:t>负责全县房屋维修资金的建立，归集及使用审批</w:t>
      </w:r>
      <w:r>
        <w:rPr>
          <w:rFonts w:hint="eastAsia" w:ascii="仿宋" w:hAnsi="仿宋" w:eastAsia="仿宋" w:cs="仿宋"/>
          <w:sz w:val="32"/>
          <w:szCs w:val="32"/>
        </w:rPr>
        <w:t>；</w:t>
      </w:r>
      <w:r>
        <w:rPr>
          <w:rFonts w:hint="eastAsia" w:ascii="仿宋" w:hAnsi="仿宋" w:eastAsia="仿宋" w:cs="仿宋"/>
          <w:sz w:val="32"/>
          <w:szCs w:val="32"/>
          <w:lang w:val="en-US" w:eastAsia="zh-CN"/>
        </w:rPr>
        <w:t>负责指导住宅小区业主委员会的组建及备案工作。</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 w:hAnsi="仿宋" w:eastAsia="仿宋" w:cs="仿宋"/>
          <w:sz w:val="32"/>
          <w:szCs w:val="32"/>
        </w:rPr>
        <w:t>负责全县房产市场统计分析，做好房地产市场预警、预测、预报工作；</w:t>
      </w:r>
      <w:r>
        <w:rPr>
          <w:rFonts w:hint="eastAsia" w:ascii="仿宋" w:hAnsi="仿宋" w:eastAsia="仿宋" w:cs="仿宋"/>
          <w:sz w:val="32"/>
          <w:szCs w:val="32"/>
          <w:lang w:val="en-US" w:eastAsia="zh-CN"/>
        </w:rPr>
        <w:t>为房地产业的发展和政府决策提供科学依据。</w:t>
      </w:r>
    </w:p>
    <w:p>
      <w:pPr>
        <w:pStyle w:val="3"/>
        <w:numPr>
          <w:ilvl w:val="0"/>
          <w:numId w:val="4"/>
        </w:numPr>
        <w:tabs>
          <w:tab w:val="left" w:pos="880"/>
        </w:tabs>
        <w:kinsoku w:val="0"/>
        <w:overflowPunct w:val="0"/>
        <w:spacing w:before="0"/>
        <w:ind w:left="420" w:leftChars="200" w:firstLine="320" w:firstLineChars="100"/>
        <w:jc w:val="left"/>
        <w:rPr>
          <w:rFonts w:hint="default" w:ascii="仿宋_GB2312" w:hAnsi="仿宋_GB2312" w:eastAsia="仿宋_GB2312" w:cs="仿宋_GB2312"/>
          <w:bCs/>
          <w:szCs w:val="32"/>
        </w:rPr>
      </w:pPr>
      <w:r>
        <w:rPr>
          <w:rFonts w:hint="eastAsia" w:ascii="仿宋" w:hAnsi="仿宋" w:eastAsia="仿宋" w:cs="仿宋"/>
          <w:sz w:val="32"/>
          <w:szCs w:val="32"/>
        </w:rPr>
        <w:t>负责房产业的科技进步、职工教育和队伍建设</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组织协调房产行业对外交流合作。</w:t>
      </w:r>
    </w:p>
    <w:p>
      <w:pPr>
        <w:ind w:firstLine="640" w:firstLineChars="200"/>
        <w:jc w:val="left"/>
        <w:rPr>
          <w:rFonts w:hint="eastAsia" w:ascii="仿宋_GB2312" w:hAnsi="仿宋_GB2312" w:eastAsia="仿宋_GB2312" w:cs="仿宋_GB2312"/>
          <w:bCs/>
          <w:sz w:val="32"/>
          <w:szCs w:val="32"/>
        </w:rPr>
      </w:pPr>
    </w:p>
    <w:p>
      <w:pPr>
        <w:kinsoku w:val="0"/>
        <w:overflowPunct w:val="0"/>
        <w:adjustRightInd w:val="0"/>
        <w:snapToGrid w:val="0"/>
        <w:spacing w:line="360" w:lineRule="auto"/>
        <w:ind w:right="51" w:firstLine="643" w:firstLineChars="200"/>
        <w:jc w:val="left"/>
        <w:rPr>
          <w:rFonts w:hint="eastAsia" w:ascii="仿宋_GB2312" w:hAnsi="仿宋_GB2312" w:eastAsia="仿宋_GB2312" w:cs="仿宋_GB2312"/>
          <w:b/>
          <w:bCs/>
          <w:color w:val="000000"/>
          <w:sz w:val="32"/>
          <w:szCs w:val="32"/>
          <w:highlight w:val="none"/>
        </w:rPr>
      </w:pPr>
      <w:r>
        <w:rPr>
          <w:rFonts w:hint="eastAsia" w:ascii="仿宋_GB2312" w:hAnsi="仿宋_GB2312" w:eastAsia="仿宋_GB2312" w:cs="仿宋_GB2312"/>
          <w:b/>
          <w:bCs/>
          <w:color w:val="000000"/>
          <w:sz w:val="32"/>
          <w:szCs w:val="32"/>
          <w:highlight w:val="none"/>
        </w:rPr>
        <w:t>二、内设机构设置情况</w:t>
      </w:r>
    </w:p>
    <w:p>
      <w:pPr>
        <w:snapToGrid w:val="0"/>
        <w:spacing w:line="640" w:lineRule="exact"/>
        <w:ind w:firstLine="640" w:firstLineChars="200"/>
        <w:rPr>
          <w:rFonts w:hint="eastAsia" w:ascii="仿宋" w:hAnsi="仿宋" w:eastAsia="仿宋_GB2312" w:cs="仿宋"/>
          <w:b/>
          <w:bCs/>
          <w:sz w:val="32"/>
          <w:szCs w:val="32"/>
          <w:highlight w:val="none"/>
          <w:lang w:val="en-US" w:eastAsia="zh-CN"/>
        </w:rPr>
      </w:pPr>
      <w:r>
        <w:rPr>
          <w:rFonts w:hint="eastAsia" w:ascii="仿宋" w:hAnsi="仿宋" w:eastAsia="仿宋" w:cs="仿宋"/>
          <w:sz w:val="32"/>
          <w:szCs w:val="32"/>
          <w:highlight w:val="none"/>
        </w:rPr>
        <w:t>淮滨县房产管理中心机关内设</w:t>
      </w:r>
      <w:r>
        <w:rPr>
          <w:rFonts w:hint="eastAsia" w:ascii="仿宋_GB2312" w:hAnsi="仿宋_GB2312" w:eastAsia="仿宋_GB2312" w:cs="仿宋_GB2312"/>
          <w:bCs/>
          <w:sz w:val="32"/>
          <w:szCs w:val="32"/>
        </w:rPr>
        <w:t>办公室、</w:t>
      </w:r>
      <w:r>
        <w:rPr>
          <w:rFonts w:hint="eastAsia" w:ascii="仿宋_GB2312" w:hAnsi="仿宋_GB2312" w:eastAsia="仿宋_GB2312" w:cs="仿宋_GB2312"/>
          <w:bCs/>
          <w:sz w:val="32"/>
          <w:szCs w:val="32"/>
          <w:lang w:eastAsia="zh-CN"/>
        </w:rPr>
        <w:t>信访室</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物业股</w:t>
      </w:r>
      <w:r>
        <w:rPr>
          <w:rFonts w:hint="eastAsia" w:ascii="仿宋_GB2312" w:hAnsi="仿宋_GB2312" w:eastAsia="仿宋_GB2312" w:cs="仿宋_GB2312"/>
          <w:bCs/>
          <w:sz w:val="32"/>
          <w:szCs w:val="32"/>
        </w:rPr>
        <w:t>、</w:t>
      </w:r>
      <w:r>
        <w:rPr>
          <w:rFonts w:hint="eastAsia" w:ascii="仿宋_GB2312" w:hAnsi="仿宋_GB2312" w:eastAsia="仿宋_GB2312" w:cs="仿宋_GB2312"/>
          <w:bCs/>
          <w:sz w:val="32"/>
          <w:szCs w:val="32"/>
          <w:lang w:eastAsia="zh-CN"/>
        </w:rPr>
        <w:t>监察大队</w:t>
      </w:r>
      <w:r>
        <w:rPr>
          <w:rFonts w:hint="eastAsia" w:ascii="仿宋_GB2312" w:hAnsi="仿宋_GB2312" w:eastAsia="仿宋_GB2312" w:cs="仿宋_GB2312"/>
          <w:bCs/>
          <w:sz w:val="32"/>
          <w:szCs w:val="32"/>
        </w:rPr>
        <w:t>等股室的预算</w:t>
      </w:r>
      <w:r>
        <w:rPr>
          <w:rFonts w:hint="eastAsia" w:ascii="仿宋_GB2312" w:hAnsi="仿宋_GB2312" w:eastAsia="仿宋_GB2312" w:cs="仿宋_GB2312"/>
          <w:bCs/>
          <w:sz w:val="32"/>
          <w:szCs w:val="32"/>
          <w:lang w:eastAsia="zh-CN"/>
        </w:rPr>
        <w:t>。</w:t>
      </w:r>
    </w:p>
    <w:p>
      <w:pPr>
        <w:kinsoku w:val="0"/>
        <w:overflowPunct w:val="0"/>
        <w:adjustRightInd w:val="0"/>
        <w:snapToGrid w:val="0"/>
        <w:spacing w:line="360" w:lineRule="auto"/>
        <w:ind w:right="51" w:firstLine="643" w:firstLineChars="200"/>
        <w:jc w:val="left"/>
        <w:rPr>
          <w:rFonts w:hint="eastAsia" w:ascii="黑体" w:hAnsi="黑体" w:eastAsia="黑体" w:cs="黑体"/>
          <w:sz w:val="32"/>
          <w:szCs w:val="32"/>
          <w:highlight w:val="none"/>
        </w:rPr>
      </w:pPr>
      <w:r>
        <w:rPr>
          <w:rFonts w:hint="eastAsia" w:ascii="仿宋_GB2312" w:hAnsi="仿宋_GB2312" w:eastAsia="仿宋_GB2312" w:cs="仿宋_GB2312"/>
          <w:b/>
          <w:bCs/>
          <w:color w:val="000000"/>
          <w:sz w:val="32"/>
          <w:szCs w:val="32"/>
          <w:highlight w:val="none"/>
        </w:rPr>
        <w:t>三、部门所属预算单位构成</w:t>
      </w:r>
      <w:r>
        <w:rPr>
          <w:rFonts w:hint="eastAsia" w:ascii="黑体" w:hAnsi="黑体" w:eastAsia="黑体" w:cs="黑体"/>
          <w:sz w:val="32"/>
          <w:szCs w:val="32"/>
          <w:highlight w:val="none"/>
        </w:rPr>
        <w:t>情况</w:t>
      </w:r>
    </w:p>
    <w:p>
      <w:pPr>
        <w:ind w:firstLine="640" w:firstLineChars="200"/>
        <w:jc w:val="left"/>
        <w:rPr>
          <w:rFonts w:ascii="仿宋_GB2312" w:hAnsi="仿宋_GB2312" w:eastAsia="仿宋_GB2312" w:cs="仿宋_GB2312"/>
          <w:bCs/>
          <w:sz w:val="32"/>
          <w:szCs w:val="32"/>
        </w:rPr>
      </w:pPr>
      <w:r>
        <w:rPr>
          <w:rFonts w:hint="eastAsia" w:ascii="仿宋_GB2312" w:hAnsi="仿宋_GB2312" w:eastAsia="仿宋_GB2312" w:cs="仿宋_GB2312"/>
          <w:bCs/>
          <w:sz w:val="32"/>
          <w:szCs w:val="32"/>
          <w:highlight w:val="none"/>
        </w:rPr>
        <w:t>淮滨县房产服务中心202</w:t>
      </w:r>
      <w:r>
        <w:rPr>
          <w:rFonts w:hint="eastAsia" w:ascii="仿宋_GB2312" w:hAnsi="仿宋_GB2312" w:eastAsia="仿宋_GB2312" w:cs="仿宋_GB2312"/>
          <w:bCs/>
          <w:sz w:val="32"/>
          <w:szCs w:val="32"/>
          <w:highlight w:val="none"/>
          <w:lang w:val="en-US" w:eastAsia="zh-CN"/>
        </w:rPr>
        <w:t>3</w:t>
      </w:r>
      <w:r>
        <w:rPr>
          <w:rFonts w:hint="eastAsia" w:ascii="仿宋_GB2312" w:hAnsi="仿宋_GB2312" w:eastAsia="仿宋_GB2312" w:cs="仿宋_GB2312"/>
          <w:bCs/>
          <w:sz w:val="32"/>
          <w:szCs w:val="32"/>
          <w:highlight w:val="none"/>
        </w:rPr>
        <w:t>年部门预算包括</w:t>
      </w:r>
      <w:r>
        <w:rPr>
          <w:rFonts w:hint="eastAsia" w:ascii="仿宋_GB2312" w:hAnsi="仿宋_GB2312" w:eastAsia="仿宋_GB2312" w:cs="仿宋_GB2312"/>
          <w:bCs/>
          <w:sz w:val="32"/>
          <w:szCs w:val="32"/>
          <w:highlight w:val="none"/>
          <w:lang w:eastAsia="zh-CN"/>
        </w:rPr>
        <w:t>房产服务中心本单位</w:t>
      </w:r>
      <w:r>
        <w:rPr>
          <w:rFonts w:hint="eastAsia" w:ascii="仿宋_GB2312" w:hAnsi="仿宋_GB2312" w:eastAsia="仿宋_GB2312" w:cs="仿宋_GB2312"/>
          <w:bCs/>
          <w:sz w:val="32"/>
          <w:szCs w:val="32"/>
          <w:highlight w:val="none"/>
        </w:rPr>
        <w:t>预算</w:t>
      </w:r>
      <w:r>
        <w:rPr>
          <w:rFonts w:hint="eastAsia" w:ascii="仿宋_GB2312" w:hAnsi="仿宋_GB2312" w:eastAsia="仿宋_GB2312" w:cs="仿宋_GB2312"/>
          <w:bCs/>
          <w:sz w:val="32"/>
          <w:szCs w:val="32"/>
          <w:highlight w:val="none"/>
          <w:lang w:eastAsia="zh-CN"/>
        </w:rPr>
        <w:t>。</w:t>
      </w:r>
      <w:r>
        <w:rPr>
          <w:rFonts w:hint="eastAsia" w:ascii="仿宋_GB2312" w:hAnsi="仿宋_GB2312" w:eastAsia="仿宋_GB2312" w:cs="仿宋_GB2312"/>
          <w:bCs/>
          <w:sz w:val="32"/>
          <w:szCs w:val="32"/>
          <w:highlight w:val="none"/>
        </w:rPr>
        <w:t>本单位无所属二级机构</w:t>
      </w:r>
      <w:r>
        <w:rPr>
          <w:rFonts w:hint="eastAsia" w:ascii="仿宋_GB2312" w:hAnsi="仿宋_GB2312" w:eastAsia="仿宋_GB2312" w:cs="仿宋_GB2312"/>
          <w:bCs/>
          <w:sz w:val="32"/>
          <w:szCs w:val="32"/>
        </w:rPr>
        <w:t>预算。</w:t>
      </w:r>
    </w:p>
    <w:p>
      <w:pPr>
        <w:ind w:firstLine="640" w:firstLineChars="200"/>
        <w:jc w:val="left"/>
        <w:rPr>
          <w:rFonts w:hint="eastAsia" w:ascii="仿宋_GB2312" w:hAnsi="仿宋_GB2312" w:eastAsia="仿宋_GB2312" w:cs="仿宋_GB2312"/>
          <w:bCs/>
          <w:sz w:val="32"/>
          <w:szCs w:val="32"/>
        </w:rPr>
      </w:pPr>
    </w:p>
    <w:p>
      <w:pPr>
        <w:jc w:val="center"/>
        <w:rPr>
          <w:rFonts w:ascii="黑体" w:hAnsi="黑体" w:eastAsia="黑体" w:cs="黑体"/>
          <w:b/>
          <w:bCs/>
          <w:sz w:val="36"/>
          <w:szCs w:val="36"/>
        </w:rPr>
      </w:pPr>
    </w:p>
    <w:p>
      <w:pPr>
        <w:jc w:val="center"/>
        <w:rPr>
          <w:rFonts w:ascii="黑体" w:hAnsi="黑体" w:eastAsia="黑体" w:cs="黑体"/>
          <w:b/>
          <w:bCs/>
          <w:sz w:val="36"/>
          <w:szCs w:val="36"/>
        </w:rPr>
      </w:pPr>
      <w:r>
        <w:rPr>
          <w:rFonts w:hint="eastAsia" w:ascii="黑体" w:hAnsi="黑体" w:eastAsia="黑体" w:cs="黑体"/>
          <w:b/>
          <w:bCs/>
          <w:sz w:val="36"/>
          <w:szCs w:val="36"/>
        </w:rPr>
        <w:t>第二部分</w:t>
      </w:r>
    </w:p>
    <w:p>
      <w:pPr>
        <w:jc w:val="center"/>
        <w:rPr>
          <w:rFonts w:ascii="黑体" w:hAnsi="黑体" w:eastAsia="黑体" w:cs="黑体"/>
          <w:b/>
          <w:bCs/>
          <w:sz w:val="36"/>
          <w:szCs w:val="36"/>
        </w:rPr>
      </w:pPr>
      <w:r>
        <w:rPr>
          <w:rFonts w:hint="eastAsia" w:ascii="黑体" w:hAnsi="黑体" w:eastAsia="黑体" w:cs="黑体"/>
          <w:b/>
          <w:bCs/>
          <w:sz w:val="36"/>
          <w:szCs w:val="36"/>
        </w:rPr>
        <w:t>淮滨县房产服务中心</w:t>
      </w:r>
      <w:r>
        <w:rPr>
          <w:rFonts w:hint="eastAsia" w:ascii="黑体" w:hAnsi="黑体" w:eastAsia="黑体" w:cs="黑体"/>
          <w:b/>
          <w:bCs/>
          <w:sz w:val="36"/>
          <w:szCs w:val="36"/>
          <w:lang w:eastAsia="zh-CN"/>
        </w:rPr>
        <w:t>2023年</w:t>
      </w:r>
      <w:r>
        <w:rPr>
          <w:rFonts w:hint="eastAsia" w:ascii="黑体" w:hAnsi="黑体" w:eastAsia="黑体" w:cs="黑体"/>
          <w:b/>
          <w:bCs/>
          <w:sz w:val="36"/>
          <w:szCs w:val="36"/>
        </w:rPr>
        <w:t>度部门预算情况说明</w:t>
      </w:r>
    </w:p>
    <w:p>
      <w:pPr>
        <w:jc w:val="center"/>
        <w:rPr>
          <w:rFonts w:ascii="黑体" w:hAnsi="黑体" w:eastAsia="黑体" w:cs="黑体"/>
          <w:b/>
          <w:bCs/>
          <w:sz w:val="36"/>
          <w:szCs w:val="36"/>
        </w:rPr>
      </w:pPr>
    </w:p>
    <w:p>
      <w:pPr>
        <w:numPr>
          <w:ilvl w:val="0"/>
          <w:numId w:val="5"/>
        </w:numPr>
        <w:ind w:firstLine="640"/>
        <w:jc w:val="left"/>
        <w:rPr>
          <w:rFonts w:ascii="黑体" w:hAnsi="黑体" w:eastAsia="黑体" w:cs="黑体"/>
          <w:sz w:val="32"/>
          <w:szCs w:val="32"/>
        </w:rPr>
      </w:pPr>
      <w:r>
        <w:rPr>
          <w:rFonts w:hint="eastAsia" w:ascii="黑体" w:hAnsi="黑体" w:eastAsia="黑体" w:cs="黑体"/>
          <w:sz w:val="32"/>
          <w:szCs w:val="32"/>
        </w:rPr>
        <w:t>收入支出预算总体情况说明</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t>淮滨县房产服务中心</w:t>
      </w:r>
      <w:r>
        <w:rPr>
          <w:rFonts w:hint="eastAsia" w:ascii="仿宋" w:hAnsi="仿宋" w:eastAsia="仿宋" w:cs="仿宋"/>
          <w:sz w:val="32"/>
          <w:szCs w:val="32"/>
          <w:lang w:eastAsia="zh-CN"/>
        </w:rPr>
        <w:t>2023年</w:t>
      </w:r>
      <w:r>
        <w:rPr>
          <w:rFonts w:hint="eastAsia" w:ascii="仿宋" w:hAnsi="仿宋" w:eastAsia="仿宋" w:cs="仿宋"/>
          <w:sz w:val="32"/>
          <w:szCs w:val="32"/>
        </w:rPr>
        <w:t>收入总计</w:t>
      </w:r>
      <w:r>
        <w:rPr>
          <w:rFonts w:hint="eastAsia" w:ascii="仿宋" w:hAnsi="仿宋" w:eastAsia="仿宋" w:cs="仿宋"/>
          <w:sz w:val="32"/>
          <w:szCs w:val="32"/>
          <w:lang w:val="en-US" w:eastAsia="zh-CN"/>
        </w:rPr>
        <w:t>678.02</w:t>
      </w:r>
      <w:r>
        <w:rPr>
          <w:rFonts w:hint="eastAsia" w:ascii="仿宋" w:hAnsi="仿宋" w:eastAsia="仿宋" w:cs="仿宋"/>
          <w:sz w:val="32"/>
          <w:szCs w:val="32"/>
        </w:rPr>
        <w:t>万元，支出总计</w:t>
      </w:r>
      <w:r>
        <w:rPr>
          <w:rFonts w:hint="eastAsia" w:ascii="仿宋" w:hAnsi="仿宋" w:eastAsia="仿宋" w:cs="仿宋"/>
          <w:sz w:val="32"/>
          <w:szCs w:val="32"/>
          <w:lang w:val="en-US" w:eastAsia="zh-CN"/>
        </w:rPr>
        <w:t>678.02</w:t>
      </w:r>
      <w:r>
        <w:rPr>
          <w:rFonts w:hint="eastAsia" w:ascii="仿宋" w:hAnsi="仿宋" w:eastAsia="仿宋" w:cs="仿宋"/>
          <w:sz w:val="32"/>
          <w:szCs w:val="32"/>
        </w:rPr>
        <w:t>万元,与202</w:t>
      </w:r>
      <w:r>
        <w:rPr>
          <w:rFonts w:hint="eastAsia" w:ascii="仿宋" w:hAnsi="仿宋" w:eastAsia="仿宋" w:cs="仿宋"/>
          <w:sz w:val="32"/>
          <w:szCs w:val="32"/>
          <w:lang w:val="en-US" w:eastAsia="zh-CN"/>
        </w:rPr>
        <w:t>2</w:t>
      </w:r>
      <w:r>
        <w:rPr>
          <w:rFonts w:hint="eastAsia" w:ascii="仿宋" w:hAnsi="仿宋" w:eastAsia="仿宋" w:cs="仿宋"/>
          <w:sz w:val="32"/>
          <w:szCs w:val="32"/>
        </w:rPr>
        <w:t>年相比，收、支总计各减少</w:t>
      </w:r>
      <w:r>
        <w:rPr>
          <w:rFonts w:hint="eastAsia" w:ascii="仿宋" w:hAnsi="仿宋" w:eastAsia="仿宋" w:cs="仿宋"/>
          <w:sz w:val="32"/>
          <w:szCs w:val="32"/>
          <w:lang w:val="en-US" w:eastAsia="zh-CN"/>
        </w:rPr>
        <w:t>242.68</w:t>
      </w:r>
      <w:r>
        <w:rPr>
          <w:rFonts w:hint="eastAsia" w:ascii="仿宋" w:hAnsi="仿宋" w:eastAsia="仿宋" w:cs="仿宋"/>
          <w:sz w:val="32"/>
          <w:szCs w:val="32"/>
        </w:rPr>
        <w:t>万元，下降</w:t>
      </w:r>
      <w:r>
        <w:rPr>
          <w:rFonts w:hint="eastAsia" w:ascii="仿宋" w:hAnsi="仿宋" w:eastAsia="仿宋" w:cs="仿宋"/>
          <w:sz w:val="32"/>
          <w:szCs w:val="32"/>
          <w:lang w:val="en-US" w:eastAsia="zh-CN"/>
        </w:rPr>
        <w:t>26.36</w:t>
      </w:r>
      <w:r>
        <w:rPr>
          <w:rFonts w:hint="eastAsia" w:ascii="仿宋" w:hAnsi="仿宋" w:eastAsia="仿宋" w:cs="仿宋"/>
          <w:sz w:val="32"/>
          <w:szCs w:val="32"/>
        </w:rPr>
        <w:t>%。主要原因是</w:t>
      </w:r>
      <w:r>
        <w:rPr>
          <w:rFonts w:hint="eastAsia" w:ascii="仿宋" w:hAnsi="仿宋" w:eastAsia="仿宋" w:cs="仿宋"/>
          <w:sz w:val="32"/>
          <w:szCs w:val="32"/>
          <w:lang w:eastAsia="zh-CN"/>
        </w:rPr>
        <w:t>在职人员</w:t>
      </w:r>
      <w:r>
        <w:rPr>
          <w:rFonts w:hint="eastAsia" w:ascii="仿宋" w:hAnsi="仿宋" w:eastAsia="仿宋" w:cs="仿宋"/>
          <w:sz w:val="32"/>
          <w:szCs w:val="32"/>
          <w:lang w:val="en-US" w:eastAsia="zh-CN"/>
        </w:rPr>
        <w:t>减少</w:t>
      </w:r>
      <w:r>
        <w:rPr>
          <w:rFonts w:hint="eastAsia" w:ascii="仿宋" w:hAnsi="仿宋" w:eastAsia="仿宋" w:cs="仿宋"/>
          <w:sz w:val="32"/>
          <w:szCs w:val="32"/>
          <w:lang w:eastAsia="zh-CN"/>
        </w:rPr>
        <w:t>，人员经</w:t>
      </w:r>
      <w:r>
        <w:rPr>
          <w:rFonts w:hint="eastAsia" w:ascii="仿宋" w:hAnsi="仿宋" w:eastAsia="仿宋" w:cs="仿宋"/>
          <w:sz w:val="32"/>
          <w:szCs w:val="32"/>
          <w:lang w:val="en-US" w:eastAsia="zh-CN"/>
        </w:rPr>
        <w:t>费减少，春晖惠民阳光小区配套设施经费减少</w:t>
      </w:r>
      <w:r>
        <w:rPr>
          <w:rFonts w:hint="eastAsia" w:ascii="仿宋" w:hAnsi="仿宋" w:eastAsia="仿宋" w:cs="仿宋"/>
          <w:sz w:val="32"/>
          <w:szCs w:val="32"/>
        </w:rPr>
        <w:t>。</w:t>
      </w:r>
    </w:p>
    <w:p>
      <w:pPr>
        <w:ind w:firstLine="640" w:firstLineChars="200"/>
        <w:jc w:val="left"/>
        <w:rPr>
          <w:rFonts w:hint="eastAsia" w:ascii="仿宋" w:hAnsi="仿宋" w:eastAsia="仿宋" w:cs="仿宋"/>
          <w:sz w:val="32"/>
          <w:szCs w:val="32"/>
        </w:rPr>
      </w:pPr>
      <w:r>
        <w:rPr>
          <w:rFonts w:hint="eastAsia" w:ascii="仿宋" w:hAnsi="仿宋" w:eastAsia="仿宋" w:cs="仿宋"/>
          <w:sz w:val="32"/>
          <w:szCs w:val="32"/>
        </w:rPr>
        <w:drawing>
          <wp:inline distT="0" distB="0" distL="0" distR="0">
            <wp:extent cx="5340350" cy="3567430"/>
            <wp:effectExtent l="4445" t="4445" r="14605" b="952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4"/>
              </a:graphicData>
            </a:graphic>
          </wp:inline>
        </w:drawing>
      </w:r>
    </w:p>
    <w:p>
      <w:pPr>
        <w:jc w:val="left"/>
        <w:rPr>
          <w:rFonts w:ascii="仿宋" w:hAnsi="仿宋" w:eastAsia="仿宋" w:cs="仿宋"/>
          <w:sz w:val="32"/>
          <w:szCs w:val="32"/>
        </w:rPr>
      </w:pPr>
    </w:p>
    <w:p>
      <w:pPr>
        <w:numPr>
          <w:ilvl w:val="0"/>
          <w:numId w:val="5"/>
        </w:numPr>
        <w:ind w:firstLine="640"/>
        <w:jc w:val="left"/>
        <w:rPr>
          <w:rFonts w:ascii="黑体" w:hAnsi="黑体" w:eastAsia="黑体"/>
          <w:sz w:val="32"/>
        </w:rPr>
      </w:pPr>
      <w:r>
        <w:rPr>
          <w:rFonts w:hint="eastAsia" w:ascii="黑体" w:hAnsi="黑体" w:eastAsia="黑体"/>
          <w:sz w:val="32"/>
        </w:rPr>
        <w:t>收入预算总体情况说明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淮滨县房产服务中心</w:t>
      </w:r>
      <w:r>
        <w:rPr>
          <w:rFonts w:hint="eastAsia" w:ascii="仿宋" w:hAnsi="仿宋" w:eastAsia="仿宋" w:cs="仿宋"/>
          <w:sz w:val="32"/>
          <w:lang w:eastAsia="zh-CN"/>
        </w:rPr>
        <w:t>2023年</w:t>
      </w:r>
      <w:r>
        <w:rPr>
          <w:rFonts w:hint="eastAsia" w:ascii="仿宋" w:hAnsi="仿宋" w:eastAsia="仿宋" w:cs="仿宋"/>
          <w:sz w:val="32"/>
        </w:rPr>
        <w:t>收入合计678.02万元，其中：一般公共预算收入678.02万元，上年结转结余</w:t>
      </w:r>
      <w:r>
        <w:rPr>
          <w:rFonts w:hint="eastAsia" w:ascii="仿宋" w:hAnsi="仿宋" w:eastAsia="仿宋" w:cs="仿宋"/>
          <w:sz w:val="32"/>
          <w:lang w:val="en-US" w:eastAsia="zh-CN"/>
        </w:rPr>
        <w:t>0</w:t>
      </w:r>
      <w:r>
        <w:rPr>
          <w:rFonts w:hint="eastAsia" w:ascii="仿宋" w:hAnsi="仿宋" w:eastAsia="仿宋" w:cs="仿宋"/>
          <w:sz w:val="32"/>
        </w:rPr>
        <w:t>万元。</w:t>
      </w:r>
    </w:p>
    <w:p>
      <w:pPr>
        <w:jc w:val="left"/>
        <w:rPr>
          <w:rFonts w:ascii="仿宋" w:hAnsi="仿宋" w:eastAsia="仿宋" w:cs="仿宋"/>
          <w:sz w:val="32"/>
        </w:rPr>
      </w:pPr>
      <w:r>
        <w:rPr>
          <w:rFonts w:hint="eastAsia" w:ascii="仿宋" w:hAnsi="仿宋" w:eastAsia="仿宋" w:cs="仿宋"/>
          <w:sz w:val="32"/>
        </w:rPr>
        <w:drawing>
          <wp:inline distT="0" distB="0" distL="0" distR="0">
            <wp:extent cx="5359400" cy="3141980"/>
            <wp:effectExtent l="4445" t="4445" r="8255" b="15875"/>
            <wp:docPr id="11" name="图表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支出预算总体情况说明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淮滨县房产服务中心</w:t>
      </w:r>
      <w:r>
        <w:rPr>
          <w:rFonts w:hint="eastAsia" w:ascii="仿宋" w:hAnsi="仿宋" w:eastAsia="仿宋" w:cs="仿宋"/>
          <w:sz w:val="32"/>
          <w:lang w:eastAsia="zh-CN"/>
        </w:rPr>
        <w:t>2023年</w:t>
      </w:r>
      <w:r>
        <w:rPr>
          <w:rFonts w:hint="eastAsia" w:ascii="仿宋" w:hAnsi="仿宋" w:eastAsia="仿宋" w:cs="仿宋"/>
          <w:sz w:val="32"/>
        </w:rPr>
        <w:t>支出合计678.02万元，其中：基本支出</w:t>
      </w:r>
      <w:r>
        <w:rPr>
          <w:rFonts w:hint="eastAsia" w:ascii="仿宋" w:hAnsi="仿宋" w:eastAsia="仿宋" w:cs="仿宋"/>
          <w:sz w:val="32"/>
          <w:lang w:val="en-US" w:eastAsia="zh-CN"/>
        </w:rPr>
        <w:t>213.77</w:t>
      </w:r>
      <w:r>
        <w:rPr>
          <w:rFonts w:hint="eastAsia" w:ascii="仿宋" w:hAnsi="仿宋" w:eastAsia="仿宋" w:cs="仿宋"/>
          <w:sz w:val="32"/>
        </w:rPr>
        <w:t>万元，占</w:t>
      </w:r>
      <w:r>
        <w:rPr>
          <w:rFonts w:hint="eastAsia" w:ascii="仿宋" w:hAnsi="仿宋" w:eastAsia="仿宋" w:cs="仿宋"/>
          <w:sz w:val="32"/>
          <w:lang w:val="en-US" w:eastAsia="zh-CN"/>
        </w:rPr>
        <w:t>32</w:t>
      </w:r>
      <w:r>
        <w:rPr>
          <w:rFonts w:hint="eastAsia" w:ascii="仿宋" w:hAnsi="仿宋" w:eastAsia="仿宋" w:cs="仿宋"/>
          <w:sz w:val="32"/>
        </w:rPr>
        <w:t>%；项目支出</w:t>
      </w:r>
      <w:r>
        <w:rPr>
          <w:rFonts w:hint="eastAsia" w:ascii="仿宋" w:hAnsi="仿宋" w:eastAsia="仿宋" w:cs="仿宋"/>
          <w:sz w:val="32"/>
          <w:lang w:val="en-US" w:eastAsia="zh-CN"/>
        </w:rPr>
        <w:t>464.25</w:t>
      </w:r>
      <w:r>
        <w:rPr>
          <w:rFonts w:hint="eastAsia" w:ascii="仿宋" w:hAnsi="仿宋" w:eastAsia="仿宋" w:cs="仿宋"/>
          <w:sz w:val="32"/>
        </w:rPr>
        <w:t>万元，占</w:t>
      </w:r>
      <w:r>
        <w:rPr>
          <w:rFonts w:hint="eastAsia" w:ascii="仿宋" w:hAnsi="仿宋" w:eastAsia="仿宋" w:cs="仿宋"/>
          <w:sz w:val="32"/>
          <w:lang w:val="en-US" w:eastAsia="zh-CN"/>
        </w:rPr>
        <w:t>68</w:t>
      </w:r>
      <w:r>
        <w:rPr>
          <w:rFonts w:hint="eastAsia" w:ascii="仿宋" w:hAnsi="仿宋" w:eastAsia="仿宋" w:cs="仿宋"/>
          <w:sz w:val="32"/>
        </w:rPr>
        <w:t>%。</w:t>
      </w:r>
    </w:p>
    <w:p>
      <w:pPr>
        <w:jc w:val="left"/>
        <w:rPr>
          <w:rFonts w:ascii="仿宋" w:hAnsi="仿宋" w:eastAsia="仿宋" w:cs="仿宋"/>
          <w:sz w:val="32"/>
        </w:rPr>
      </w:pPr>
      <w:r>
        <w:rPr>
          <w:rFonts w:hint="eastAsia" w:ascii="仿宋" w:hAnsi="仿宋" w:eastAsia="仿宋" w:cs="仿宋"/>
          <w:sz w:val="32"/>
        </w:rPr>
        <w:drawing>
          <wp:inline distT="0" distB="0" distL="0" distR="0">
            <wp:extent cx="5233035" cy="3181350"/>
            <wp:effectExtent l="5080" t="4445" r="6985" b="1460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pPr>
        <w:numPr>
          <w:ilvl w:val="0"/>
          <w:numId w:val="5"/>
        </w:numPr>
        <w:ind w:firstLine="640"/>
        <w:jc w:val="left"/>
        <w:rPr>
          <w:rFonts w:ascii="黑体" w:hAnsi="黑体" w:eastAsia="黑体" w:cs="黑体"/>
          <w:sz w:val="32"/>
        </w:rPr>
      </w:pPr>
      <w:r>
        <w:rPr>
          <w:rFonts w:hint="eastAsia" w:ascii="黑体" w:hAnsi="黑体" w:eastAsia="黑体" w:cs="黑体"/>
          <w:sz w:val="32"/>
        </w:rPr>
        <w:t>财政拨款收支预算总体情况说明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淮滨县房产服务中心</w:t>
      </w:r>
      <w:r>
        <w:rPr>
          <w:rFonts w:hint="eastAsia" w:ascii="仿宋" w:hAnsi="仿宋" w:eastAsia="仿宋" w:cs="仿宋"/>
          <w:sz w:val="32"/>
          <w:lang w:eastAsia="zh-CN"/>
        </w:rPr>
        <w:t>2023年</w:t>
      </w:r>
      <w:r>
        <w:rPr>
          <w:rFonts w:hint="eastAsia" w:ascii="仿宋" w:hAnsi="仿宋" w:eastAsia="仿宋" w:cs="仿宋"/>
          <w:sz w:val="32"/>
        </w:rPr>
        <w:t>一般公共预算收支预算</w:t>
      </w:r>
      <w:r>
        <w:rPr>
          <w:rFonts w:hint="eastAsia" w:ascii="仿宋" w:hAnsi="仿宋" w:eastAsia="仿宋" w:cs="仿宋"/>
          <w:sz w:val="32"/>
          <w:lang w:val="en-US" w:eastAsia="zh-CN"/>
        </w:rPr>
        <w:t>678.02</w:t>
      </w:r>
      <w:r>
        <w:rPr>
          <w:rFonts w:hint="eastAsia" w:ascii="仿宋" w:hAnsi="仿宋" w:eastAsia="仿宋" w:cs="仿宋"/>
          <w:sz w:val="32"/>
        </w:rPr>
        <w:t>万元，无政府性基金预算和国有资本经营预算。与</w:t>
      </w:r>
      <w:r>
        <w:rPr>
          <w:rFonts w:hint="eastAsia" w:ascii="仿宋" w:hAnsi="仿宋" w:eastAsia="仿宋" w:cs="仿宋"/>
          <w:sz w:val="32"/>
          <w:lang w:eastAsia="zh-CN"/>
        </w:rPr>
        <w:t>2022年</w:t>
      </w:r>
      <w:r>
        <w:rPr>
          <w:rFonts w:hint="eastAsia" w:ascii="仿宋" w:hAnsi="仿宋" w:eastAsia="仿宋" w:cs="仿宋"/>
          <w:sz w:val="32"/>
        </w:rPr>
        <w:t>相比，一般公共预算收支预算减少</w:t>
      </w:r>
      <w:r>
        <w:rPr>
          <w:rFonts w:hint="eastAsia" w:ascii="仿宋" w:hAnsi="仿宋" w:eastAsia="仿宋" w:cs="仿宋"/>
          <w:sz w:val="32"/>
          <w:szCs w:val="32"/>
          <w:lang w:val="en-US" w:eastAsia="zh-CN"/>
        </w:rPr>
        <w:t>242.68</w:t>
      </w:r>
      <w:r>
        <w:rPr>
          <w:rFonts w:hint="eastAsia" w:ascii="仿宋" w:hAnsi="仿宋" w:eastAsia="仿宋" w:cs="仿宋"/>
          <w:sz w:val="32"/>
          <w:szCs w:val="32"/>
        </w:rPr>
        <w:t>万元，下降</w:t>
      </w:r>
      <w:r>
        <w:rPr>
          <w:rFonts w:hint="eastAsia" w:ascii="仿宋" w:hAnsi="仿宋" w:eastAsia="仿宋" w:cs="仿宋"/>
          <w:sz w:val="32"/>
          <w:szCs w:val="32"/>
          <w:lang w:val="en-US" w:eastAsia="zh-CN"/>
        </w:rPr>
        <w:t>26.36</w:t>
      </w:r>
      <w:r>
        <w:rPr>
          <w:rFonts w:hint="eastAsia" w:ascii="仿宋" w:hAnsi="仿宋" w:eastAsia="仿宋" w:cs="仿宋"/>
          <w:sz w:val="32"/>
          <w:szCs w:val="32"/>
        </w:rPr>
        <w:t>%。主要原因是</w:t>
      </w:r>
      <w:r>
        <w:rPr>
          <w:rFonts w:hint="eastAsia" w:ascii="仿宋" w:hAnsi="仿宋" w:eastAsia="仿宋" w:cs="仿宋"/>
          <w:sz w:val="32"/>
          <w:szCs w:val="32"/>
          <w:lang w:eastAsia="zh-CN"/>
        </w:rPr>
        <w:t>在职人员</w:t>
      </w:r>
      <w:r>
        <w:rPr>
          <w:rFonts w:hint="eastAsia" w:ascii="仿宋" w:hAnsi="仿宋" w:eastAsia="仿宋" w:cs="仿宋"/>
          <w:sz w:val="32"/>
          <w:szCs w:val="32"/>
          <w:lang w:val="en-US" w:eastAsia="zh-CN"/>
        </w:rPr>
        <w:t>减少</w:t>
      </w:r>
      <w:r>
        <w:rPr>
          <w:rFonts w:hint="eastAsia" w:ascii="仿宋" w:hAnsi="仿宋" w:eastAsia="仿宋" w:cs="仿宋"/>
          <w:sz w:val="32"/>
          <w:szCs w:val="32"/>
          <w:lang w:eastAsia="zh-CN"/>
        </w:rPr>
        <w:t>，人员经</w:t>
      </w:r>
      <w:r>
        <w:rPr>
          <w:rFonts w:hint="eastAsia" w:ascii="仿宋" w:hAnsi="仿宋" w:eastAsia="仿宋" w:cs="仿宋"/>
          <w:sz w:val="32"/>
          <w:szCs w:val="32"/>
          <w:lang w:val="en-US" w:eastAsia="zh-CN"/>
        </w:rPr>
        <w:t>费减少，春晖惠民阳光小区配套设施经费减少</w:t>
      </w:r>
      <w:r>
        <w:rPr>
          <w:rFonts w:hint="eastAsia" w:ascii="仿宋" w:hAnsi="仿宋" w:eastAsia="仿宋" w:cs="仿宋"/>
          <w:sz w:val="32"/>
          <w:szCs w:val="32"/>
        </w:rPr>
        <w:t>。</w:t>
      </w:r>
    </w:p>
    <w:p>
      <w:pPr>
        <w:jc w:val="left"/>
        <w:rPr>
          <w:rFonts w:ascii="仿宋" w:hAnsi="仿宋" w:eastAsia="仿宋" w:cs="仿宋"/>
          <w:sz w:val="32"/>
        </w:rPr>
      </w:pPr>
      <w:r>
        <w:rPr>
          <w:rFonts w:hint="eastAsia" w:ascii="仿宋" w:hAnsi="仿宋" w:eastAsia="仿宋" w:cs="仿宋"/>
          <w:sz w:val="32"/>
          <w:szCs w:val="32"/>
        </w:rPr>
        <w:drawing>
          <wp:inline distT="0" distB="0" distL="0" distR="0">
            <wp:extent cx="5274310" cy="3526790"/>
            <wp:effectExtent l="4445" t="4445" r="17145" b="1206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一般公共预算支出预算情况说明</w:t>
      </w:r>
    </w:p>
    <w:p>
      <w:pPr>
        <w:ind w:firstLine="640" w:firstLineChars="200"/>
        <w:jc w:val="left"/>
        <w:rPr>
          <w:rFonts w:ascii="仿宋" w:hAnsi="仿宋" w:eastAsia="仿宋" w:cs="仿宋"/>
          <w:sz w:val="32"/>
        </w:rPr>
      </w:pPr>
      <w:r>
        <w:rPr>
          <w:rFonts w:hint="eastAsia" w:ascii="仿宋" w:hAnsi="仿宋" w:eastAsia="仿宋" w:cs="仿宋"/>
          <w:sz w:val="32"/>
          <w:szCs w:val="32"/>
        </w:rPr>
        <w:t>淮滨县房产服务中心</w:t>
      </w:r>
      <w:r>
        <w:rPr>
          <w:rFonts w:hint="eastAsia" w:ascii="仿宋" w:hAnsi="仿宋" w:eastAsia="仿宋" w:cs="仿宋"/>
          <w:sz w:val="32"/>
          <w:lang w:eastAsia="zh-CN"/>
        </w:rPr>
        <w:t>2023年</w:t>
      </w:r>
      <w:r>
        <w:rPr>
          <w:rFonts w:hint="eastAsia" w:ascii="仿宋" w:hAnsi="仿宋" w:eastAsia="仿宋" w:cs="仿宋"/>
          <w:sz w:val="32"/>
        </w:rPr>
        <w:t>一般公共预算支出年初预算为920.7万元。其中：基本支出</w:t>
      </w:r>
      <w:r>
        <w:rPr>
          <w:rFonts w:hint="eastAsia" w:ascii="仿宋" w:hAnsi="仿宋" w:eastAsia="仿宋" w:cs="仿宋"/>
          <w:sz w:val="32"/>
          <w:lang w:val="en-US" w:eastAsia="zh-CN"/>
        </w:rPr>
        <w:t>213.77</w:t>
      </w:r>
      <w:r>
        <w:rPr>
          <w:rFonts w:hint="eastAsia" w:ascii="仿宋" w:hAnsi="仿宋" w:eastAsia="仿宋" w:cs="仿宋"/>
          <w:sz w:val="32"/>
        </w:rPr>
        <w:t>万元，占</w:t>
      </w:r>
      <w:r>
        <w:rPr>
          <w:rFonts w:hint="eastAsia" w:ascii="仿宋" w:hAnsi="仿宋" w:eastAsia="仿宋" w:cs="仿宋"/>
          <w:sz w:val="32"/>
          <w:lang w:val="en-US" w:eastAsia="zh-CN"/>
        </w:rPr>
        <w:t>32</w:t>
      </w:r>
      <w:r>
        <w:rPr>
          <w:rFonts w:hint="eastAsia" w:ascii="仿宋" w:hAnsi="仿宋" w:eastAsia="仿宋" w:cs="仿宋"/>
          <w:sz w:val="32"/>
        </w:rPr>
        <w:t>%;项目支出</w:t>
      </w:r>
      <w:r>
        <w:rPr>
          <w:rFonts w:hint="eastAsia" w:ascii="仿宋" w:hAnsi="仿宋" w:eastAsia="仿宋" w:cs="仿宋"/>
          <w:sz w:val="32"/>
          <w:lang w:val="en-US" w:eastAsia="zh-CN"/>
        </w:rPr>
        <w:t>464.25</w:t>
      </w:r>
      <w:r>
        <w:rPr>
          <w:rFonts w:hint="eastAsia" w:ascii="仿宋" w:hAnsi="仿宋" w:eastAsia="仿宋" w:cs="仿宋"/>
          <w:sz w:val="32"/>
        </w:rPr>
        <w:t>万元，占</w:t>
      </w:r>
      <w:r>
        <w:rPr>
          <w:rFonts w:hint="eastAsia" w:ascii="仿宋" w:hAnsi="仿宋" w:eastAsia="仿宋" w:cs="仿宋"/>
          <w:sz w:val="32"/>
          <w:lang w:val="en-US" w:eastAsia="zh-CN"/>
        </w:rPr>
        <w:t>68</w:t>
      </w:r>
      <w:r>
        <w:rPr>
          <w:rFonts w:hint="eastAsia" w:ascii="仿宋" w:hAnsi="仿宋" w:eastAsia="仿宋" w:cs="仿宋"/>
          <w:sz w:val="32"/>
        </w:rPr>
        <w:t>%。</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13" name="图表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numPr>
          <w:ilvl w:val="0"/>
          <w:numId w:val="5"/>
        </w:numPr>
        <w:ind w:firstLine="640"/>
        <w:jc w:val="left"/>
        <w:rPr>
          <w:rFonts w:ascii="黑体" w:hAnsi="黑体" w:eastAsia="黑体" w:cs="黑体"/>
          <w:color w:val="000000"/>
          <w:sz w:val="32"/>
          <w:szCs w:val="32"/>
        </w:rPr>
      </w:pPr>
      <w:r>
        <w:rPr>
          <w:rFonts w:hint="eastAsia" w:ascii="黑体" w:hAnsi="黑体" w:eastAsia="黑体" w:cs="黑体"/>
          <w:color w:val="000000"/>
          <w:sz w:val="32"/>
          <w:szCs w:val="32"/>
        </w:rPr>
        <w:t>一般公共预算基本支出预算情况说明</w:t>
      </w:r>
    </w:p>
    <w:p>
      <w:pPr>
        <w:ind w:firstLine="640" w:firstLineChars="200"/>
        <w:jc w:val="left"/>
        <w:rPr>
          <w:rFonts w:ascii="仿宋" w:hAnsi="仿宋" w:eastAsia="仿宋" w:cs="仿宋"/>
          <w:color w:val="000000"/>
          <w:sz w:val="32"/>
          <w:szCs w:val="32"/>
        </w:rPr>
      </w:pPr>
      <w:r>
        <w:rPr>
          <w:rFonts w:hint="eastAsia" w:ascii="仿宋" w:hAnsi="仿宋" w:eastAsia="仿宋" w:cs="仿宋"/>
          <w:sz w:val="32"/>
          <w:szCs w:val="32"/>
        </w:rPr>
        <w:t>淮滨县房产服务中心</w:t>
      </w:r>
      <w:r>
        <w:rPr>
          <w:rFonts w:hint="eastAsia" w:ascii="仿宋" w:hAnsi="仿宋" w:eastAsia="仿宋" w:cs="仿宋"/>
          <w:color w:val="000000"/>
          <w:sz w:val="32"/>
          <w:szCs w:val="32"/>
          <w:lang w:eastAsia="zh-CN"/>
        </w:rPr>
        <w:t>2023年</w:t>
      </w:r>
      <w:r>
        <w:rPr>
          <w:rFonts w:hint="eastAsia" w:ascii="仿宋" w:hAnsi="仿宋" w:eastAsia="仿宋" w:cs="仿宋"/>
          <w:color w:val="000000"/>
          <w:sz w:val="32"/>
          <w:szCs w:val="32"/>
        </w:rPr>
        <w:t>一般公共预算基本支出年初预算为</w:t>
      </w:r>
      <w:r>
        <w:rPr>
          <w:rFonts w:hint="eastAsia" w:ascii="仿宋" w:hAnsi="仿宋" w:eastAsia="仿宋" w:cs="仿宋"/>
          <w:color w:val="000000"/>
          <w:sz w:val="32"/>
          <w:szCs w:val="32"/>
          <w:lang w:val="en-US" w:eastAsia="zh-CN"/>
        </w:rPr>
        <w:t>213.77</w:t>
      </w:r>
      <w:r>
        <w:rPr>
          <w:rFonts w:hint="eastAsia" w:ascii="仿宋" w:hAnsi="仿宋" w:eastAsia="仿宋" w:cs="仿宋"/>
          <w:color w:val="000000"/>
          <w:sz w:val="32"/>
          <w:szCs w:val="32"/>
        </w:rPr>
        <w:t>万元。其中：人员经费支出</w:t>
      </w:r>
      <w:r>
        <w:rPr>
          <w:rFonts w:hint="eastAsia" w:ascii="仿宋" w:hAnsi="仿宋" w:eastAsia="仿宋" w:cs="仿宋"/>
          <w:color w:val="000000"/>
          <w:sz w:val="32"/>
          <w:szCs w:val="32"/>
          <w:lang w:val="en-US" w:eastAsia="zh-CN"/>
        </w:rPr>
        <w:t>205.61</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96</w:t>
      </w:r>
      <w:r>
        <w:rPr>
          <w:rFonts w:hint="eastAsia" w:ascii="仿宋" w:hAnsi="仿宋" w:eastAsia="仿宋" w:cs="仿宋"/>
          <w:color w:val="000000"/>
          <w:sz w:val="32"/>
          <w:szCs w:val="32"/>
        </w:rPr>
        <w:t>%；公用经费支出</w:t>
      </w:r>
      <w:r>
        <w:rPr>
          <w:rFonts w:hint="eastAsia" w:ascii="仿宋" w:hAnsi="仿宋" w:eastAsia="仿宋" w:cs="仿宋"/>
          <w:color w:val="000000"/>
          <w:sz w:val="32"/>
          <w:szCs w:val="32"/>
          <w:lang w:val="en-US" w:eastAsia="zh-CN"/>
        </w:rPr>
        <w:t>8.16</w:t>
      </w:r>
      <w:r>
        <w:rPr>
          <w:rFonts w:hint="eastAsia" w:ascii="仿宋" w:hAnsi="仿宋" w:eastAsia="仿宋" w:cs="仿宋"/>
          <w:color w:val="000000"/>
          <w:sz w:val="32"/>
          <w:szCs w:val="32"/>
        </w:rPr>
        <w:t>万元，占</w:t>
      </w:r>
      <w:r>
        <w:rPr>
          <w:rFonts w:hint="eastAsia" w:ascii="仿宋" w:hAnsi="仿宋" w:eastAsia="仿宋" w:cs="仿宋"/>
          <w:color w:val="000000"/>
          <w:sz w:val="32"/>
          <w:szCs w:val="32"/>
          <w:lang w:val="en-US" w:eastAsia="zh-CN"/>
        </w:rPr>
        <w:t>4</w:t>
      </w:r>
      <w:r>
        <w:rPr>
          <w:rFonts w:hint="eastAsia" w:ascii="仿宋" w:hAnsi="仿宋" w:eastAsia="仿宋" w:cs="仿宋"/>
          <w:color w:val="000000"/>
          <w:sz w:val="32"/>
          <w:szCs w:val="32"/>
        </w:rPr>
        <w:t>%。</w:t>
      </w:r>
    </w:p>
    <w:p>
      <w:pPr>
        <w:jc w:val="left"/>
        <w:rPr>
          <w:rFonts w:ascii="仿宋" w:hAnsi="仿宋" w:eastAsia="仿宋" w:cs="仿宋"/>
          <w:color w:val="000000"/>
          <w:sz w:val="32"/>
          <w:szCs w:val="32"/>
        </w:rPr>
      </w:pPr>
      <w:r>
        <w:rPr>
          <w:rFonts w:hint="eastAsia" w:ascii="仿宋" w:hAnsi="仿宋" w:eastAsia="仿宋" w:cs="仿宋"/>
          <w:sz w:val="32"/>
          <w:szCs w:val="32"/>
        </w:rPr>
        <w:drawing>
          <wp:inline distT="0" distB="0" distL="0" distR="0">
            <wp:extent cx="5274310" cy="3076575"/>
            <wp:effectExtent l="5080" t="4445" r="16510" b="5080"/>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numPr>
          <w:ilvl w:val="0"/>
          <w:numId w:val="5"/>
        </w:numPr>
        <w:ind w:firstLine="640"/>
        <w:jc w:val="left"/>
        <w:rPr>
          <w:rFonts w:ascii="黑体" w:hAnsi="黑体" w:eastAsia="黑体" w:cs="黑体"/>
          <w:sz w:val="32"/>
          <w:szCs w:val="32"/>
        </w:rPr>
      </w:pPr>
      <w:r>
        <w:rPr>
          <w:rFonts w:hint="eastAsia" w:ascii="黑体" w:hAnsi="黑体" w:eastAsia="黑体" w:cs="黑体"/>
          <w:color w:val="000000"/>
          <w:sz w:val="32"/>
          <w:szCs w:val="32"/>
        </w:rPr>
        <w:t>一般公共预算</w:t>
      </w:r>
      <w:r>
        <w:rPr>
          <w:rFonts w:hint="eastAsia" w:ascii="黑体" w:hAnsi="黑体" w:eastAsia="黑体" w:cs="黑体"/>
          <w:sz w:val="32"/>
          <w:szCs w:val="32"/>
        </w:rPr>
        <w:t>“三公”经费支出预算情况说明</w:t>
      </w:r>
    </w:p>
    <w:p>
      <w:pPr>
        <w:pStyle w:val="5"/>
        <w:widowControl/>
        <w:spacing w:beforeAutospacing="0" w:afterAutospacing="0" w:line="600" w:lineRule="atLeast"/>
        <w:ind w:firstLine="630"/>
        <w:jc w:val="both"/>
        <w:rPr>
          <w:rFonts w:ascii="仿宋" w:hAnsi="仿宋" w:eastAsia="仿宋" w:cs="仿宋"/>
          <w:sz w:val="32"/>
          <w:szCs w:val="32"/>
        </w:rPr>
      </w:pPr>
      <w:r>
        <w:rPr>
          <w:rFonts w:hint="eastAsia" w:ascii="仿宋" w:hAnsi="仿宋" w:eastAsia="仿宋" w:cs="仿宋"/>
          <w:sz w:val="32"/>
          <w:szCs w:val="32"/>
        </w:rPr>
        <w:t>淮滨县房产服务中心</w:t>
      </w:r>
      <w:r>
        <w:rPr>
          <w:rFonts w:hint="eastAsia" w:ascii="仿宋" w:hAnsi="仿宋" w:eastAsia="仿宋" w:cs="仿宋"/>
          <w:sz w:val="32"/>
          <w:szCs w:val="32"/>
          <w:lang w:eastAsia="zh-CN"/>
        </w:rPr>
        <w:t>2023年</w:t>
      </w:r>
      <w:r>
        <w:rPr>
          <w:rFonts w:hint="eastAsia" w:ascii="仿宋" w:hAnsi="仿宋" w:eastAsia="仿宋" w:cs="仿宋"/>
          <w:sz w:val="32"/>
          <w:szCs w:val="32"/>
        </w:rPr>
        <w:t>“三公”经费支出预算为</w:t>
      </w:r>
      <w:r>
        <w:rPr>
          <w:rFonts w:hint="eastAsia" w:ascii="仿宋" w:hAnsi="仿宋" w:eastAsia="仿宋" w:cs="仿宋"/>
          <w:sz w:val="32"/>
          <w:szCs w:val="32"/>
          <w:lang w:val="en-US" w:eastAsia="zh-CN"/>
        </w:rPr>
        <w:t>1.40</w:t>
      </w:r>
      <w:r>
        <w:rPr>
          <w:rFonts w:hint="eastAsia" w:ascii="仿宋" w:hAnsi="仿宋" w:eastAsia="仿宋" w:cs="仿宋"/>
          <w:sz w:val="32"/>
          <w:szCs w:val="32"/>
        </w:rPr>
        <w:t>万元,</w:t>
      </w:r>
      <w:r>
        <w:rPr>
          <w:rFonts w:hint="eastAsia" w:ascii="仿宋" w:hAnsi="仿宋" w:eastAsia="仿宋" w:cs="仿宋"/>
          <w:sz w:val="32"/>
          <w:szCs w:val="32"/>
          <w:lang w:val="en-US" w:eastAsia="zh-CN"/>
        </w:rPr>
        <w:t>与</w:t>
      </w:r>
      <w:r>
        <w:rPr>
          <w:rFonts w:hint="eastAsia" w:ascii="仿宋" w:hAnsi="仿宋" w:eastAsia="仿宋" w:cs="仿宋"/>
          <w:sz w:val="32"/>
          <w:szCs w:val="32"/>
          <w:lang w:eastAsia="zh-CN"/>
        </w:rPr>
        <w:t>2022年</w:t>
      </w:r>
      <w:r>
        <w:rPr>
          <w:rFonts w:hint="eastAsia" w:ascii="仿宋" w:hAnsi="仿宋" w:eastAsia="仿宋" w:cs="仿宋"/>
          <w:sz w:val="32"/>
          <w:szCs w:val="32"/>
        </w:rPr>
        <w:t>预算数保持一致。</w:t>
      </w:r>
    </w:p>
    <w:p>
      <w:pPr>
        <w:ind w:firstLine="640" w:firstLineChars="200"/>
        <w:jc w:val="left"/>
        <w:rPr>
          <w:rFonts w:ascii="仿宋" w:hAnsi="仿宋" w:eastAsia="仿宋" w:cs="仿宋"/>
          <w:sz w:val="32"/>
          <w:szCs w:val="32"/>
        </w:rPr>
      </w:pPr>
      <w:r>
        <w:rPr>
          <w:rFonts w:hint="eastAsia" w:ascii="仿宋" w:hAnsi="仿宋" w:eastAsia="仿宋" w:cs="仿宋"/>
          <w:sz w:val="32"/>
          <w:szCs w:val="32"/>
        </w:rPr>
        <w:t>具体支出情况如下：</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（一）因公出国（境）费用</w:t>
      </w:r>
      <w:r>
        <w:rPr>
          <w:rFonts w:hint="eastAsia" w:ascii="仿宋" w:hAnsi="仿宋" w:eastAsia="仿宋" w:cs="仿宋"/>
          <w:sz w:val="32"/>
          <w:szCs w:val="32"/>
        </w:rPr>
        <w:t>0万元，预算数与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（二）公务接待费</w:t>
      </w:r>
      <w:r>
        <w:rPr>
          <w:rFonts w:hint="eastAsia" w:ascii="仿宋" w:hAnsi="仿宋" w:eastAsia="仿宋" w:cs="仿宋"/>
          <w:sz w:val="32"/>
          <w:szCs w:val="32"/>
          <w:lang w:val="en-US" w:eastAsia="zh-CN"/>
        </w:rPr>
        <w:t>1.4</w:t>
      </w:r>
      <w:r>
        <w:rPr>
          <w:rFonts w:hint="eastAsia" w:ascii="仿宋" w:hAnsi="仿宋" w:eastAsia="仿宋" w:cs="仿宋"/>
          <w:sz w:val="32"/>
          <w:szCs w:val="32"/>
        </w:rPr>
        <w:t>万元。主要用于按规定开支的各类公务接待支出。预算数与</w:t>
      </w:r>
      <w:r>
        <w:rPr>
          <w:rFonts w:hint="eastAsia" w:ascii="仿宋" w:hAnsi="仿宋" w:eastAsia="仿宋" w:cs="仿宋"/>
          <w:sz w:val="32"/>
          <w:szCs w:val="32"/>
          <w:lang w:eastAsia="zh-CN"/>
        </w:rPr>
        <w:t>2022年</w:t>
      </w:r>
      <w:r>
        <w:rPr>
          <w:rFonts w:hint="eastAsia" w:ascii="仿宋" w:hAnsi="仿宋" w:eastAsia="仿宋" w:cs="仿宋"/>
          <w:sz w:val="32"/>
          <w:szCs w:val="32"/>
        </w:rPr>
        <w:t>保持一致</w:t>
      </w:r>
      <w:r>
        <w:rPr>
          <w:rFonts w:ascii="仿宋_GB2312" w:hAnsi="宋体" w:eastAsia="仿宋_GB2312" w:cs="仿宋_GB2312"/>
          <w:color w:val="333333"/>
          <w:sz w:val="31"/>
          <w:szCs w:val="31"/>
        </w:rPr>
        <w:t>。</w:t>
      </w:r>
    </w:p>
    <w:p>
      <w:pPr>
        <w:ind w:firstLine="643" w:firstLineChars="200"/>
        <w:jc w:val="left"/>
        <w:rPr>
          <w:rFonts w:ascii="仿宋" w:hAnsi="仿宋" w:eastAsia="仿宋" w:cs="仿宋"/>
          <w:sz w:val="32"/>
          <w:szCs w:val="32"/>
        </w:rPr>
      </w:pPr>
      <w:r>
        <w:rPr>
          <w:rFonts w:hint="eastAsia" w:ascii="仿宋" w:hAnsi="仿宋" w:eastAsia="仿宋" w:cs="仿宋"/>
          <w:b/>
          <w:bCs/>
          <w:sz w:val="32"/>
          <w:szCs w:val="32"/>
        </w:rPr>
        <w:t>（三）公务用车购置及运行费</w:t>
      </w:r>
      <w:r>
        <w:rPr>
          <w:rFonts w:hint="eastAsia" w:ascii="仿宋" w:hAnsi="仿宋" w:eastAsia="仿宋" w:cs="仿宋"/>
          <w:sz w:val="32"/>
          <w:szCs w:val="32"/>
          <w:lang w:val="en-US" w:eastAsia="zh-CN"/>
        </w:rPr>
        <w:t>0</w:t>
      </w:r>
      <w:r>
        <w:rPr>
          <w:rFonts w:hint="eastAsia" w:ascii="仿宋" w:hAnsi="仿宋" w:eastAsia="仿宋" w:cs="仿宋"/>
          <w:sz w:val="32"/>
          <w:szCs w:val="32"/>
        </w:rPr>
        <w:t>万元，其中：公务用车运行维护费</w:t>
      </w:r>
      <w:r>
        <w:rPr>
          <w:rFonts w:hint="eastAsia" w:ascii="仿宋" w:hAnsi="仿宋" w:eastAsia="仿宋" w:cs="仿宋"/>
          <w:sz w:val="32"/>
          <w:szCs w:val="32"/>
          <w:lang w:val="en-US" w:eastAsia="zh-CN"/>
        </w:rPr>
        <w:t>0</w:t>
      </w:r>
      <w:r>
        <w:rPr>
          <w:rFonts w:hint="eastAsia" w:ascii="仿宋" w:hAnsi="仿宋" w:eastAsia="仿宋" w:cs="仿宋"/>
          <w:sz w:val="32"/>
          <w:szCs w:val="32"/>
        </w:rPr>
        <w:t>万元，公务用车购置</w:t>
      </w:r>
      <w:r>
        <w:rPr>
          <w:rFonts w:hint="eastAsia" w:ascii="仿宋" w:hAnsi="仿宋" w:eastAsia="仿宋" w:cs="仿宋"/>
          <w:sz w:val="32"/>
          <w:szCs w:val="32"/>
          <w:lang w:val="en-US" w:eastAsia="zh-CN"/>
        </w:rPr>
        <w:t>0</w:t>
      </w:r>
      <w:r>
        <w:rPr>
          <w:rFonts w:hint="eastAsia" w:ascii="仿宋" w:hAnsi="仿宋" w:eastAsia="仿宋" w:cs="仿宋"/>
          <w:sz w:val="32"/>
          <w:szCs w:val="32"/>
        </w:rPr>
        <w:t>万元。预算数与202</w:t>
      </w:r>
      <w:r>
        <w:rPr>
          <w:rFonts w:hint="eastAsia" w:ascii="仿宋" w:hAnsi="仿宋" w:eastAsia="仿宋" w:cs="仿宋"/>
          <w:sz w:val="32"/>
          <w:szCs w:val="32"/>
          <w:lang w:val="en-US" w:eastAsia="zh-CN"/>
        </w:rPr>
        <w:t>2</w:t>
      </w:r>
      <w:r>
        <w:rPr>
          <w:rFonts w:hint="eastAsia" w:ascii="仿宋" w:hAnsi="仿宋" w:eastAsia="仿宋" w:cs="仿宋"/>
          <w:sz w:val="32"/>
          <w:szCs w:val="32"/>
        </w:rPr>
        <w:t>年保持一致。</w:t>
      </w:r>
    </w:p>
    <w:p>
      <w:pPr>
        <w:jc w:val="left"/>
        <w:rPr>
          <w:rFonts w:ascii="仿宋" w:hAnsi="仿宋" w:eastAsia="仿宋" w:cs="仿宋"/>
          <w:sz w:val="32"/>
          <w:szCs w:val="32"/>
        </w:rPr>
      </w:pPr>
      <w:r>
        <w:rPr>
          <w:rFonts w:hint="eastAsia" w:ascii="仿宋" w:hAnsi="仿宋" w:eastAsia="仿宋" w:cs="仿宋"/>
          <w:sz w:val="32"/>
          <w:szCs w:val="32"/>
        </w:rPr>
        <w:drawing>
          <wp:inline distT="0" distB="0" distL="0" distR="0">
            <wp:extent cx="5274310" cy="3076575"/>
            <wp:effectExtent l="5080" t="4445" r="16510" b="5080"/>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numPr>
          <w:ilvl w:val="0"/>
          <w:numId w:val="5"/>
        </w:numPr>
        <w:ind w:firstLine="640"/>
        <w:jc w:val="left"/>
        <w:rPr>
          <w:rFonts w:ascii="黑体" w:hAnsi="黑体" w:eastAsia="黑体"/>
          <w:sz w:val="32"/>
        </w:rPr>
      </w:pPr>
      <w:r>
        <w:rPr>
          <w:rFonts w:hint="eastAsia" w:ascii="黑体" w:hAnsi="黑体" w:eastAsia="黑体"/>
          <w:sz w:val="32"/>
        </w:rPr>
        <w:t>政府性基金预算支出预算情况说明</w:t>
      </w:r>
    </w:p>
    <w:p>
      <w:pPr>
        <w:ind w:firstLine="640" w:firstLineChars="200"/>
        <w:jc w:val="left"/>
        <w:rPr>
          <w:rFonts w:ascii="仿宋" w:hAnsi="仿宋" w:eastAsia="仿宋" w:cs="仿宋"/>
          <w:sz w:val="32"/>
          <w:highlight w:val="none"/>
        </w:rPr>
      </w:pPr>
      <w:r>
        <w:rPr>
          <w:rFonts w:hint="eastAsia" w:ascii="仿宋_GB2312" w:eastAsia="仿宋_GB2312"/>
          <w:sz w:val="32"/>
          <w:szCs w:val="32"/>
          <w:highlight w:val="none"/>
        </w:rPr>
        <w:t>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年本部门没有政府性基金预算拨款收入，也没有政府性基金预算安排的支出，故无数据情况说明。</w:t>
      </w:r>
    </w:p>
    <w:p>
      <w:pPr>
        <w:numPr>
          <w:ilvl w:val="0"/>
          <w:numId w:val="5"/>
        </w:numPr>
        <w:ind w:firstLine="640"/>
        <w:jc w:val="left"/>
        <w:rPr>
          <w:rFonts w:ascii="黑体" w:hAnsi="黑体" w:eastAsia="黑体"/>
          <w:sz w:val="32"/>
        </w:rPr>
      </w:pPr>
      <w:r>
        <w:rPr>
          <w:rFonts w:hint="eastAsia" w:ascii="黑体" w:hAnsi="黑体" w:eastAsia="黑体"/>
          <w:sz w:val="32"/>
        </w:rPr>
        <w:t>其他重要事项的情况说明</w:t>
      </w:r>
    </w:p>
    <w:p>
      <w:pPr>
        <w:ind w:left="420" w:leftChars="200"/>
        <w:jc w:val="left"/>
        <w:rPr>
          <w:rFonts w:ascii="仿宋" w:hAnsi="仿宋" w:eastAsia="仿宋" w:cs="仿宋"/>
          <w:b/>
          <w:bCs/>
          <w:sz w:val="32"/>
        </w:rPr>
      </w:pPr>
      <w:r>
        <w:rPr>
          <w:rFonts w:hint="eastAsia" w:ascii="仿宋" w:hAnsi="仿宋" w:eastAsia="仿宋" w:cs="仿宋"/>
          <w:b/>
          <w:bCs/>
          <w:sz w:val="32"/>
        </w:rPr>
        <w:t>（一）行政（事业）单位机构运转经费</w:t>
      </w:r>
    </w:p>
    <w:p>
      <w:pPr>
        <w:ind w:firstLine="640" w:firstLineChars="200"/>
        <w:jc w:val="left"/>
        <w:rPr>
          <w:rFonts w:hint="eastAsia" w:ascii="仿宋" w:hAnsi="仿宋" w:eastAsia="仿宋" w:cs="仿宋"/>
          <w:sz w:val="32"/>
        </w:rPr>
      </w:pPr>
      <w:r>
        <w:rPr>
          <w:rFonts w:hint="eastAsia" w:ascii="仿宋" w:hAnsi="仿宋" w:eastAsia="仿宋" w:cs="仿宋"/>
          <w:sz w:val="32"/>
          <w:szCs w:val="32"/>
        </w:rPr>
        <w:t>淮滨县房产服务中心</w:t>
      </w:r>
      <w:r>
        <w:rPr>
          <w:rFonts w:hint="eastAsia" w:ascii="仿宋" w:hAnsi="仿宋" w:eastAsia="仿宋" w:cs="仿宋"/>
          <w:sz w:val="32"/>
        </w:rPr>
        <w:t>202</w:t>
      </w:r>
      <w:r>
        <w:rPr>
          <w:rFonts w:hint="eastAsia" w:ascii="仿宋" w:hAnsi="仿宋" w:eastAsia="仿宋" w:cs="仿宋"/>
          <w:sz w:val="32"/>
          <w:lang w:val="en-US" w:eastAsia="zh-CN"/>
        </w:rPr>
        <w:t>3</w:t>
      </w:r>
      <w:r>
        <w:rPr>
          <w:rFonts w:hint="eastAsia" w:ascii="仿宋" w:hAnsi="仿宋" w:eastAsia="仿宋" w:cs="仿宋"/>
          <w:sz w:val="32"/>
        </w:rPr>
        <w:t>年</w:t>
      </w:r>
      <w:r>
        <w:rPr>
          <w:rFonts w:hint="eastAsia" w:ascii="仿宋" w:hAnsi="仿宋" w:eastAsia="仿宋" w:cs="仿宋"/>
          <w:sz w:val="32"/>
          <w:lang w:val="en-US" w:eastAsia="zh-CN"/>
        </w:rPr>
        <w:t>事业</w:t>
      </w:r>
      <w:r>
        <w:rPr>
          <w:rFonts w:hint="eastAsia" w:ascii="仿宋" w:hAnsi="仿宋" w:eastAsia="仿宋" w:cs="仿宋"/>
          <w:sz w:val="32"/>
        </w:rPr>
        <w:t>单位运行经费支出预算</w:t>
      </w:r>
      <w:r>
        <w:rPr>
          <w:rFonts w:hint="eastAsia" w:ascii="仿宋" w:hAnsi="仿宋" w:eastAsia="仿宋" w:cs="仿宋"/>
          <w:sz w:val="32"/>
          <w:lang w:val="en-US" w:eastAsia="zh-CN"/>
        </w:rPr>
        <w:t>8.16</w:t>
      </w:r>
      <w:r>
        <w:rPr>
          <w:rFonts w:hint="eastAsia" w:ascii="仿宋" w:hAnsi="仿宋" w:eastAsia="仿宋" w:cs="仿宋"/>
          <w:sz w:val="32"/>
        </w:rPr>
        <w:t>万元，主要保障机构正常运转及正常履职需要，用于购买货物和服务的支出。包括办公及印刷费、邮电费、差旅费、会议费、福利费、日常维修费及一般设备购置费、办公用房水电费、办公用房取暖费、办公用房物业管理费、公务用车运行维护费以及其他费用。比202</w:t>
      </w:r>
      <w:r>
        <w:rPr>
          <w:rFonts w:hint="eastAsia" w:ascii="仿宋" w:hAnsi="仿宋" w:eastAsia="仿宋" w:cs="仿宋"/>
          <w:sz w:val="32"/>
          <w:lang w:val="en-US" w:eastAsia="zh-CN"/>
        </w:rPr>
        <w:t>2</w:t>
      </w:r>
      <w:r>
        <w:rPr>
          <w:rFonts w:hint="eastAsia" w:ascii="仿宋" w:hAnsi="仿宋" w:eastAsia="仿宋" w:cs="仿宋"/>
          <w:sz w:val="32"/>
        </w:rPr>
        <w:t>年</w:t>
      </w:r>
      <w:r>
        <w:rPr>
          <w:rFonts w:hint="eastAsia" w:ascii="仿宋" w:hAnsi="仿宋" w:eastAsia="仿宋" w:cs="仿宋"/>
          <w:sz w:val="32"/>
          <w:lang w:val="en-US" w:eastAsia="zh-CN"/>
        </w:rPr>
        <w:t>减少0.96</w:t>
      </w:r>
      <w:r>
        <w:rPr>
          <w:rFonts w:hint="eastAsia" w:ascii="仿宋" w:hAnsi="仿宋" w:eastAsia="仿宋" w:cs="仿宋"/>
          <w:sz w:val="32"/>
        </w:rPr>
        <w:t>万元，</w:t>
      </w:r>
      <w:r>
        <w:rPr>
          <w:rFonts w:hint="eastAsia" w:ascii="仿宋" w:hAnsi="仿宋" w:eastAsia="仿宋" w:cs="仿宋"/>
          <w:sz w:val="32"/>
          <w:lang w:val="en-US" w:eastAsia="zh-CN"/>
        </w:rPr>
        <w:t>减少10.5</w:t>
      </w:r>
      <w:r>
        <w:rPr>
          <w:rFonts w:hint="eastAsia" w:ascii="仿宋" w:hAnsi="仿宋" w:eastAsia="仿宋" w:cs="仿宋"/>
          <w:sz w:val="32"/>
        </w:rPr>
        <w:t>%，主要原因：</w:t>
      </w:r>
      <w:r>
        <w:rPr>
          <w:rFonts w:hint="eastAsia" w:ascii="仿宋" w:hAnsi="仿宋" w:eastAsia="仿宋" w:cs="仿宋"/>
          <w:sz w:val="32"/>
          <w:lang w:val="en-US" w:eastAsia="zh-CN"/>
        </w:rPr>
        <w:t>压缩开支，坚持厉行节约</w:t>
      </w:r>
      <w:r>
        <w:rPr>
          <w:rFonts w:hint="eastAsia" w:ascii="仿宋" w:hAnsi="仿宋" w:eastAsia="仿宋" w:cs="仿宋"/>
          <w:sz w:val="32"/>
        </w:rPr>
        <w:t>。</w:t>
      </w:r>
    </w:p>
    <w:p>
      <w:pPr>
        <w:ind w:firstLine="640" w:firstLineChars="200"/>
        <w:jc w:val="left"/>
        <w:rPr>
          <w:rFonts w:ascii="仿宋" w:hAnsi="仿宋" w:eastAsia="仿宋" w:cs="仿宋"/>
          <w:sz w:val="32"/>
        </w:rPr>
      </w:pPr>
    </w:p>
    <w:p>
      <w:pPr>
        <w:ind w:firstLine="643" w:firstLineChars="200"/>
        <w:jc w:val="left"/>
        <w:rPr>
          <w:rFonts w:ascii="仿宋" w:hAnsi="仿宋" w:eastAsia="仿宋" w:cs="仿宋"/>
          <w:b/>
          <w:bCs/>
          <w:sz w:val="32"/>
        </w:rPr>
      </w:pPr>
      <w:r>
        <w:rPr>
          <w:rFonts w:hint="eastAsia" w:ascii="仿宋" w:hAnsi="仿宋" w:eastAsia="仿宋" w:cs="仿宋"/>
          <w:b/>
          <w:bCs/>
          <w:sz w:val="32"/>
        </w:rPr>
        <w:t>（二）政府采购支出预算情况</w:t>
      </w:r>
    </w:p>
    <w:p>
      <w:pPr>
        <w:ind w:firstLine="640" w:firstLineChars="200"/>
        <w:jc w:val="left"/>
        <w:rPr>
          <w:rFonts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政府采购预算安排</w:t>
      </w:r>
      <w:r>
        <w:rPr>
          <w:rFonts w:hint="eastAsia" w:ascii="仿宋" w:hAnsi="仿宋" w:eastAsia="仿宋" w:cs="仿宋"/>
          <w:sz w:val="32"/>
          <w:lang w:val="en-US" w:eastAsia="zh-CN"/>
        </w:rPr>
        <w:t>0</w:t>
      </w:r>
      <w:r>
        <w:rPr>
          <w:rFonts w:hint="eastAsia" w:ascii="仿宋" w:hAnsi="仿宋" w:eastAsia="仿宋" w:cs="仿宋"/>
          <w:sz w:val="32"/>
        </w:rPr>
        <w:t>万元，其中：货物类采购预算</w:t>
      </w:r>
      <w:r>
        <w:rPr>
          <w:rFonts w:hint="eastAsia" w:ascii="仿宋" w:hAnsi="仿宋" w:eastAsia="仿宋" w:cs="仿宋"/>
          <w:sz w:val="32"/>
          <w:lang w:val="en-US" w:eastAsia="zh-CN"/>
        </w:rPr>
        <w:t>0</w:t>
      </w:r>
      <w:r>
        <w:rPr>
          <w:rFonts w:hint="eastAsia" w:ascii="仿宋" w:hAnsi="仿宋" w:eastAsia="仿宋" w:cs="仿宋"/>
          <w:sz w:val="32"/>
        </w:rPr>
        <w:t>万元，工程类采购预算</w:t>
      </w:r>
      <w:r>
        <w:rPr>
          <w:rFonts w:hint="eastAsia" w:ascii="仿宋" w:hAnsi="仿宋" w:eastAsia="仿宋" w:cs="仿宋"/>
          <w:sz w:val="32"/>
          <w:lang w:val="en-US" w:eastAsia="zh-CN"/>
        </w:rPr>
        <w:t>0</w:t>
      </w:r>
      <w:r>
        <w:rPr>
          <w:rFonts w:hint="eastAsia" w:ascii="仿宋" w:hAnsi="仿宋" w:eastAsia="仿宋" w:cs="仿宋"/>
          <w:sz w:val="32"/>
        </w:rPr>
        <w:t>万元，服务类采购预算</w:t>
      </w:r>
      <w:r>
        <w:rPr>
          <w:rFonts w:hint="eastAsia" w:ascii="仿宋" w:hAnsi="仿宋" w:eastAsia="仿宋" w:cs="仿宋"/>
          <w:sz w:val="32"/>
          <w:lang w:val="en-US" w:eastAsia="zh-CN"/>
        </w:rPr>
        <w:t>0</w:t>
      </w:r>
      <w:r>
        <w:rPr>
          <w:rFonts w:hint="eastAsia" w:ascii="仿宋" w:hAnsi="仿宋" w:eastAsia="仿宋" w:cs="仿宋"/>
          <w:sz w:val="32"/>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绩效目标设置情况</w:t>
      </w:r>
    </w:p>
    <w:p>
      <w:pPr>
        <w:ind w:firstLine="640" w:firstLineChars="200"/>
        <w:jc w:val="left"/>
        <w:rPr>
          <w:rFonts w:hint="eastAsia" w:ascii="仿宋" w:hAnsi="仿宋" w:eastAsia="仿宋" w:cs="仿宋"/>
          <w:sz w:val="32"/>
        </w:rPr>
      </w:pPr>
      <w:r>
        <w:rPr>
          <w:rFonts w:hint="eastAsia" w:ascii="仿宋" w:hAnsi="仿宋" w:eastAsia="仿宋" w:cs="仿宋"/>
          <w:sz w:val="32"/>
        </w:rPr>
        <w:t>我单位</w:t>
      </w:r>
      <w:r>
        <w:rPr>
          <w:rFonts w:hint="eastAsia" w:ascii="仿宋" w:hAnsi="仿宋" w:eastAsia="仿宋" w:cs="仿宋"/>
          <w:sz w:val="32"/>
          <w:lang w:eastAsia="zh-CN"/>
        </w:rPr>
        <w:t>2023年</w:t>
      </w:r>
      <w:r>
        <w:rPr>
          <w:rFonts w:hint="eastAsia" w:ascii="仿宋" w:hAnsi="仿宋" w:eastAsia="仿宋" w:cs="仿宋"/>
          <w:sz w:val="32"/>
        </w:rPr>
        <w:t>预算项目均按要求编制了绩效目标，从 项目产出、项目效益、满意度等方面设置了绩效目标，综合 反映项目预期完成的数量、实效、质量，预期达到的社会经 济效益、可持续影响以及对象满意度等情况。</w:t>
      </w:r>
    </w:p>
    <w:p>
      <w:pPr>
        <w:ind w:firstLine="640" w:firstLineChars="200"/>
        <w:jc w:val="left"/>
        <w:rPr>
          <w:rFonts w:hint="eastAsia" w:ascii="仿宋" w:hAnsi="仿宋" w:eastAsia="仿宋" w:cs="仿宋"/>
          <w:sz w:val="32"/>
          <w:highlight w:val="none"/>
        </w:rPr>
      </w:pPr>
      <w:r>
        <w:rPr>
          <w:rFonts w:hint="eastAsia" w:ascii="仿宋_GB2312" w:hAnsi="仿宋_GB2312" w:eastAsia="仿宋_GB2312" w:cs="仿宋_GB2312"/>
          <w:color w:val="000000"/>
          <w:kern w:val="0"/>
          <w:sz w:val="32"/>
          <w:szCs w:val="32"/>
          <w:highlight w:val="none"/>
        </w:rPr>
        <w:t>20</w:t>
      </w:r>
      <w:bookmarkStart w:id="0" w:name="PO_part2A10B3Amount2"/>
      <w:r>
        <w:rPr>
          <w:rFonts w:hint="eastAsia" w:ascii="仿宋_GB2312" w:hAnsi="仿宋_GB2312" w:eastAsia="仿宋_GB2312" w:cs="仿宋_GB2312"/>
          <w:color w:val="000000"/>
          <w:kern w:val="0"/>
          <w:sz w:val="32"/>
          <w:szCs w:val="32"/>
          <w:highlight w:val="none"/>
          <w:lang w:val="en-US" w:eastAsia="zh-CN"/>
        </w:rPr>
        <w:t>23</w:t>
      </w:r>
      <w:r>
        <w:rPr>
          <w:rFonts w:hint="eastAsia" w:ascii="仿宋_GB2312" w:hAnsi="仿宋_GB2312" w:eastAsia="仿宋_GB2312" w:cs="仿宋_GB2312"/>
          <w:color w:val="000000"/>
          <w:kern w:val="0"/>
          <w:sz w:val="11"/>
          <w:szCs w:val="11"/>
          <w:highlight w:val="none"/>
        </w:rPr>
        <w:t xml:space="preserve"> </w:t>
      </w:r>
      <w:bookmarkEnd w:id="0"/>
      <w:r>
        <w:rPr>
          <w:rFonts w:hint="eastAsia" w:ascii="仿宋_GB2312" w:hAnsi="仿宋_GB2312" w:eastAsia="仿宋_GB2312" w:cs="仿宋_GB2312"/>
          <w:color w:val="000000"/>
          <w:kern w:val="0"/>
          <w:sz w:val="32"/>
          <w:szCs w:val="32"/>
          <w:highlight w:val="none"/>
        </w:rPr>
        <w:t>年部门预算金额共计</w:t>
      </w:r>
      <w:bookmarkStart w:id="1" w:name="PO_part2A10B3Amount3"/>
      <w:r>
        <w:rPr>
          <w:rFonts w:hint="eastAsia" w:ascii="仿宋" w:hAnsi="仿宋" w:eastAsia="仿宋" w:cs="仿宋"/>
          <w:sz w:val="32"/>
          <w:szCs w:val="32"/>
          <w:highlight w:val="none"/>
          <w:lang w:val="en-US" w:eastAsia="zh-CN"/>
        </w:rPr>
        <w:t>678.02</w:t>
      </w:r>
      <w:r>
        <w:rPr>
          <w:rFonts w:hint="eastAsia" w:ascii="仿宋_GB2312" w:hAnsi="仿宋_GB2312" w:eastAsia="仿宋_GB2312" w:cs="仿宋_GB2312"/>
          <w:color w:val="000000"/>
          <w:kern w:val="0"/>
          <w:sz w:val="11"/>
          <w:szCs w:val="11"/>
          <w:highlight w:val="none"/>
        </w:rPr>
        <w:t xml:space="preserve"> </w:t>
      </w:r>
      <w:bookmarkEnd w:id="1"/>
      <w:r>
        <w:rPr>
          <w:rFonts w:hint="eastAsia" w:ascii="仿宋_GB2312" w:hAnsi="仿宋_GB2312" w:eastAsia="仿宋_GB2312" w:cs="仿宋_GB2312"/>
          <w:color w:val="000000"/>
          <w:kern w:val="0"/>
          <w:sz w:val="32"/>
          <w:szCs w:val="32"/>
          <w:highlight w:val="none"/>
        </w:rPr>
        <w:t>万元，其中项目共</w:t>
      </w:r>
      <w:bookmarkStart w:id="2" w:name="PO_part2A10B3Amount4"/>
      <w:r>
        <w:rPr>
          <w:rFonts w:hint="eastAsia" w:ascii="仿宋_GB2312" w:hAnsi="仿宋_GB2312" w:eastAsia="仿宋_GB2312" w:cs="仿宋_GB2312"/>
          <w:color w:val="000000"/>
          <w:kern w:val="0"/>
          <w:sz w:val="32"/>
          <w:szCs w:val="32"/>
          <w:highlight w:val="none"/>
          <w:lang w:val="en-US" w:eastAsia="zh-CN"/>
        </w:rPr>
        <w:t>3</w:t>
      </w:r>
      <w:r>
        <w:rPr>
          <w:rFonts w:hint="eastAsia" w:ascii="仿宋_GB2312" w:hAnsi="仿宋_GB2312" w:eastAsia="仿宋_GB2312" w:cs="仿宋_GB2312"/>
          <w:color w:val="000000"/>
          <w:kern w:val="0"/>
          <w:sz w:val="11"/>
          <w:szCs w:val="11"/>
          <w:highlight w:val="none"/>
        </w:rPr>
        <w:t xml:space="preserve"> </w:t>
      </w:r>
      <w:bookmarkEnd w:id="2"/>
      <w:r>
        <w:rPr>
          <w:rFonts w:hint="eastAsia" w:ascii="仿宋_GB2312" w:hAnsi="仿宋_GB2312" w:eastAsia="仿宋_GB2312" w:cs="仿宋_GB2312"/>
          <w:color w:val="000000"/>
          <w:kern w:val="0"/>
          <w:sz w:val="32"/>
          <w:szCs w:val="32"/>
          <w:highlight w:val="none"/>
        </w:rPr>
        <w:t>个，金额为</w:t>
      </w:r>
      <w:bookmarkStart w:id="3" w:name="PO_part2A10B3Amount5"/>
      <w:r>
        <w:rPr>
          <w:rFonts w:hint="eastAsia" w:ascii="仿宋" w:hAnsi="仿宋" w:eastAsia="仿宋" w:cs="仿宋"/>
          <w:sz w:val="32"/>
          <w:highlight w:val="none"/>
          <w:lang w:val="en-US" w:eastAsia="zh-CN"/>
        </w:rPr>
        <w:t>464.25</w:t>
      </w:r>
      <w:r>
        <w:rPr>
          <w:rFonts w:hint="eastAsia" w:ascii="仿宋_GB2312" w:hAnsi="仿宋_GB2312" w:eastAsia="仿宋_GB2312" w:cs="仿宋_GB2312"/>
          <w:color w:val="000000"/>
          <w:kern w:val="0"/>
          <w:sz w:val="11"/>
          <w:szCs w:val="11"/>
          <w:highlight w:val="none"/>
        </w:rPr>
        <w:t xml:space="preserve"> </w:t>
      </w:r>
      <w:bookmarkEnd w:id="3"/>
      <w:r>
        <w:rPr>
          <w:rFonts w:hint="eastAsia" w:ascii="仿宋_GB2312" w:hAnsi="仿宋_GB2312" w:eastAsia="仿宋_GB2312" w:cs="仿宋_GB2312"/>
          <w:color w:val="000000"/>
          <w:kern w:val="0"/>
          <w:sz w:val="32"/>
          <w:szCs w:val="32"/>
          <w:highlight w:val="none"/>
        </w:rPr>
        <w:t>万元</w:t>
      </w:r>
    </w:p>
    <w:p>
      <w:pPr>
        <w:numPr>
          <w:ilvl w:val="0"/>
          <w:numId w:val="6"/>
        </w:numPr>
        <w:ind w:firstLine="643" w:firstLineChars="200"/>
        <w:jc w:val="left"/>
        <w:rPr>
          <w:rFonts w:ascii="仿宋" w:hAnsi="仿宋" w:eastAsia="仿宋" w:cs="仿宋"/>
          <w:b/>
          <w:bCs/>
          <w:sz w:val="32"/>
        </w:rPr>
      </w:pPr>
      <w:r>
        <w:rPr>
          <w:rFonts w:hint="eastAsia" w:ascii="仿宋" w:hAnsi="仿宋" w:eastAsia="仿宋" w:cs="仿宋"/>
          <w:b/>
          <w:bCs/>
          <w:sz w:val="32"/>
        </w:rPr>
        <w:t>国有资产占用情况</w:t>
      </w:r>
    </w:p>
    <w:p>
      <w:pPr>
        <w:ind w:firstLine="640" w:firstLineChars="200"/>
        <w:jc w:val="left"/>
        <w:rPr>
          <w:rFonts w:ascii="仿宋" w:hAnsi="仿宋" w:eastAsia="仿宋" w:cs="仿宋"/>
          <w:sz w:val="32"/>
        </w:rPr>
      </w:pPr>
      <w:r>
        <w:rPr>
          <w:rFonts w:hint="eastAsia" w:ascii="仿宋" w:hAnsi="仿宋" w:eastAsia="仿宋" w:cs="仿宋"/>
          <w:sz w:val="32"/>
          <w:lang w:eastAsia="zh-CN"/>
        </w:rPr>
        <w:t>2022年</w:t>
      </w:r>
      <w:r>
        <w:rPr>
          <w:rFonts w:hint="eastAsia" w:ascii="仿宋" w:hAnsi="仿宋" w:eastAsia="仿宋" w:cs="仿宋"/>
          <w:sz w:val="32"/>
        </w:rPr>
        <w:t>期末，我单位共有车辆</w:t>
      </w:r>
      <w:r>
        <w:rPr>
          <w:rFonts w:hint="eastAsia" w:ascii="仿宋" w:hAnsi="仿宋" w:eastAsia="仿宋" w:cs="仿宋"/>
          <w:sz w:val="32"/>
          <w:lang w:val="en-US" w:eastAsia="zh-CN"/>
        </w:rPr>
        <w:t>0</w:t>
      </w:r>
      <w:r>
        <w:rPr>
          <w:rFonts w:hint="eastAsia" w:ascii="仿宋" w:hAnsi="仿宋" w:eastAsia="仿宋" w:cs="仿宋"/>
          <w:sz w:val="32"/>
        </w:rPr>
        <w:t>辆，其中：一般公务用车</w:t>
      </w:r>
      <w:r>
        <w:rPr>
          <w:rFonts w:hint="eastAsia" w:ascii="仿宋" w:hAnsi="仿宋" w:eastAsia="仿宋" w:cs="仿宋"/>
          <w:sz w:val="32"/>
          <w:lang w:val="en-US" w:eastAsia="zh-CN"/>
        </w:rPr>
        <w:t>0</w:t>
      </w:r>
      <w:r>
        <w:rPr>
          <w:rFonts w:hint="eastAsia" w:ascii="仿宋" w:hAnsi="仿宋" w:eastAsia="仿宋" w:cs="仿宋"/>
          <w:sz w:val="32"/>
        </w:rPr>
        <w:t>辆、一般执法执勤用车</w:t>
      </w:r>
      <w:r>
        <w:rPr>
          <w:rFonts w:hint="eastAsia" w:ascii="仿宋" w:hAnsi="仿宋" w:eastAsia="仿宋" w:cs="仿宋"/>
          <w:sz w:val="32"/>
          <w:lang w:val="en-US" w:eastAsia="zh-CN"/>
        </w:rPr>
        <w:t>0</w:t>
      </w:r>
      <w:r>
        <w:rPr>
          <w:rFonts w:hint="eastAsia" w:ascii="仿宋" w:hAnsi="仿宋" w:eastAsia="仿宋" w:cs="仿宋"/>
          <w:sz w:val="32"/>
        </w:rPr>
        <w:t>辆、其他用车</w:t>
      </w:r>
      <w:r>
        <w:rPr>
          <w:rFonts w:hint="eastAsia" w:ascii="仿宋" w:hAnsi="仿宋" w:eastAsia="仿宋" w:cs="仿宋"/>
          <w:sz w:val="32"/>
          <w:lang w:val="en-US" w:eastAsia="zh-CN"/>
        </w:rPr>
        <w:t>0</w:t>
      </w:r>
      <w:r>
        <w:rPr>
          <w:rFonts w:hint="eastAsia" w:ascii="仿宋" w:hAnsi="仿宋" w:eastAsia="仿宋" w:cs="仿宋"/>
          <w:sz w:val="32"/>
        </w:rPr>
        <w:t>辆；单价50万元以上通用设备</w:t>
      </w:r>
      <w:r>
        <w:rPr>
          <w:rFonts w:hint="eastAsia" w:ascii="仿宋" w:hAnsi="仿宋" w:eastAsia="仿宋" w:cs="仿宋"/>
          <w:sz w:val="32"/>
          <w:lang w:val="en-US" w:eastAsia="zh-CN"/>
        </w:rPr>
        <w:t>0</w:t>
      </w:r>
      <w:r>
        <w:rPr>
          <w:rFonts w:hint="eastAsia" w:ascii="仿宋" w:hAnsi="仿宋" w:eastAsia="仿宋" w:cs="仿宋"/>
          <w:sz w:val="32"/>
        </w:rPr>
        <w:t>套，单位价值100万元以上专用设备</w:t>
      </w:r>
      <w:r>
        <w:rPr>
          <w:rFonts w:hint="eastAsia" w:ascii="仿宋" w:hAnsi="仿宋" w:eastAsia="仿宋" w:cs="仿宋"/>
          <w:sz w:val="32"/>
          <w:lang w:val="en-US" w:eastAsia="zh-CN"/>
        </w:rPr>
        <w:t>0</w:t>
      </w:r>
      <w:r>
        <w:rPr>
          <w:rFonts w:hint="eastAsia" w:ascii="仿宋" w:hAnsi="仿宋" w:eastAsia="仿宋" w:cs="仿宋"/>
          <w:sz w:val="32"/>
        </w:rPr>
        <w:t>套。</w:t>
      </w:r>
    </w:p>
    <w:p>
      <w:pPr>
        <w:ind w:firstLine="643" w:firstLineChars="200"/>
        <w:jc w:val="left"/>
        <w:rPr>
          <w:rFonts w:ascii="黑体" w:hAnsi="黑体" w:eastAsia="黑体"/>
          <w:b/>
          <w:bCs/>
          <w:sz w:val="32"/>
        </w:rPr>
      </w:pPr>
      <w:r>
        <w:rPr>
          <w:rFonts w:hint="eastAsia" w:ascii="仿宋" w:hAnsi="仿宋" w:eastAsia="仿宋" w:cs="仿宋"/>
          <w:b/>
          <w:bCs/>
          <w:sz w:val="32"/>
        </w:rPr>
        <w:t>（五）专项转移支付项目情况</w:t>
      </w:r>
    </w:p>
    <w:p>
      <w:pPr>
        <w:ind w:firstLine="640" w:firstLineChars="200"/>
        <w:jc w:val="left"/>
        <w:rPr>
          <w:rFonts w:ascii="仿宋" w:hAnsi="仿宋" w:eastAsia="仿宋" w:cs="仿宋"/>
          <w:sz w:val="32"/>
        </w:rPr>
      </w:pPr>
      <w:r>
        <w:rPr>
          <w:rFonts w:hint="eastAsia" w:ascii="仿宋" w:hAnsi="仿宋" w:eastAsia="仿宋" w:cs="仿宋"/>
          <w:sz w:val="32"/>
        </w:rPr>
        <w:t>我单位负责管理的专项转移支付项目共有</w:t>
      </w:r>
      <w:r>
        <w:rPr>
          <w:rFonts w:hint="eastAsia" w:ascii="仿宋" w:hAnsi="仿宋" w:eastAsia="仿宋" w:cs="仿宋"/>
          <w:sz w:val="32"/>
          <w:lang w:val="en-US" w:eastAsia="zh-CN"/>
        </w:rPr>
        <w:t>0</w:t>
      </w:r>
      <w:r>
        <w:rPr>
          <w:rFonts w:hint="eastAsia" w:ascii="仿宋" w:hAnsi="仿宋" w:eastAsia="仿宋" w:cs="仿宋"/>
          <w:sz w:val="32"/>
        </w:rPr>
        <w:t>项。主要是:</w:t>
      </w:r>
      <w:r>
        <w:rPr>
          <w:rFonts w:hint="eastAsia" w:ascii="仿宋" w:hAnsi="仿宋" w:eastAsia="仿宋" w:cs="仿宋"/>
          <w:sz w:val="32"/>
          <w:lang w:val="en-US" w:eastAsia="zh-CN"/>
        </w:rPr>
        <w:t>无</w:t>
      </w:r>
      <w:r>
        <w:rPr>
          <w:rFonts w:hint="eastAsia" w:ascii="仿宋" w:hAnsi="仿宋" w:eastAsia="仿宋" w:cs="仿宋"/>
          <w:sz w:val="32"/>
        </w:rPr>
        <w:t>专项资金。我单位将按照《预算法》等有关规定， 积极做好项目分配前期准备工作，在规定的时间内向财政部门提出资金分配意见，根据有关要求做好项目申报公开等相关工作。</w:t>
      </w:r>
    </w:p>
    <w:p>
      <w:pPr>
        <w:rPr>
          <w:rFonts w:ascii="黑体" w:hAnsi="黑体" w:eastAsia="黑体"/>
          <w:b/>
          <w:bCs/>
          <w:sz w:val="36"/>
          <w:szCs w:val="36"/>
        </w:rPr>
      </w:pPr>
    </w:p>
    <w:p>
      <w:pPr>
        <w:jc w:val="center"/>
        <w:rPr>
          <w:rFonts w:ascii="黑体" w:hAnsi="黑体" w:eastAsia="黑体"/>
          <w:b/>
          <w:bCs/>
          <w:sz w:val="36"/>
          <w:szCs w:val="36"/>
        </w:rPr>
      </w:pPr>
      <w:r>
        <w:rPr>
          <w:rFonts w:hint="eastAsia" w:ascii="黑体" w:hAnsi="黑体" w:eastAsia="黑体"/>
          <w:b/>
          <w:bCs/>
          <w:sz w:val="36"/>
          <w:szCs w:val="36"/>
        </w:rPr>
        <w:t xml:space="preserve">第三部分 </w:t>
      </w:r>
    </w:p>
    <w:p>
      <w:pPr>
        <w:jc w:val="center"/>
        <w:rPr>
          <w:rFonts w:ascii="黑体" w:hAnsi="黑体" w:eastAsia="黑体"/>
          <w:b/>
          <w:bCs/>
          <w:sz w:val="36"/>
          <w:szCs w:val="36"/>
        </w:rPr>
      </w:pPr>
      <w:r>
        <w:rPr>
          <w:rFonts w:hint="eastAsia" w:ascii="黑体" w:hAnsi="黑体" w:eastAsia="黑体"/>
          <w:b/>
          <w:bCs/>
          <w:sz w:val="36"/>
          <w:szCs w:val="36"/>
        </w:rPr>
        <w:t>名词解释</w:t>
      </w:r>
    </w:p>
    <w:p>
      <w:pPr>
        <w:jc w:val="left"/>
        <w:rPr>
          <w:rFonts w:ascii="黑体" w:hAnsi="黑体" w:eastAsia="黑体"/>
          <w:sz w:val="32"/>
        </w:rPr>
      </w:pP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 xml:space="preserve">财政拨款收入：是指县级财政当年拨付的资金。 </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事业收入：是指事业单位开展专业活动及辅助活动</w:t>
      </w:r>
    </w:p>
    <w:p>
      <w:pPr>
        <w:jc w:val="left"/>
        <w:rPr>
          <w:rFonts w:ascii="仿宋" w:hAnsi="仿宋" w:eastAsia="仿宋" w:cs="仿宋"/>
          <w:sz w:val="32"/>
        </w:rPr>
      </w:pPr>
      <w:r>
        <w:rPr>
          <w:rFonts w:hint="eastAsia" w:ascii="仿宋" w:hAnsi="仿宋" w:eastAsia="仿宋" w:cs="仿宋"/>
          <w:sz w:val="32"/>
        </w:rPr>
        <w:t>所取得的收入。</w:t>
      </w:r>
    </w:p>
    <w:p>
      <w:pPr>
        <w:numPr>
          <w:ilvl w:val="0"/>
          <w:numId w:val="7"/>
        </w:numPr>
        <w:ind w:firstLine="640" w:firstLineChars="200"/>
        <w:jc w:val="left"/>
        <w:rPr>
          <w:rFonts w:ascii="宋体" w:hAnsi="宋体" w:eastAsia="宋体" w:cs="宋体"/>
          <w:color w:val="333333"/>
          <w:sz w:val="24"/>
        </w:rPr>
      </w:pPr>
      <w:r>
        <w:rPr>
          <w:rFonts w:hint="eastAsia" w:ascii="仿宋" w:hAnsi="仿宋" w:eastAsia="仿宋" w:cs="仿宋"/>
          <w:sz w:val="32"/>
        </w:rPr>
        <w:t>其他收入：是指部门取得的除“财政拨款”、“事 业收入”、“事业单位经营收入”等以外的收入。</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上年结转：</w:t>
      </w:r>
      <w:r>
        <w:rPr>
          <w:rFonts w:hint="eastAsia" w:ascii="仿宋" w:hAnsi="仿宋" w:eastAsia="仿宋" w:cs="仿宋"/>
          <w:color w:val="333333"/>
          <w:sz w:val="32"/>
          <w:szCs w:val="32"/>
          <w:shd w:val="clear" w:color="auto" w:fill="FFFFFF"/>
        </w:rPr>
        <w:t>指以前年度安排、结转到本年仍按原用途继续使用的资金。</w:t>
      </w:r>
    </w:p>
    <w:p>
      <w:pPr>
        <w:numPr>
          <w:ilvl w:val="0"/>
          <w:numId w:val="7"/>
        </w:numPr>
        <w:ind w:firstLine="640" w:firstLineChars="200"/>
        <w:jc w:val="left"/>
        <w:rPr>
          <w:rFonts w:ascii="仿宋" w:hAnsi="仿宋" w:eastAsia="仿宋" w:cs="仿宋"/>
          <w:sz w:val="32"/>
        </w:rPr>
      </w:pPr>
      <w:r>
        <w:rPr>
          <w:rFonts w:ascii="仿宋" w:hAnsi="仿宋" w:eastAsia="仿宋" w:cs="仿宋"/>
          <w:color w:val="333333"/>
          <w:sz w:val="32"/>
          <w:szCs w:val="32"/>
          <w:shd w:val="clear" w:color="auto" w:fill="FFFFFF"/>
        </w:rPr>
        <w:t>结转下年：</w:t>
      </w:r>
      <w:r>
        <w:rPr>
          <w:rFonts w:hint="eastAsia" w:ascii="仿宋" w:hAnsi="仿宋" w:eastAsia="仿宋" w:cs="仿宋"/>
          <w:color w:val="333333"/>
          <w:sz w:val="32"/>
          <w:szCs w:val="32"/>
          <w:shd w:val="clear" w:color="auto" w:fill="FFFFFF"/>
        </w:rPr>
        <w:t>指以前年度预算安排、因客观条件发生变化无法按原计划实施，需以后年度按原用途继续使用的资金。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用事业基金弥补收支差额：是指事业单位在当年的 “财政拨款收入”、“事业收入”、“经营收入”和“其他 收入”不足以安排当年支出的情况下，使用以前年度积累的 事业基金（即事业单位以前各年度收支相抵后，按国家规定 提取、用于弥补以后年度收支差额的基金）弥补当年收支 缺口的资金。</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基本支出：是指为保障机构正常运转、完成日常工 作任务所必需的开支，其内容包括人员经费和日常公用经费 两部分。</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项目支出：是指在基本支出之外，为完成特定的行政工作任务或事业发展目标所发生的支出。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“三公”经费：是指纳入市级财政预算管理，部门 使用财政拨款安排的因公出国（境）费、公务用车购置及运 行费和公务接待费。其中，因公出国（境）费反映单位公务 出国（境）的住宿费、旅费、伙食补助费、杂费、培训费等 支出；公务用车购置及运行费反映单位公务用车购置费及租 用费、燃料费、维修费、过路过桥费、保险费、安全奖励费 用等支出；公务接待费反映单位按规定开支的各类公务接待</w:t>
      </w:r>
    </w:p>
    <w:p>
      <w:pPr>
        <w:jc w:val="left"/>
        <w:rPr>
          <w:rFonts w:ascii="仿宋" w:hAnsi="仿宋" w:eastAsia="仿宋" w:cs="仿宋"/>
          <w:sz w:val="32"/>
        </w:rPr>
      </w:pPr>
      <w:r>
        <w:rPr>
          <w:rFonts w:hint="eastAsia" w:ascii="仿宋" w:hAnsi="仿宋" w:eastAsia="仿宋" w:cs="仿宋"/>
          <w:sz w:val="32"/>
        </w:rPr>
        <w:t>（含外宾接待）支出。</w:t>
      </w:r>
    </w:p>
    <w:p>
      <w:pPr>
        <w:numPr>
          <w:ilvl w:val="0"/>
          <w:numId w:val="7"/>
        </w:numPr>
        <w:ind w:firstLine="640" w:firstLineChars="200"/>
        <w:jc w:val="left"/>
        <w:rPr>
          <w:rFonts w:ascii="仿宋" w:hAnsi="仿宋" w:eastAsia="仿宋" w:cs="仿宋"/>
          <w:sz w:val="32"/>
        </w:rPr>
      </w:pPr>
      <w:r>
        <w:rPr>
          <w:rFonts w:hint="eastAsia" w:ascii="仿宋" w:hAnsi="仿宋" w:eastAsia="仿宋" w:cs="仿宋"/>
          <w:sz w:val="32"/>
        </w:rPr>
        <w:t>行政（事业）单位机构运转经费：是指为保障单位（包括行政单位和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numPr>
          <w:ilvl w:val="0"/>
          <w:numId w:val="7"/>
        </w:numPr>
        <w:ind w:firstLine="620" w:firstLineChars="200"/>
        <w:jc w:val="left"/>
        <w:rPr>
          <w:rFonts w:ascii="仿宋" w:hAnsi="仿宋" w:eastAsia="仿宋" w:cs="仿宋"/>
          <w:sz w:val="32"/>
        </w:rPr>
      </w:pPr>
      <w:r>
        <w:rPr>
          <w:rFonts w:ascii="仿宋_GB2312" w:hAnsi="宋体" w:eastAsia="仿宋_GB2312" w:cs="仿宋_GB2312"/>
          <w:color w:val="000000"/>
          <w:sz w:val="31"/>
          <w:szCs w:val="31"/>
          <w:shd w:val="clear" w:color="auto" w:fill="FFFFFF"/>
        </w:rPr>
        <w:t>专项转移支付：</w:t>
      </w:r>
      <w:r>
        <w:rPr>
          <w:rFonts w:hint="eastAsia" w:ascii="仿宋_GB2312" w:hAnsi="宋体" w:eastAsia="仿宋_GB2312" w:cs="仿宋_GB2312"/>
          <w:color w:val="000000"/>
          <w:sz w:val="31"/>
          <w:szCs w:val="31"/>
          <w:shd w:val="clear" w:color="auto" w:fill="FFFFFF"/>
        </w:rPr>
        <w:t>是指上级政府(在我国一般指中央、省、市级政府)为实现特定的宏观政策目标，以及对委托下级政府代理的一些事务进行补偿而设立的专项补助资金。资金接受者需按规定用途使用资金。</w:t>
      </w:r>
    </w:p>
    <w:p>
      <w:pPr>
        <w:tabs>
          <w:tab w:val="left" w:pos="7506"/>
        </w:tabs>
        <w:ind w:firstLine="640" w:firstLineChars="200"/>
        <w:jc w:val="left"/>
        <w:rPr>
          <w:rFonts w:ascii="黑体" w:hAnsi="黑体" w:eastAsia="黑体" w:cs="黑体"/>
          <w:sz w:val="32"/>
        </w:rPr>
      </w:pPr>
      <w:r>
        <w:rPr>
          <w:rFonts w:hint="eastAsia" w:ascii="黑体" w:hAnsi="黑体" w:eastAsia="黑体" w:cs="黑体"/>
          <w:sz w:val="32"/>
        </w:rPr>
        <w:t>附件：</w:t>
      </w:r>
      <w:r>
        <w:rPr>
          <w:rFonts w:hint="eastAsia" w:ascii="黑体" w:hAnsi="黑体" w:eastAsia="黑体" w:cs="黑体"/>
          <w:sz w:val="32"/>
          <w:lang w:eastAsia="zh-CN"/>
        </w:rPr>
        <w:t>淮滨县房产服务中心2023年</w:t>
      </w:r>
      <w:r>
        <w:rPr>
          <w:rFonts w:hint="eastAsia" w:ascii="黑体" w:hAnsi="黑体" w:eastAsia="黑体" w:cs="黑体"/>
          <w:sz w:val="32"/>
        </w:rPr>
        <w:t>部门预算表</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C8B0532"/>
    <w:multiLevelType w:val="singleLevel"/>
    <w:tmpl w:val="CC8B0532"/>
    <w:lvl w:ilvl="0" w:tentative="0">
      <w:start w:val="1"/>
      <w:numFmt w:val="chineseCounting"/>
      <w:suff w:val="space"/>
      <w:lvlText w:val="第%1部分"/>
      <w:lvlJc w:val="left"/>
      <w:rPr>
        <w:rFonts w:hint="eastAsia"/>
      </w:rPr>
    </w:lvl>
  </w:abstractNum>
  <w:abstractNum w:abstractNumId="1">
    <w:nsid w:val="DECAE212"/>
    <w:multiLevelType w:val="singleLevel"/>
    <w:tmpl w:val="DECAE212"/>
    <w:lvl w:ilvl="0" w:tentative="0">
      <w:start w:val="1"/>
      <w:numFmt w:val="chineseCounting"/>
      <w:suff w:val="nothing"/>
      <w:lvlText w:val="%1、"/>
      <w:lvlJc w:val="left"/>
      <w:pPr>
        <w:ind w:left="-10"/>
      </w:pPr>
      <w:rPr>
        <w:rFonts w:hint="eastAsia"/>
      </w:rPr>
    </w:lvl>
  </w:abstractNum>
  <w:abstractNum w:abstractNumId="2">
    <w:nsid w:val="E1D7C83E"/>
    <w:multiLevelType w:val="singleLevel"/>
    <w:tmpl w:val="E1D7C83E"/>
    <w:lvl w:ilvl="0" w:tentative="0">
      <w:start w:val="1"/>
      <w:numFmt w:val="chineseCounting"/>
      <w:suff w:val="nothing"/>
      <w:lvlText w:val="%1、"/>
      <w:lvlJc w:val="left"/>
      <w:rPr>
        <w:rFonts w:hint="eastAsia" w:ascii="仿宋" w:hAnsi="仿宋" w:eastAsia="仿宋" w:cs="仿宋"/>
        <w:b w:val="0"/>
        <w:bCs w:val="0"/>
        <w:sz w:val="32"/>
        <w:szCs w:val="32"/>
      </w:rPr>
    </w:lvl>
  </w:abstractNum>
  <w:abstractNum w:abstractNumId="3">
    <w:nsid w:val="1DBE515B"/>
    <w:multiLevelType w:val="singleLevel"/>
    <w:tmpl w:val="1DBE515B"/>
    <w:lvl w:ilvl="0" w:tentative="0">
      <w:start w:val="1"/>
      <w:numFmt w:val="chineseCounting"/>
      <w:suff w:val="nothing"/>
      <w:lvlText w:val="%1、"/>
      <w:lvlJc w:val="left"/>
      <w:rPr>
        <w:rFonts w:hint="eastAsia"/>
      </w:rPr>
    </w:lvl>
  </w:abstractNum>
  <w:abstractNum w:abstractNumId="4">
    <w:nsid w:val="61D09A37"/>
    <w:multiLevelType w:val="singleLevel"/>
    <w:tmpl w:val="61D09A37"/>
    <w:lvl w:ilvl="0" w:tentative="0">
      <w:start w:val="1"/>
      <w:numFmt w:val="chineseCounting"/>
      <w:suff w:val="nothing"/>
      <w:lvlText w:val="（%1）"/>
      <w:lvlJc w:val="left"/>
      <w:rPr>
        <w:rFonts w:hint="eastAsia"/>
      </w:rPr>
    </w:lvl>
  </w:abstractNum>
  <w:abstractNum w:abstractNumId="5">
    <w:nsid w:val="6EC1A300"/>
    <w:multiLevelType w:val="singleLevel"/>
    <w:tmpl w:val="6EC1A300"/>
    <w:lvl w:ilvl="0" w:tentative="0">
      <w:start w:val="1"/>
      <w:numFmt w:val="chineseCounting"/>
      <w:suff w:val="nothing"/>
      <w:lvlText w:val="%1、"/>
      <w:lvlJc w:val="left"/>
      <w:rPr>
        <w:rFonts w:hint="eastAsia"/>
      </w:rPr>
    </w:lvl>
  </w:abstractNum>
  <w:abstractNum w:abstractNumId="6">
    <w:nsid w:val="73A1052D"/>
    <w:multiLevelType w:val="singleLevel"/>
    <w:tmpl w:val="73A1052D"/>
    <w:lvl w:ilvl="0" w:tentative="0">
      <w:start w:val="3"/>
      <w:numFmt w:val="chineseCounting"/>
      <w:suff w:val="nothing"/>
      <w:lvlText w:val="（%1）"/>
      <w:lvlJc w:val="left"/>
      <w:rPr>
        <w:rFonts w:hint="eastAsia"/>
      </w:rPr>
    </w:lvl>
  </w:abstractNum>
  <w:num w:numId="1">
    <w:abstractNumId w:val="3"/>
  </w:num>
  <w:num w:numId="2">
    <w:abstractNumId w:val="0"/>
  </w:num>
  <w:num w:numId="3">
    <w:abstractNumId w:val="5"/>
  </w:num>
  <w:num w:numId="4">
    <w:abstractNumId w:val="4"/>
  </w:num>
  <w:num w:numId="5">
    <w:abstractNumId w:val="1"/>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mZTcwNDYzZGMyNjA0MTc5MDc4NGVkMmNhNTdkNjQifQ=="/>
    <w:docVar w:name="KSO_WPS_MARK_KEY" w:val="841a7cc2-c802-4f50-8d4b-19657e8c4c18"/>
  </w:docVars>
  <w:rsids>
    <w:rsidRoot w:val="3E5A6C85"/>
    <w:rsid w:val="00077C0D"/>
    <w:rsid w:val="000A6609"/>
    <w:rsid w:val="000D60B2"/>
    <w:rsid w:val="00143DF7"/>
    <w:rsid w:val="001742A7"/>
    <w:rsid w:val="00174CFC"/>
    <w:rsid w:val="001B17CE"/>
    <w:rsid w:val="001C1C18"/>
    <w:rsid w:val="001F4C06"/>
    <w:rsid w:val="00490CAA"/>
    <w:rsid w:val="004B7307"/>
    <w:rsid w:val="004C7D32"/>
    <w:rsid w:val="005128CE"/>
    <w:rsid w:val="005A553F"/>
    <w:rsid w:val="005A78FC"/>
    <w:rsid w:val="005C5D65"/>
    <w:rsid w:val="00647F85"/>
    <w:rsid w:val="006D14AB"/>
    <w:rsid w:val="0091161C"/>
    <w:rsid w:val="009238E3"/>
    <w:rsid w:val="00937FE5"/>
    <w:rsid w:val="009412CA"/>
    <w:rsid w:val="00997E16"/>
    <w:rsid w:val="00AA7872"/>
    <w:rsid w:val="00AD7827"/>
    <w:rsid w:val="00B44F53"/>
    <w:rsid w:val="00BD1004"/>
    <w:rsid w:val="00C40E6C"/>
    <w:rsid w:val="00C9610D"/>
    <w:rsid w:val="00CB1918"/>
    <w:rsid w:val="00CF0B03"/>
    <w:rsid w:val="00D1451C"/>
    <w:rsid w:val="00D67A39"/>
    <w:rsid w:val="00D84F17"/>
    <w:rsid w:val="00EA37A7"/>
    <w:rsid w:val="00FB5B8C"/>
    <w:rsid w:val="037B79F7"/>
    <w:rsid w:val="041D2A27"/>
    <w:rsid w:val="05377B18"/>
    <w:rsid w:val="06440A7A"/>
    <w:rsid w:val="071D4AEC"/>
    <w:rsid w:val="084542FA"/>
    <w:rsid w:val="0A6251B2"/>
    <w:rsid w:val="0D0F4ED6"/>
    <w:rsid w:val="0D513137"/>
    <w:rsid w:val="10602789"/>
    <w:rsid w:val="11D332A9"/>
    <w:rsid w:val="123258EF"/>
    <w:rsid w:val="12EF1A32"/>
    <w:rsid w:val="144A1E7D"/>
    <w:rsid w:val="15F07B94"/>
    <w:rsid w:val="16EE1413"/>
    <w:rsid w:val="173B6758"/>
    <w:rsid w:val="191C5F4B"/>
    <w:rsid w:val="1B351FAC"/>
    <w:rsid w:val="1CA53161"/>
    <w:rsid w:val="1D0460DA"/>
    <w:rsid w:val="1D2E3157"/>
    <w:rsid w:val="1F046865"/>
    <w:rsid w:val="1FE67D19"/>
    <w:rsid w:val="20C53DD2"/>
    <w:rsid w:val="228003BD"/>
    <w:rsid w:val="228C104B"/>
    <w:rsid w:val="246B28E3"/>
    <w:rsid w:val="24DA1A42"/>
    <w:rsid w:val="274F7F6E"/>
    <w:rsid w:val="279A1B15"/>
    <w:rsid w:val="27A42993"/>
    <w:rsid w:val="28196722"/>
    <w:rsid w:val="28447CD2"/>
    <w:rsid w:val="287C2C1C"/>
    <w:rsid w:val="28DF2EEA"/>
    <w:rsid w:val="2A07545B"/>
    <w:rsid w:val="2AA67AA4"/>
    <w:rsid w:val="2AA72B5A"/>
    <w:rsid w:val="2AA8279A"/>
    <w:rsid w:val="2ACE5F14"/>
    <w:rsid w:val="2C081B10"/>
    <w:rsid w:val="2D4A0B6E"/>
    <w:rsid w:val="2F072B71"/>
    <w:rsid w:val="2F8530AA"/>
    <w:rsid w:val="30870501"/>
    <w:rsid w:val="32476D3D"/>
    <w:rsid w:val="33ED121E"/>
    <w:rsid w:val="3402116D"/>
    <w:rsid w:val="34030A42"/>
    <w:rsid w:val="34E010E6"/>
    <w:rsid w:val="358856A2"/>
    <w:rsid w:val="3699743B"/>
    <w:rsid w:val="38237904"/>
    <w:rsid w:val="3872263A"/>
    <w:rsid w:val="39D84127"/>
    <w:rsid w:val="3A2B0CF2"/>
    <w:rsid w:val="3A56330A"/>
    <w:rsid w:val="3A865F28"/>
    <w:rsid w:val="3C1F6635"/>
    <w:rsid w:val="3D3D4FC4"/>
    <w:rsid w:val="3E5A6C85"/>
    <w:rsid w:val="3FB6105E"/>
    <w:rsid w:val="404E74E8"/>
    <w:rsid w:val="419D0727"/>
    <w:rsid w:val="41FF59D4"/>
    <w:rsid w:val="42660F2F"/>
    <w:rsid w:val="43572B58"/>
    <w:rsid w:val="45554E75"/>
    <w:rsid w:val="456A4DC4"/>
    <w:rsid w:val="469A3A3C"/>
    <w:rsid w:val="469D4D26"/>
    <w:rsid w:val="46D01A4F"/>
    <w:rsid w:val="474973FF"/>
    <w:rsid w:val="483D40CA"/>
    <w:rsid w:val="4B86222C"/>
    <w:rsid w:val="4BA81253"/>
    <w:rsid w:val="4BBC3BEF"/>
    <w:rsid w:val="4CC72AFC"/>
    <w:rsid w:val="4E10402F"/>
    <w:rsid w:val="51474F18"/>
    <w:rsid w:val="519E1D35"/>
    <w:rsid w:val="55855303"/>
    <w:rsid w:val="567E1F8B"/>
    <w:rsid w:val="56CE6835"/>
    <w:rsid w:val="56E7105D"/>
    <w:rsid w:val="57F873A0"/>
    <w:rsid w:val="5EFA28BD"/>
    <w:rsid w:val="5F625217"/>
    <w:rsid w:val="5FB94CDF"/>
    <w:rsid w:val="61F061FA"/>
    <w:rsid w:val="62724E61"/>
    <w:rsid w:val="63514A76"/>
    <w:rsid w:val="647F6552"/>
    <w:rsid w:val="64BB489D"/>
    <w:rsid w:val="65921CF6"/>
    <w:rsid w:val="65B732B6"/>
    <w:rsid w:val="65DB5214"/>
    <w:rsid w:val="66A82BFF"/>
    <w:rsid w:val="66D841F4"/>
    <w:rsid w:val="67957113"/>
    <w:rsid w:val="67AE693B"/>
    <w:rsid w:val="67F105D6"/>
    <w:rsid w:val="69F65D89"/>
    <w:rsid w:val="6AAD2EDA"/>
    <w:rsid w:val="6C715A72"/>
    <w:rsid w:val="6EEF1D13"/>
    <w:rsid w:val="71BD526D"/>
    <w:rsid w:val="72AE7D36"/>
    <w:rsid w:val="746F63D8"/>
    <w:rsid w:val="747B790C"/>
    <w:rsid w:val="75A37A3E"/>
    <w:rsid w:val="75E31EA6"/>
    <w:rsid w:val="768A2321"/>
    <w:rsid w:val="76D0242A"/>
    <w:rsid w:val="791401EC"/>
    <w:rsid w:val="792702FB"/>
    <w:rsid w:val="7B6C0247"/>
    <w:rsid w:val="7EE527EB"/>
    <w:rsid w:val="7F5636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1"/>
    <w:qFormat/>
    <w:uiPriority w:val="0"/>
    <w:pPr>
      <w:jc w:val="left"/>
    </w:pPr>
  </w:style>
  <w:style w:type="paragraph" w:styleId="3">
    <w:name w:val="Body Text"/>
    <w:basedOn w:val="1"/>
    <w:unhideWhenUsed/>
    <w:qFormat/>
    <w:uiPriority w:val="1"/>
    <w:pPr>
      <w:spacing w:before="140"/>
      <w:ind w:left="120"/>
    </w:pPr>
    <w:rPr>
      <w:rFonts w:hint="eastAsia" w:ascii="仿宋" w:hAnsi="仿宋" w:eastAsia="仿宋"/>
      <w:sz w:val="32"/>
    </w:rPr>
  </w:style>
  <w:style w:type="paragraph" w:styleId="4">
    <w:name w:val="Balloon Text"/>
    <w:basedOn w:val="1"/>
    <w:link w:val="12"/>
    <w:qFormat/>
    <w:uiPriority w:val="0"/>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paragraph" w:styleId="6">
    <w:name w:val="annotation subject"/>
    <w:basedOn w:val="2"/>
    <w:next w:val="2"/>
    <w:link w:val="13"/>
    <w:qFormat/>
    <w:uiPriority w:val="0"/>
    <w:rPr>
      <w:b/>
      <w:bCs/>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annotation reference"/>
    <w:basedOn w:val="9"/>
    <w:qFormat/>
    <w:uiPriority w:val="0"/>
    <w:rPr>
      <w:sz w:val="21"/>
      <w:szCs w:val="21"/>
    </w:rPr>
  </w:style>
  <w:style w:type="character" w:customStyle="1" w:styleId="11">
    <w:name w:val="批注文字 字符"/>
    <w:basedOn w:val="9"/>
    <w:link w:val="2"/>
    <w:qFormat/>
    <w:uiPriority w:val="0"/>
    <w:rPr>
      <w:rFonts w:ascii="Calibri" w:hAnsi="Calibri" w:eastAsia="宋体" w:cs="Times New Roman"/>
      <w:kern w:val="2"/>
      <w:sz w:val="21"/>
      <w:szCs w:val="24"/>
    </w:rPr>
  </w:style>
  <w:style w:type="character" w:customStyle="1" w:styleId="12">
    <w:name w:val="批注框文本 字符"/>
    <w:basedOn w:val="9"/>
    <w:link w:val="4"/>
    <w:qFormat/>
    <w:uiPriority w:val="0"/>
    <w:rPr>
      <w:rFonts w:ascii="Calibri" w:hAnsi="Calibri" w:eastAsia="宋体" w:cs="Times New Roman"/>
      <w:kern w:val="2"/>
      <w:sz w:val="18"/>
      <w:szCs w:val="18"/>
    </w:rPr>
  </w:style>
  <w:style w:type="character" w:customStyle="1" w:styleId="13">
    <w:name w:val="批注主题 字符"/>
    <w:basedOn w:val="11"/>
    <w:link w:val="6"/>
    <w:qFormat/>
    <w:uiPriority w:val="0"/>
    <w:rPr>
      <w:rFonts w:ascii="Calibri" w:hAnsi="Calibri" w:eastAsia="宋体" w:cs="Times New Roman"/>
      <w:b/>
      <w:bCs/>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6.xml"/><Relationship Id="rId8" Type="http://schemas.openxmlformats.org/officeDocument/2006/relationships/chart" Target="charts/chart5.xml"/><Relationship Id="rId7" Type="http://schemas.openxmlformats.org/officeDocument/2006/relationships/chart" Target="charts/chart4.xml"/><Relationship Id="rId6" Type="http://schemas.openxmlformats.org/officeDocument/2006/relationships/chart" Target="charts/chart3.xml"/><Relationship Id="rId5" Type="http://schemas.openxmlformats.org/officeDocument/2006/relationships/chart" Target="charts/chart2.xml"/><Relationship Id="rId4" Type="http://schemas.openxmlformats.org/officeDocument/2006/relationships/chart" Target="charts/chart1.xml"/><Relationship Id="rId3" Type="http://schemas.openxmlformats.org/officeDocument/2006/relationships/theme" Target="theme/theme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hart" Target="charts/chart7.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5.xml"/><Relationship Id="rId3" Type="http://schemas.microsoft.com/office/2011/relationships/chartStyle" Target="style5.xml"/><Relationship Id="rId2" Type="http://schemas.openxmlformats.org/officeDocument/2006/relationships/themeOverride" Target="../theme/themeOverride7.xml"/><Relationship Id="rId1" Type="http://schemas.openxmlformats.org/officeDocument/2006/relationships/package" Target="../embeddings/Workbook7.xlsx"/></Relationships>
</file>

<file path=word/charts/_rels/chart2.xml.rels><?xml version="1.0" encoding="UTF-8" standalone="yes"?>
<Relationships xmlns="http://schemas.openxmlformats.org/package/2006/relationships"><Relationship Id="rId2" Type="http://schemas.openxmlformats.org/officeDocument/2006/relationships/themeOverride" Target="../theme/themeOverride5.xml"/><Relationship Id="rId1" Type="http://schemas.openxmlformats.org/officeDocument/2006/relationships/package" Target="../embeddings/Workbook5.xlsx"/></Relationships>
</file>

<file path=word/charts/_rels/chart3.xml.rels><?xml version="1.0" encoding="UTF-8" standalone="yes"?>
<Relationships xmlns="http://schemas.openxmlformats.org/package/2006/relationships"><Relationship Id="rId2" Type="http://schemas.openxmlformats.org/officeDocument/2006/relationships/themeOverride" Target="../theme/themeOverride4.xml"/><Relationship Id="rId1" Type="http://schemas.openxmlformats.org/officeDocument/2006/relationships/package" Target="../embeddings/Workbook4.xlsx"/></Relationships>
</file>

<file path=word/charts/_rels/chart4.xml.rels><?xml version="1.0" encoding="UTF-8" standalone="yes"?>
<Relationships xmlns="http://schemas.openxmlformats.org/package/2006/relationships"><Relationship Id="rId4" Type="http://schemas.microsoft.com/office/2011/relationships/chartColorStyle" Target="colors4.xml"/><Relationship Id="rId3" Type="http://schemas.microsoft.com/office/2011/relationships/chartStyle" Target="style4.xml"/><Relationship Id="rId2" Type="http://schemas.openxmlformats.org/officeDocument/2006/relationships/themeOverride" Target="../theme/themeOverride6.xml"/><Relationship Id="rId1" Type="http://schemas.openxmlformats.org/officeDocument/2006/relationships/package" Target="../embeddings/Workbook6.xlsx"/></Relationships>
</file>

<file path=word/charts/_rels/chart5.xml.rels><?xml version="1.0" encoding="UTF-8" standalone="yes"?>
<Relationships xmlns="http://schemas.openxmlformats.org/package/2006/relationships"><Relationship Id="rId4" Type="http://schemas.microsoft.com/office/2011/relationships/chartColorStyle" Target="colors3.xml"/><Relationship Id="rId3" Type="http://schemas.microsoft.com/office/2011/relationships/chartStyle" Target="style3.xml"/><Relationship Id="rId2" Type="http://schemas.openxmlformats.org/officeDocument/2006/relationships/themeOverride" Target="../theme/themeOverride3.xml"/><Relationship Id="rId1" Type="http://schemas.openxmlformats.org/officeDocument/2006/relationships/package" Target="../embeddings/Workbook3.xlsx"/></Relationships>
</file>

<file path=word/charts/_rels/chart6.xml.rels><?xml version="1.0" encoding="UTF-8" standalone="yes"?>
<Relationships xmlns="http://schemas.openxmlformats.org/package/2006/relationships"><Relationship Id="rId4" Type="http://schemas.microsoft.com/office/2011/relationships/chartColorStyle" Target="colors2.xml"/><Relationship Id="rId3" Type="http://schemas.microsoft.com/office/2011/relationships/chartStyle" Target="style2.xml"/><Relationship Id="rId2" Type="http://schemas.openxmlformats.org/officeDocument/2006/relationships/themeOverride" Target="../theme/themeOverride2.xml"/><Relationship Id="rId1" Type="http://schemas.openxmlformats.org/officeDocument/2006/relationships/package" Target="../embeddings/Workbook2.xlsx"/></Relationships>
</file>

<file path=word/charts/_rels/chart7.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920.7</c:v>
                </c:pt>
                <c:pt idx="1">
                  <c:v>678.02</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920.7</c:v>
                </c:pt>
                <c:pt idx="1">
                  <c:v>678.02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收入预算总体情况</a:t>
            </a:r>
            <a:endParaRPr lang="zh-CN" altLang="en-US" b="1"/>
          </a:p>
        </c:rich>
      </c:tx>
      <c:layout/>
      <c:overlay val="0"/>
      <c:spPr>
        <a:noFill/>
        <a:ln>
          <a:noFill/>
        </a:ln>
        <a:effectLst/>
      </c:spPr>
    </c:title>
    <c:autoTitleDeleted val="0"/>
    <c:plotArea>
      <c:layout/>
      <c:barChart>
        <c:barDir val="bar"/>
        <c:grouping val="clustered"/>
        <c:varyColors val="0"/>
        <c:ser>
          <c:idx val="0"/>
          <c:order val="0"/>
          <c:tx>
            <c:strRef>
              <c:f>Sheet1!$B$1</c:f>
              <c:strCache>
                <c:ptCount val="1"/>
                <c:pt idx="0">
                  <c:v>收入预算</c:v>
                </c:pt>
              </c:strCache>
            </c:strRef>
          </c:tx>
          <c:invertIfNegative val="0"/>
          <c:dPt>
            <c:idx val="0"/>
            <c:invertIfNegative val="0"/>
            <c:bubble3D val="0"/>
            <c:spPr>
              <a:solidFill>
                <a:srgbClr val="5B9BD5"/>
              </a:solidFill>
              <a:ln w="19050">
                <a:solidFill>
                  <a:sysClr val="window" lastClr="FFFFFF"/>
                </a:solidFill>
              </a:ln>
              <a:effectLst/>
            </c:spPr>
          </c:dPt>
          <c:dPt>
            <c:idx val="1"/>
            <c:invertIfNegative val="0"/>
            <c:bubble3D val="0"/>
            <c:spPr>
              <a:solidFill>
                <a:srgbClr val="ED7D31"/>
              </a:solidFill>
              <a:ln w="19050">
                <a:solidFill>
                  <a:sysClr val="window" lastClr="FFFFFF"/>
                </a:solidFill>
              </a:ln>
              <a:effectLst/>
            </c:spPr>
          </c:dPt>
          <c:dPt>
            <c:idx val="2"/>
            <c:invertIfNegative val="0"/>
            <c:bubble3D val="0"/>
            <c:spPr>
              <a:solidFill>
                <a:srgbClr val="A5A5A5"/>
              </a:solidFill>
              <a:ln w="19050">
                <a:solidFill>
                  <a:sysClr val="window" lastClr="FFFFFF"/>
                </a:solidFill>
              </a:ln>
              <a:effectLst/>
            </c:spPr>
          </c:dPt>
          <c:dPt>
            <c:idx val="3"/>
            <c:invertIfNegative val="0"/>
            <c:bubble3D val="0"/>
            <c:spPr>
              <a:solidFill>
                <a:srgbClr val="FFC000"/>
              </a:solidFill>
              <a:ln w="19050">
                <a:solidFill>
                  <a:sysClr val="window" lastClr="FFFFFF"/>
                </a:solidFill>
              </a:ln>
              <a:effectLst/>
            </c:spPr>
          </c:dPt>
          <c:dPt>
            <c:idx val="4"/>
            <c:invertIfNegative val="0"/>
            <c:bubble3D val="0"/>
            <c:spPr>
              <a:solidFill>
                <a:srgbClr val="4472C4"/>
              </a:solidFill>
              <a:ln w="19050">
                <a:solidFill>
                  <a:sysClr val="window" lastClr="FFFFFF"/>
                </a:solidFill>
              </a:ln>
              <a:effectLst/>
            </c:spPr>
          </c:dPt>
          <c:dPt>
            <c:idx val="5"/>
            <c:invertIfNegative val="0"/>
            <c:bubble3D val="0"/>
            <c:spPr>
              <a:solidFill>
                <a:srgbClr val="70AD47"/>
              </a:solidFill>
              <a:ln w="19050">
                <a:solidFill>
                  <a:sysClr val="window" lastClr="FFFFFF"/>
                </a:solidFill>
              </a:ln>
              <a:effectLst/>
            </c:spPr>
          </c:dPt>
          <c:dPt>
            <c:idx val="6"/>
            <c:invertIfNegative val="0"/>
            <c:bubble3D val="0"/>
            <c:spPr>
              <a:solidFill>
                <a:srgbClr val="5B9BD5">
                  <a:lumMod val="60000"/>
                </a:srgbClr>
              </a:solidFill>
              <a:ln w="19050">
                <a:solidFill>
                  <a:sysClr val="window" lastClr="FFFFFF"/>
                </a:solidFill>
              </a:ln>
              <a:effectLst/>
            </c:spPr>
          </c:dPt>
          <c:dPt>
            <c:idx val="7"/>
            <c:invertIfNegative val="0"/>
            <c:bubble3D val="0"/>
            <c:spPr>
              <a:solidFill>
                <a:srgbClr val="ED7D31">
                  <a:lumMod val="60000"/>
                </a:srgbClr>
              </a:solidFill>
              <a:ln w="19050">
                <a:solidFill>
                  <a:sysClr val="window" lastClr="FFFFFF"/>
                </a:solidFill>
              </a:ln>
              <a:effectLst/>
            </c:spPr>
          </c:dPt>
          <c:dPt>
            <c:idx val="8"/>
            <c:invertIfNegative val="0"/>
            <c:bubble3D val="0"/>
            <c:spPr>
              <a:solidFill>
                <a:srgbClr val="A5A5A5">
                  <a:lumMod val="60000"/>
                </a:srgbClr>
              </a:solidFill>
              <a:ln w="19050">
                <a:solidFill>
                  <a:sysClr val="window" lastClr="FFFFFF"/>
                </a:solidFill>
              </a:ln>
              <a:effectLst/>
            </c:spPr>
          </c:dPt>
          <c:dPt>
            <c:idx val="9"/>
            <c:invertIfNegative val="0"/>
            <c:bubble3D val="0"/>
            <c:spPr>
              <a:solidFill>
                <a:srgbClr val="FFC000">
                  <a:lumMod val="60000"/>
                </a:srgbClr>
              </a:solidFill>
              <a:ln w="19050">
                <a:solidFill>
                  <a:sysClr val="window" lastClr="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ext>
            </c:extLst>
          </c:dLbls>
          <c:cat>
            <c:strRef>
              <c:f>Sheet1!$A$2:$A$11</c:f>
              <c:strCache>
                <c:ptCount val="10"/>
                <c:pt idx="0">
                  <c:v>一般公共预算收入</c:v>
                </c:pt>
                <c:pt idx="1">
                  <c:v>政府性基金收入</c:v>
                </c:pt>
                <c:pt idx="2">
                  <c:v>国有资本经营收入</c:v>
                </c:pt>
                <c:pt idx="3">
                  <c:v>财政专户管理资金收入</c:v>
                </c:pt>
                <c:pt idx="4">
                  <c:v>事业收入</c:v>
                </c:pt>
                <c:pt idx="5">
                  <c:v>事业单位经营收入</c:v>
                </c:pt>
                <c:pt idx="6">
                  <c:v>上级补助收入</c:v>
                </c:pt>
                <c:pt idx="7">
                  <c:v>附属单位上缴收入</c:v>
                </c:pt>
                <c:pt idx="8">
                  <c:v>其他收入</c:v>
                </c:pt>
                <c:pt idx="9">
                  <c:v>上年结转结余</c:v>
                </c:pt>
              </c:strCache>
            </c:strRef>
          </c:cat>
          <c:val>
            <c:numRef>
              <c:f>Sheet1!$B$2:$B$11</c:f>
              <c:numCache>
                <c:formatCode>General</c:formatCode>
                <c:ptCount val="10"/>
                <c:pt idx="0">
                  <c:v>678.02</c:v>
                </c:pt>
              </c:numCache>
            </c:numRef>
          </c:val>
        </c:ser>
        <c:dLbls>
          <c:showLegendKey val="0"/>
          <c:showVal val="0"/>
          <c:showCatName val="0"/>
          <c:showSerName val="0"/>
          <c:showPercent val="0"/>
          <c:showBubbleSize val="0"/>
        </c:dLbls>
        <c:gapWidth val="100"/>
        <c:axId val="2127909856"/>
        <c:axId val="2127920256"/>
      </c:barChart>
      <c:catAx>
        <c:axId val="2127909856"/>
        <c:scaling>
          <c:orientation val="minMax"/>
        </c:scaling>
        <c:delete val="0"/>
        <c:axPos val="l"/>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20256"/>
        <c:crosses val="autoZero"/>
        <c:auto val="1"/>
        <c:lblAlgn val="ctr"/>
        <c:lblOffset val="100"/>
        <c:noMultiLvlLbl val="0"/>
      </c:catAx>
      <c:valAx>
        <c:axId val="2127920256"/>
        <c:scaling>
          <c:orientation val="minMax"/>
        </c:scaling>
        <c:delete val="0"/>
        <c:axPos val="b"/>
        <c:majorGridlines/>
        <c:numFmt formatCode="General" sourceLinked="1"/>
        <c:majorTickMark val="out"/>
        <c:minorTickMark val="none"/>
        <c:tickLblPos val="nextTo"/>
        <c:txPr>
          <a:bodyPr rot="-60000000" spcFirstLastPara="0" vertOverflow="ellipsis" vert="horz" wrap="square" anchor="ctr" anchorCtr="1"/>
          <a:lstStyle/>
          <a:p>
            <a:pPr>
              <a:defRPr lang="zh-CN" sz="1000" b="0" i="0" u="none" strike="noStrike" kern="1200" baseline="0">
                <a:solidFill>
                  <a:sysClr val="windowText" lastClr="000000"/>
                </a:solidFill>
                <a:latin typeface="+mn-lt"/>
                <a:ea typeface="+mn-ea"/>
                <a:cs typeface="+mn-cs"/>
              </a:defRPr>
            </a:pPr>
          </a:p>
        </c:txPr>
        <c:crossAx val="2127909856"/>
        <c:crosses val="autoZero"/>
        <c:crossBetween val="between"/>
      </c:valAx>
      <c:spPr>
        <a:noFill/>
        <a:ln>
          <a:noFill/>
        </a:ln>
        <a:effectLst/>
      </c:spPr>
    </c:plotArea>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b="1"/>
              <a:t>支出预算总体情况</a:t>
            </a:r>
            <a:endParaRPr lang="zh-CN" altLang="en-US" b="1"/>
          </a:p>
        </c:rich>
      </c:tx>
      <c:layout/>
      <c:overlay val="0"/>
      <c:spPr>
        <a:noFill/>
        <a:ln>
          <a:noFill/>
        </a:ln>
        <a:effectLst/>
      </c:spPr>
    </c:title>
    <c:autoTitleDeleted val="0"/>
    <c:plotArea>
      <c:layout/>
      <c:pieChart>
        <c:varyColors val="1"/>
        <c:ser>
          <c:idx val="0"/>
          <c:order val="0"/>
          <c:tx>
            <c:strRef>
              <c:f>Sheet1!$B$1</c:f>
              <c:strCache>
                <c:ptCount val="1"/>
                <c:pt idx="0">
                  <c:v>支出预算</c:v>
                </c:pt>
              </c:strCache>
            </c:strRef>
          </c:tx>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65000"/>
                    <a:lumOff val="35000"/>
                  </a:sysClr>
                </a:solidFill>
              </a:ln>
              <a:effectLst/>
            </c:spPr>
            <c:txPr>
              <a:bodyPr rot="0" spcFirstLastPara="0" vertOverflow="ellipsis" vert="horz" wrap="square" lIns="38100" tIns="19050" rIns="38100" bIns="19050" anchor="ctr" anchorCtr="1"/>
              <a:lstStyle/>
              <a:p>
                <a:pPr>
                  <a:defRPr lang="zh-CN" sz="1000" b="0" i="0" u="none" strike="noStrike" kern="1200" baseline="0">
                    <a:solidFill>
                      <a:sysClr val="windowText" lastClr="000000"/>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ext>
            </c:extLst>
          </c:dLbls>
          <c:cat>
            <c:strRef>
              <c:f>Sheet1!$A$2:$A$3</c:f>
              <c:strCache>
                <c:ptCount val="2"/>
                <c:pt idx="0">
                  <c:v>基本支出</c:v>
                </c:pt>
                <c:pt idx="1">
                  <c:v>项目支出</c:v>
                </c:pt>
              </c:strCache>
            </c:strRef>
          </c:cat>
          <c:val>
            <c:numRef>
              <c:f>Sheet1!$B$2:$B$3</c:f>
              <c:numCache>
                <c:formatCode>General</c:formatCode>
                <c:ptCount val="2"/>
                <c:pt idx="0">
                  <c:v>213.77</c:v>
                </c:pt>
                <c:pt idx="1">
                  <c:v>464.25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ctr">
              <a:defRPr lang="zh-CN" sz="1400" b="1" i="0" u="none" strike="noStrike" kern="1200" spc="0" baseline="0">
                <a:solidFill>
                  <a:sysClr val="windowText" lastClr="000000">
                    <a:lumMod val="65000"/>
                    <a:lumOff val="35000"/>
                  </a:sysClr>
                </a:solidFill>
                <a:latin typeface="+mj-ea"/>
                <a:ea typeface="+mj-ea"/>
                <a:cs typeface="+mn-cs"/>
              </a:defRPr>
            </a:pPr>
            <a:r>
              <a:rPr lang="zh-CN" altLang="en-US" b="1">
                <a:latin typeface="+mj-ea"/>
                <a:ea typeface="+mj-ea"/>
              </a:rPr>
              <a:t>财政拨款收支预算总体情况</a:t>
            </a:r>
            <a:endParaRPr lang="zh-CN" altLang="en-US" b="1">
              <a:latin typeface="+mj-ea"/>
              <a:ea typeface="+mj-ea"/>
            </a:endParaRPr>
          </a:p>
        </c:rich>
      </c:tx>
      <c:layout>
        <c:manualLayout>
          <c:xMode val="edge"/>
          <c:yMode val="edge"/>
          <c:x val="0.330989646039008"/>
          <c:y val="0.0247678018575851"/>
        </c:manualLayout>
      </c:layout>
      <c:overlay val="0"/>
      <c:spPr>
        <a:noFill/>
        <a:ln>
          <a:noFill/>
        </a:ln>
        <a:effectLst/>
      </c:spPr>
    </c:title>
    <c:autoTitleDeleted val="0"/>
    <c:plotArea>
      <c:layout/>
      <c:barChart>
        <c:barDir val="col"/>
        <c:grouping val="clustered"/>
        <c:varyColors val="0"/>
        <c:ser>
          <c:idx val="0"/>
          <c:order val="0"/>
          <c:tx>
            <c:strRef>
              <c:f>'2022年部门收支预算表'!$B$1</c:f>
              <c:strCache>
                <c:ptCount val="1"/>
                <c:pt idx="0">
                  <c:v>收入</c:v>
                </c:pt>
              </c:strCache>
            </c:strRef>
          </c:tx>
          <c:spPr>
            <a:solidFill>
              <a:srgbClr val="5B9BD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'2022年部门收支预算表'!$B$2:$B$3</c:f>
              <c:numCache>
                <c:formatCode>General</c:formatCode>
                <c:ptCount val="2"/>
                <c:pt idx="0">
                  <c:v>920.7</c:v>
                </c:pt>
                <c:pt idx="1">
                  <c:v>678.02</c:v>
                </c:pt>
              </c:numCache>
            </c:numRef>
          </c:val>
        </c:ser>
        <c:ser>
          <c:idx val="1"/>
          <c:order val="1"/>
          <c:tx>
            <c:strRef>
              <c:f>'2022年部门收支预算表'!$C$1</c:f>
              <c:strCache>
                <c:ptCount val="1"/>
                <c:pt idx="0">
                  <c:v>支出</c:v>
                </c:pt>
              </c:strCache>
            </c:strRef>
          </c:tx>
          <c:spPr>
            <a:solidFill>
              <a:srgbClr val="ED7D3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'2022年部门收支预算表'!$A$2:$A$3</c:f>
              <c:strCache>
                <c:ptCount val="2"/>
                <c:pt idx="0">
                  <c:v>2022年</c:v>
                </c:pt>
                <c:pt idx="1">
                  <c:v>2023年</c:v>
                </c:pt>
              </c:strCache>
            </c:strRef>
          </c:cat>
          <c:val>
            <c:numRef>
              <c:f>'2022年部门收支预算表'!$C$2:$C$3</c:f>
              <c:numCache>
                <c:formatCode>General</c:formatCode>
                <c:ptCount val="2"/>
                <c:pt idx="0">
                  <c:v>920.7</c:v>
                </c:pt>
                <c:pt idx="1">
                  <c:v>678.02</c:v>
                </c:pt>
              </c:numCache>
            </c:numRef>
          </c:val>
        </c:ser>
        <c:dLbls>
          <c:showLegendKey val="0"/>
          <c:showVal val="1"/>
          <c:showCatName val="0"/>
          <c:showSerName val="0"/>
          <c:showPercent val="0"/>
          <c:showBubbleSize val="0"/>
        </c:dLbls>
        <c:gapWidth val="182"/>
        <c:axId val="1007866207"/>
        <c:axId val="1007867039"/>
      </c:barChart>
      <c:catAx>
        <c:axId val="1007866207"/>
        <c:scaling>
          <c:orientation val="minMax"/>
        </c:scaling>
        <c:delete val="0"/>
        <c:axPos val="b"/>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7039"/>
        <c:crosses val="autoZero"/>
        <c:auto val="1"/>
        <c:lblAlgn val="ctr"/>
        <c:lblOffset val="100"/>
        <c:noMultiLvlLbl val="0"/>
      </c:catAx>
      <c:valAx>
        <c:axId val="1007867039"/>
        <c:scaling>
          <c:orientation val="minMax"/>
          <c:min val="50"/>
        </c:scaling>
        <c:delete val="0"/>
        <c:axPos val="l"/>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1007866207"/>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defTabSz="914400">
              <a:defRPr lang="zh-CN" sz="1400" b="1" i="0" u="none" strike="noStrike" kern="1200" spc="0" baseline="0">
                <a:solidFill>
                  <a:sysClr val="windowText" lastClr="000000">
                    <a:lumMod val="65000"/>
                    <a:lumOff val="35000"/>
                  </a:sysClr>
                </a:solidFill>
                <a:latin typeface="+mn-lt"/>
                <a:ea typeface="+mn-ea"/>
                <a:cs typeface="+mn-cs"/>
              </a:defRPr>
            </a:pPr>
            <a:r>
              <a:rPr lang="zh-CN" altLang="en-US" sz="1400"/>
              <a:t>一般公共预算支出预算情况</a:t>
            </a:r>
            <a:endParaRPr lang="zh-CN" altLang="en-US" sz="1400"/>
          </a:p>
        </c:rich>
      </c:tx>
      <c:layout/>
      <c:overlay val="0"/>
      <c:spPr>
        <a:noFill/>
        <a:ln>
          <a:noFill/>
        </a:ln>
        <a:effectLst/>
      </c:spPr>
    </c:title>
    <c:autoTitleDeleted val="0"/>
    <c:plotArea>
      <c:layout/>
      <c:pieChart>
        <c:varyColors val="1"/>
        <c:ser>
          <c:idx val="0"/>
          <c:order val="0"/>
          <c:tx>
            <c:strRef>
              <c:f>Sheet1!$B$1</c:f>
              <c:strCache>
                <c:ptCount val="1"/>
                <c:pt idx="0">
                  <c:v>列1</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基本支出</c:v>
                </c:pt>
                <c:pt idx="1">
                  <c:v>项目支出</c:v>
                </c:pt>
              </c:strCache>
            </c:strRef>
          </c:cat>
          <c:val>
            <c:numRef>
              <c:f>Sheet1!$B$2:$B$3</c:f>
              <c:numCache>
                <c:formatCode>General</c:formatCode>
                <c:ptCount val="2"/>
                <c:pt idx="0">
                  <c:v>213.77</c:v>
                </c:pt>
                <c:pt idx="1">
                  <c:v>464.25</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lang="zh-CN" sz="1400" b="1" i="0" u="none" strike="noStrike" kern="1200" spc="0" baseline="0">
                <a:solidFill>
                  <a:sysClr val="windowText" lastClr="000000">
                    <a:lumMod val="65000"/>
                    <a:lumOff val="35000"/>
                  </a:sysClr>
                </a:solidFill>
                <a:latin typeface="+mn-lt"/>
                <a:ea typeface="+mn-ea"/>
                <a:cs typeface="+mn-cs"/>
              </a:defRPr>
            </a:pPr>
            <a:r>
              <a:rPr lang="zh-CN" altLang="en-US"/>
              <a:t>一般公共预算基本支出预算情况</a:t>
            </a:r>
            <a:endParaRPr lang="zh-CN" altLang="en-US"/>
          </a:p>
        </c:rich>
      </c:tx>
      <c:layout/>
      <c:overlay val="0"/>
      <c:spPr>
        <a:noFill/>
        <a:ln>
          <a:noFill/>
        </a:ln>
        <a:effectLst/>
      </c:spPr>
    </c:title>
    <c:autoTitleDeleted val="0"/>
    <c:plotArea>
      <c:layout/>
      <c:pieChart>
        <c:varyColors val="1"/>
        <c:ser>
          <c:idx val="0"/>
          <c:order val="0"/>
          <c:tx>
            <c:strRef>
              <c:f>Sheet1!$B$1</c:f>
              <c:strCache>
                <c:ptCount val="1"/>
                <c:pt idx="0">
                  <c:v>一般公共预算支出预算情况</c:v>
                </c:pt>
              </c:strCache>
            </c:strRef>
          </c:tx>
          <c:spPr/>
          <c:explosion val="0"/>
          <c:dPt>
            <c:idx val="0"/>
            <c:bubble3D val="0"/>
            <c:spPr>
              <a:solidFill>
                <a:srgbClr val="5B9BD5"/>
              </a:solidFill>
              <a:ln w="19050">
                <a:solidFill>
                  <a:sysClr val="window" lastClr="FFFFFF"/>
                </a:solidFill>
              </a:ln>
              <a:effectLst/>
            </c:spPr>
          </c:dPt>
          <c:dPt>
            <c:idx val="1"/>
            <c:bubble3D val="0"/>
            <c:spPr>
              <a:solidFill>
                <a:srgbClr val="ED7D31"/>
              </a:solidFill>
              <a:ln w="19050">
                <a:solidFill>
                  <a:sysClr val="window" lastClr="FFFFFF"/>
                </a:solidFill>
              </a:ln>
              <a:effectLst/>
            </c:spPr>
          </c:dPt>
          <c:dLbls>
            <c:spPr>
              <a:solidFill>
                <a:sysClr val="window" lastClr="FFFFFF"/>
              </a:solidFill>
              <a:ln>
                <a:solidFill>
                  <a:sysClr val="windowText" lastClr="000000">
                    <a:lumMod val="25000"/>
                    <a:lumOff val="75000"/>
                  </a:sysClr>
                </a:solidFill>
              </a:ln>
              <a:effectLst/>
            </c:spPr>
            <c:txPr>
              <a:bodyPr rot="0" spcFirstLastPara="1" vertOverflow="clip" horzOverflow="clip" vert="horz" wrap="square" lIns="38100" tIns="19050" rIns="38100" bIns="19050" anchor="ctr" anchorCtr="1">
                <a:spAutoFit/>
              </a:bodyPr>
              <a:lstStyle/>
              <a:p>
                <a:pPr>
                  <a:defRPr lang="zh-CN" sz="900" b="0" i="0" u="none" strike="noStrike" kern="1200" baseline="0">
                    <a:solidFill>
                      <a:sysClr val="windowText" lastClr="000000">
                        <a:lumMod val="65000"/>
                        <a:lumOff val="35000"/>
                      </a:sysClr>
                    </a:solidFill>
                    <a:latin typeface="+mn-lt"/>
                    <a:ea typeface="+mn-ea"/>
                    <a:cs typeface="+mn-cs"/>
                  </a:defRPr>
                </a:pPr>
              </a:p>
            </c:txPr>
            <c:dLblPos val="outEnd"/>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15:layout/>
                <c15:showLeaderLines val="0"/>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人员经费</c:v>
                </c:pt>
                <c:pt idx="1">
                  <c:v>公用经费</c:v>
                </c:pt>
              </c:strCache>
            </c:strRef>
          </c:cat>
          <c:val>
            <c:numRef>
              <c:f>Sheet1!$B$2:$B$3</c:f>
              <c:numCache>
                <c:formatCode>General</c:formatCode>
                <c:ptCount val="2"/>
                <c:pt idx="0">
                  <c:v>205.61</c:v>
                </c:pt>
                <c:pt idx="1">
                  <c:v>8.16</c:v>
                </c:pt>
              </c:numCache>
            </c:numRef>
          </c:val>
        </c:ser>
        <c:dLbls>
          <c:showLegendKey val="0"/>
          <c:showVal val="0"/>
          <c:showCatName val="0"/>
          <c:showSerName val="0"/>
          <c:showPercent val="0"/>
          <c:showBubbleSize val="0"/>
          <c:showLeaderLines val="0"/>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lgn="l">
              <a:defRPr lang="zh-CN" sz="1400" b="0" i="0" u="none" strike="noStrike" kern="1200" spc="0" baseline="0">
                <a:solidFill>
                  <a:sysClr val="windowText" lastClr="000000">
                    <a:lumMod val="65000"/>
                    <a:lumOff val="35000"/>
                  </a:sysClr>
                </a:solidFill>
                <a:latin typeface="+mn-lt"/>
                <a:ea typeface="+mn-ea"/>
                <a:cs typeface="+mn-cs"/>
              </a:defRPr>
            </a:pPr>
            <a:r>
              <a:rPr lang="zh-CN" altLang="zh-CN" sz="1400" b="1" i="0" u="none" strike="noStrike" baseline="0">
                <a:effectLst/>
              </a:rPr>
              <a:t>一般公共预算“三公”经费支出预算情况</a:t>
            </a:r>
            <a:endParaRPr lang="zh-CN" altLang="en-US" sz="1400" b="1"/>
          </a:p>
        </c:rich>
      </c:tx>
      <c:layout>
        <c:manualLayout>
          <c:xMode val="edge"/>
          <c:yMode val="edge"/>
          <c:x val="0.188538405971587"/>
          <c:y val="0.0371517027863777"/>
        </c:manualLayout>
      </c:layout>
      <c:overlay val="0"/>
      <c:spPr>
        <a:noFill/>
        <a:ln>
          <a:noFill/>
        </a:ln>
        <a:effectLst/>
      </c:spPr>
    </c:title>
    <c:autoTitleDeleted val="0"/>
    <c:plotArea>
      <c:layout>
        <c:manualLayout>
          <c:layoutTarget val="inner"/>
          <c:xMode val="edge"/>
          <c:yMode val="edge"/>
          <c:x val="0.0992776306284614"/>
          <c:y val="0.152115583075335"/>
          <c:w val="0.876041415843968"/>
          <c:h val="0.649411764705882"/>
        </c:manualLayout>
      </c:layout>
      <c:barChart>
        <c:barDir val="bar"/>
        <c:grouping val="clustered"/>
        <c:varyColors val="0"/>
        <c:ser>
          <c:idx val="0"/>
          <c:order val="0"/>
          <c:tx>
            <c:strRef>
              <c:f>Sheet1!$B$1</c:f>
              <c:strCache>
                <c:ptCount val="1"/>
                <c:pt idx="0">
                  <c:v>因公出国（境）费用</c:v>
                </c:pt>
              </c:strCache>
            </c:strRef>
          </c:tx>
          <c:spPr>
            <a:solidFill>
              <a:srgbClr val="5B9BD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Sheet1!$B$2:$B$3</c:f>
              <c:numCache>
                <c:formatCode>General</c:formatCode>
                <c:ptCount val="2"/>
                <c:pt idx="0">
                  <c:v>0</c:v>
                </c:pt>
                <c:pt idx="1">
                  <c:v>0</c:v>
                </c:pt>
              </c:numCache>
            </c:numRef>
          </c:val>
        </c:ser>
        <c:ser>
          <c:idx val="1"/>
          <c:order val="1"/>
          <c:tx>
            <c:strRef>
              <c:f>Sheet1!$C$1</c:f>
              <c:strCache>
                <c:ptCount val="1"/>
                <c:pt idx="0">
                  <c:v>公务接待费</c:v>
                </c:pt>
              </c:strCache>
            </c:strRef>
          </c:tx>
          <c:spPr>
            <a:solidFill>
              <a:srgbClr val="ED7D3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Sheet1!$C$2:$C$3</c:f>
              <c:numCache>
                <c:formatCode>General</c:formatCode>
                <c:ptCount val="2"/>
                <c:pt idx="0">
                  <c:v>1.4</c:v>
                </c:pt>
                <c:pt idx="1">
                  <c:v>1.4</c:v>
                </c:pt>
              </c:numCache>
            </c:numRef>
          </c:val>
        </c:ser>
        <c:ser>
          <c:idx val="2"/>
          <c:order val="2"/>
          <c:tx>
            <c:strRef>
              <c:f>Sheet1!$D$1</c:f>
              <c:strCache>
                <c:ptCount val="1"/>
                <c:pt idx="0">
                  <c:v>公务用车购置及运行费</c:v>
                </c:pt>
              </c:strCache>
            </c:strRef>
          </c:tx>
          <c:spPr>
            <a:solidFill>
              <a:srgbClr val="A5A5A5"/>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ysClr val="windowText" lastClr="000000">
                        <a:lumMod val="75000"/>
                        <a:lumOff val="25000"/>
                      </a:sys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ysClr val="windowText" lastClr="000000">
                          <a:lumMod val="35000"/>
                          <a:lumOff val="65000"/>
                        </a:sysClr>
                      </a:solidFill>
                      <a:round/>
                    </a:ln>
                    <a:effectLst/>
                  </c:spPr>
                </c15:leaderLines>
              </c:ext>
            </c:extLst>
          </c:dLbls>
          <c:cat>
            <c:strRef>
              <c:f>Sheet1!$A$2:$A$3</c:f>
              <c:strCache>
                <c:ptCount val="2"/>
                <c:pt idx="0">
                  <c:v>2022年</c:v>
                </c:pt>
                <c:pt idx="1">
                  <c:v>2023年</c:v>
                </c:pt>
              </c:strCache>
            </c:strRef>
          </c:cat>
          <c:val>
            <c:numRef>
              <c:f>Sheet1!$D$2:$D$3</c:f>
              <c:numCache>
                <c:formatCode>General</c:formatCode>
                <c:ptCount val="2"/>
                <c:pt idx="0">
                  <c:v>0</c:v>
                </c:pt>
                <c:pt idx="1">
                  <c:v>0</c:v>
                </c:pt>
              </c:numCache>
            </c:numRef>
          </c:val>
        </c:ser>
        <c:dLbls>
          <c:showLegendKey val="0"/>
          <c:showVal val="1"/>
          <c:showCatName val="0"/>
          <c:showSerName val="0"/>
          <c:showPercent val="0"/>
          <c:showBubbleSize val="0"/>
        </c:dLbls>
        <c:gapWidth val="219"/>
        <c:axId val="408582879"/>
        <c:axId val="408594943"/>
      </c:barChart>
      <c:catAx>
        <c:axId val="408582879"/>
        <c:scaling>
          <c:orientation val="minMax"/>
        </c:scaling>
        <c:delete val="0"/>
        <c:axPos val="l"/>
        <c:numFmt formatCode="General" sourceLinked="1"/>
        <c:majorTickMark val="none"/>
        <c:minorTickMark val="none"/>
        <c:tickLblPos val="nextTo"/>
        <c:spPr>
          <a:noFill/>
          <a:ln w="9525" cap="flat" cmpd="sng" algn="ctr">
            <a:solidFill>
              <a:sysClr val="windowText" lastClr="000000">
                <a:lumMod val="15000"/>
                <a:lumOff val="85000"/>
              </a:sys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94943"/>
        <c:crosses val="autoZero"/>
        <c:auto val="1"/>
        <c:lblAlgn val="ctr"/>
        <c:lblOffset val="100"/>
        <c:noMultiLvlLbl val="0"/>
      </c:catAx>
      <c:valAx>
        <c:axId val="408594943"/>
        <c:scaling>
          <c:orientation val="minMax"/>
        </c:scaling>
        <c:delete val="0"/>
        <c:axPos val="b"/>
        <c:majorGridlines>
          <c:spPr>
            <a:ln w="9525" cap="flat" cmpd="sng" algn="ctr">
              <a:solidFill>
                <a:sysClr val="windowText" lastClr="000000">
                  <a:lumMod val="15000"/>
                  <a:lumOff val="85000"/>
                </a:sys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crossAx val="40858287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lumMod val="65000"/>
                  <a:lumOff val="35000"/>
                </a:sysClr>
              </a:solidFill>
              <a:latin typeface="+mn-lt"/>
              <a:ea typeface="+mn-ea"/>
              <a:cs typeface="+mn-cs"/>
            </a:defRPr>
          </a:pPr>
        </a:p>
      </c:txPr>
    </c:legend>
    <c:plotVisOnly val="1"/>
    <c:dispBlanksAs val="gap"/>
    <c:showDLblsOverMax val="0"/>
  </c:chart>
  <c:spPr>
    <a:solidFill>
      <a:sysClr val="window" lastClr="FFFFFF"/>
    </a:solidFill>
    <a:ln w="9525" cap="flat" cmpd="sng" algn="ctr">
      <a:solidFill>
        <a:sysClr val="windowText" lastClr="000000">
          <a:lumMod val="15000"/>
          <a:lumOff val="85000"/>
        </a:sys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65000"/>
          <a:lumOff val="35000"/>
        </a:sysClr>
      </a:solidFill>
      <a:ln w="9525">
        <a:solidFill>
          <a:sysClr val="windowText" lastClr="000000">
            <a:lumMod val="65000"/>
            <a:lumOff val="35000"/>
          </a:sysClr>
        </a:solidFill>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75000"/>
            <a:lumOff val="25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a:solidFill>
          <a:sysClr val="windowText" lastClr="000000">
            <a:lumMod val="15000"/>
            <a:lumOff val="85000"/>
          </a:sysClr>
        </a:solidFill>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9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spPr>
      <a:ln w="19050">
        <a:solidFill>
          <a:sysClr val="window" lastClr="FFFFFF"/>
        </a:solidFill>
      </a:ln>
    </cs:spPr>
  </cs:dataPoint>
  <cs:dataPoint3D>
    <cs:lnRef idx="0"/>
    <cs:fillRef idx="1">
      <cs:styleClr val="auto"/>
    </cs:fillRef>
    <cs:effectRef idx="0"/>
    <cs:fontRef idx="minor">
      <a:sysClr val="windowText" lastClr="000000"/>
    </cs:fontRef>
    <cs:spPr>
      <a:ln w="25400">
        <a:solidFill>
          <a:sysClr val="window" lastClr="FFFFFF"/>
        </a:solidFill>
      </a:ln>
    </cs:spPr>
  </cs:dataPoint3D>
  <cs:dataPointLine>
    <cs:lnRef idx="0">
      <cs:styleClr val="auto"/>
    </cs:lnRef>
    <cs:fillRef idx="0"/>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0"/>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ysClr val="windowText" lastClr="000000">
        <a:lumMod val="65000"/>
        <a:lumOff val="35000"/>
      </a:sysClr>
    </cs:fontRef>
    <cs:defRPr sz="1000" kern="1200"/>
  </cs:axisTitle>
  <cs:categoryAxis>
    <cs:lnRef idx="0"/>
    <cs:fillRef idx="0"/>
    <cs:effectRef idx="0"/>
    <cs:fontRef idx="minor">
      <a:sysClr val="windowText" lastClr="000000">
        <a:lumMod val="65000"/>
        <a:lumOff val="35000"/>
      </a:sysClr>
    </cs:fontRef>
    <cs:spPr>
      <a:ln w="9525" cap="flat" cmpd="sng" algn="ctr">
        <a:solidFill>
          <a:sysClr val="windowText" lastClr="000000">
            <a:lumMod val="15000"/>
            <a:lumOff val="85000"/>
          </a:sysClr>
        </a:solidFill>
        <a:round/>
      </a:ln>
    </cs:spPr>
    <cs:defRPr sz="900" kern="1200"/>
  </cs:categoryAxis>
  <cs:chartArea mods="allowNoFillOverride allowNoLineOverride">
    <cs:lnRef idx="0"/>
    <cs:fillRef idx="0"/>
    <cs:effectRef idx="0"/>
    <cs:fontRef idx="minor">
      <a:sysClr val="windowText" lastClr="000000"/>
    </cs:fontRef>
    <cs:spPr>
      <a:solidFill>
        <a:sysClr val="window" lastClr="FFFFFF"/>
      </a:solidFill>
      <a:ln w="9525" cap="flat" cmpd="sng" algn="ctr">
        <a:solidFill>
          <a:sysClr val="windowText" lastClr="000000">
            <a:lumMod val="15000"/>
            <a:lumOff val="85000"/>
          </a:sysClr>
        </a:solidFill>
        <a:round/>
      </a:ln>
    </cs:spPr>
    <cs:defRPr sz="1000" kern="1200"/>
  </cs:chartArea>
  <cs:dataLabel>
    <cs:lnRef idx="0"/>
    <cs:fillRef idx="0"/>
    <cs:effectRef idx="0"/>
    <cs:fontRef idx="minor">
      <a:sysClr val="windowText" lastClr="000000">
        <a:lumMod val="75000"/>
        <a:lumOff val="25000"/>
      </a:sysClr>
    </cs:fontRef>
    <cs:defRPr sz="900" kern="1200"/>
  </cs:dataLabel>
  <cs:dataLabelCallout>
    <cs:lnRef idx="0"/>
    <cs:fillRef idx="0"/>
    <cs:effectRef idx="0"/>
    <cs:fontRef idx="minor">
      <a:sysClr val="windowText" lastClr="000000">
        <a:lumMod val="65000"/>
        <a:lumOff val="35000"/>
      </a:sysClr>
    </cs:fontRef>
    <cs:spPr>
      <a:solidFill>
        <a:sysClr val="window" lastClr="FFFFFF"/>
      </a:solidFill>
      <a:ln>
        <a:solidFill>
          <a:sysClr val="windowText" lastClr="000000">
            <a:lumMod val="25000"/>
            <a:lumOff val="75000"/>
          </a:sys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ysClr val="windowText" lastClr="000000"/>
    </cs:fontRef>
  </cs:dataPoint>
  <cs:dataPoint3D>
    <cs:lnRef idx="0"/>
    <cs:fillRef idx="1">
      <cs:styleClr val="auto"/>
    </cs:fillRef>
    <cs:effectRef idx="0"/>
    <cs:fontRef idx="minor">
      <a:sysClr val="windowText" lastClr="000000"/>
    </cs:fontRef>
  </cs:dataPoint3D>
  <cs:dataPointLine>
    <cs:lnRef idx="0">
      <cs:styleClr val="auto"/>
    </cs:lnRef>
    <cs:fillRef idx="1"/>
    <cs:effectRef idx="0"/>
    <cs:fontRef idx="minor">
      <a:sysClr val="windowText" lastClr="000000"/>
    </cs:fontRef>
    <cs:spPr>
      <a:ln w="28575" cap="rnd">
        <a:solidFill>
          <a:schemeClr val="phClr"/>
        </a:solidFill>
        <a:round/>
      </a:ln>
    </cs:spPr>
  </cs:dataPointLine>
  <cs:dataPointMarker>
    <cs:lnRef idx="0">
      <cs:styleClr val="auto"/>
    </cs:lnRef>
    <cs:fillRef idx="1">
      <cs:styleClr val="auto"/>
    </cs:fillRef>
    <cs:effectRef idx="0"/>
    <cs:fontRef idx="minor">
      <a:sysClr val="windowText" lastClr="000000"/>
    </cs:fontRef>
    <cs:spPr>
      <a:ln w="9525">
        <a:solidFill>
          <a:schemeClr val="phClr"/>
        </a:solidFill>
      </a:ln>
    </cs:spPr>
  </cs:dataPointMarker>
  <cs:dataPointMarkerLayout symbol="circle" size="5"/>
  <cs:dataPointWireframe>
    <cs:lnRef idx="0">
      <cs:styleClr val="auto"/>
    </cs:lnRef>
    <cs:fillRef idx="1"/>
    <cs:effectRef idx="0"/>
    <cs:fontRef idx="minor">
      <a:sysClr val="windowText" lastClr="000000"/>
    </cs:fontRef>
    <cs:spPr>
      <a:ln w="9525" cap="rnd">
        <a:solidFill>
          <a:schemeClr val="phClr"/>
        </a:solidFill>
        <a:round/>
      </a:ln>
    </cs:spPr>
  </cs:dataPointWireframe>
  <cs:dataTable>
    <cs:lnRef idx="0"/>
    <cs:fillRef idx="0"/>
    <cs:effectRef idx="0"/>
    <cs:fontRef idx="minor">
      <a:sysClr val="windowText" lastClr="000000">
        <a:lumMod val="65000"/>
        <a:lumOff val="35000"/>
      </a:sysClr>
    </cs:fontRef>
    <cs:spPr>
      <a:noFill/>
      <a:ln w="9525" cap="flat" cmpd="sng" algn="ctr">
        <a:solidFill>
          <a:sysClr val="windowText" lastClr="000000">
            <a:lumMod val="15000"/>
            <a:lumOff val="85000"/>
          </a:sysClr>
        </a:solidFill>
        <a:round/>
      </a:ln>
    </cs:spPr>
    <cs:defRPr sz="900" kern="1200"/>
  </cs:dataTable>
  <cs:downBar>
    <cs:lnRef idx="0"/>
    <cs:fillRef idx="0"/>
    <cs:effectRef idx="0"/>
    <cs:fontRef idx="minor">
      <a:sysClr val="windowText" lastClr="000000"/>
    </cs:fontRef>
    <cs:spPr>
      <a:solidFill>
        <a:sysClr val="windowText" lastClr="000000">
          <a:lumMod val="75000"/>
          <a:lumOff val="25000"/>
        </a:sysClr>
      </a:solidFill>
      <a:ln w="9525" cap="flat" cmpd="sng" algn="ctr">
        <a:solidFill>
          <a:sysClr val="windowText" lastClr="000000">
            <a:lumMod val="65000"/>
            <a:lumOff val="35000"/>
          </a:sysClr>
        </a:solidFill>
        <a:round/>
      </a:ln>
    </cs:spPr>
  </cs:downBar>
  <cs:dropLine>
    <cs:lnRef idx="0"/>
    <cs:fillRef idx="0"/>
    <cs:effectRef idx="0"/>
    <cs:fontRef idx="minor">
      <a:sysClr val="windowText" lastClr="000000"/>
    </cs:fontRef>
    <cs:spPr>
      <a:ln w="9525" cap="flat" cmpd="sng" algn="ctr">
        <a:solidFill>
          <a:sysClr val="windowText" lastClr="000000">
            <a:lumMod val="35000"/>
            <a:lumOff val="65000"/>
          </a:sysClr>
        </a:solidFill>
        <a:round/>
      </a:ln>
    </cs:spPr>
  </cs:dropLine>
  <cs:errorBar>
    <cs:lnRef idx="0"/>
    <cs:fillRef idx="0"/>
    <cs:effectRef idx="0"/>
    <cs:fontRef idx="minor">
      <a:sysClr val="windowText" lastClr="000000"/>
    </cs:fontRef>
    <cs:spPr>
      <a:ln w="9525" cap="flat" cmpd="sng" algn="ctr">
        <a:solidFill>
          <a:sysClr val="windowText" lastClr="000000">
            <a:lumMod val="65000"/>
            <a:lumOff val="35000"/>
          </a:sysClr>
        </a:solidFill>
        <a:round/>
      </a:ln>
    </cs:spPr>
  </cs:errorBar>
  <cs:floor>
    <cs:lnRef idx="0"/>
    <cs:fillRef idx="0"/>
    <cs:effectRef idx="0"/>
    <cs:fontRef idx="minor">
      <a:sysClr val="windowText" lastClr="000000"/>
    </cs:fontRef>
    <cs:spPr>
      <a:noFill/>
      <a:ln>
        <a:noFill/>
      </a:ln>
    </cs:spPr>
  </cs:floor>
  <cs:gridlineMajor>
    <cs:lnRef idx="0"/>
    <cs:fillRef idx="0"/>
    <cs:effectRef idx="0"/>
    <cs:fontRef idx="minor">
      <a:sysClr val="windowText" lastClr="000000"/>
    </cs:fontRef>
    <cs:spPr>
      <a:ln w="9525" cap="flat" cmpd="sng" algn="ctr">
        <a:solidFill>
          <a:sysClr val="windowText" lastClr="000000">
            <a:lumMod val="15000"/>
            <a:lumOff val="85000"/>
          </a:sysClr>
        </a:solidFill>
        <a:round/>
      </a:ln>
    </cs:spPr>
  </cs:gridlineMajor>
  <cs:gridlineMinor>
    <cs:lnRef idx="0"/>
    <cs:fillRef idx="0"/>
    <cs:effectRef idx="0"/>
    <cs:fontRef idx="minor">
      <a:sysClr val="windowText" lastClr="000000"/>
    </cs:fontRef>
    <cs:spPr>
      <a:ln w="9525" cap="flat" cmpd="sng" algn="ctr">
        <a:solidFill>
          <a:sysClr val="windowText" lastClr="000000">
            <a:lumMod val="5000"/>
            <a:lumOff val="95000"/>
          </a:sysClr>
        </a:solidFill>
        <a:round/>
      </a:ln>
    </cs:spPr>
  </cs:gridlineMinor>
  <cs:hiLoLine>
    <cs:lnRef idx="0"/>
    <cs:fillRef idx="0"/>
    <cs:effectRef idx="0"/>
    <cs:fontRef idx="minor">
      <a:sysClr val="windowText" lastClr="000000"/>
    </cs:fontRef>
    <cs:spPr>
      <a:ln w="9525" cap="flat" cmpd="sng" algn="ctr">
        <a:solidFill>
          <a:sysClr val="windowText" lastClr="000000">
            <a:lumMod val="50000"/>
            <a:lumOff val="50000"/>
          </a:sysClr>
        </a:solidFill>
        <a:round/>
      </a:ln>
    </cs:spPr>
  </cs:hiLoLine>
  <cs:leaderLine>
    <cs:lnRef idx="0"/>
    <cs:fillRef idx="0"/>
    <cs:effectRef idx="0"/>
    <cs:fontRef idx="minor">
      <a:sysClr val="windowText" lastClr="000000"/>
    </cs:fontRef>
    <cs:spPr>
      <a:ln w="9525" cap="flat" cmpd="sng" algn="ctr">
        <a:solidFill>
          <a:sysClr val="windowText" lastClr="000000">
            <a:lumMod val="35000"/>
            <a:lumOff val="65000"/>
          </a:sysClr>
        </a:solidFill>
        <a:round/>
      </a:ln>
    </cs:spPr>
  </cs:leaderLine>
  <cs:legend>
    <cs:lnRef idx="0"/>
    <cs:fillRef idx="0"/>
    <cs:effectRef idx="0"/>
    <cs:fontRef idx="minor">
      <a:sysClr val="windowText" lastClr="000000">
        <a:lumMod val="65000"/>
        <a:lumOff val="35000"/>
      </a:sysClr>
    </cs:fontRef>
    <cs:defRPr sz="900" kern="1200"/>
  </cs:legend>
  <cs:plotArea mods="allowNoFillOverride allowNoLineOverride">
    <cs:lnRef idx="0"/>
    <cs:fillRef idx="0"/>
    <cs:effectRef idx="0"/>
    <cs:fontRef idx="minor">
      <a:sysClr val="windowText" lastClr="000000"/>
    </cs:fontRef>
  </cs:plotArea>
  <cs:plotArea3D mods="allowNoFillOverride allowNoLineOverride">
    <cs:lnRef idx="0"/>
    <cs:fillRef idx="0"/>
    <cs:effectRef idx="0"/>
    <cs:fontRef idx="minor">
      <a:sysClr val="windowText" lastClr="000000"/>
    </cs:fontRef>
  </cs:plotArea3D>
  <cs:seriesAxis>
    <cs:lnRef idx="0"/>
    <cs:fillRef idx="0"/>
    <cs:effectRef idx="0"/>
    <cs:fontRef idx="minor">
      <a:sysClr val="windowText" lastClr="000000">
        <a:lumMod val="65000"/>
        <a:lumOff val="35000"/>
      </a:sysClr>
    </cs:fontRef>
    <cs:defRPr sz="900" kern="1200"/>
  </cs:seriesAxis>
  <cs:seriesLine>
    <cs:lnRef idx="0"/>
    <cs:fillRef idx="0"/>
    <cs:effectRef idx="0"/>
    <cs:fontRef idx="minor">
      <a:sysClr val="windowText" lastClr="000000"/>
    </cs:fontRef>
    <cs:spPr>
      <a:ln w="9525" cap="flat" cmpd="sng" algn="ctr">
        <a:solidFill>
          <a:sysClr val="windowText" lastClr="000000">
            <a:lumMod val="35000"/>
            <a:lumOff val="65000"/>
          </a:sysClr>
        </a:solidFill>
        <a:round/>
      </a:ln>
    </cs:spPr>
  </cs:seriesLine>
  <cs:title>
    <cs:lnRef idx="0"/>
    <cs:fillRef idx="0"/>
    <cs:effectRef idx="0"/>
    <cs:fontRef idx="minor">
      <a:sysClr val="windowText" lastClr="000000">
        <a:lumMod val="65000"/>
        <a:lumOff val="35000"/>
      </a:sysClr>
    </cs:fontRef>
    <cs:defRPr sz="1400" b="0" kern="1200" spc="0" baseline="0"/>
  </cs:title>
  <cs:trendline>
    <cs:lnRef idx="0">
      <cs:styleClr val="auto"/>
    </cs:lnRef>
    <cs:fillRef idx="0"/>
    <cs:effectRef idx="0"/>
    <cs:fontRef idx="minor">
      <a:sysClr val="windowText" lastClr="000000"/>
    </cs:fontRef>
    <cs:spPr>
      <a:ln w="19050" cap="rnd">
        <a:solidFill>
          <a:schemeClr val="phClr"/>
        </a:solidFill>
        <a:prstDash val="sysDot"/>
      </a:ln>
    </cs:spPr>
  </cs:trendline>
  <cs:trendlineLabel>
    <cs:lnRef idx="0"/>
    <cs:fillRef idx="0"/>
    <cs:effectRef idx="0"/>
    <cs:fontRef idx="minor">
      <a:sysClr val="windowText" lastClr="000000">
        <a:lumMod val="65000"/>
        <a:lumOff val="35000"/>
      </a:sysClr>
    </cs:fontRef>
    <cs:defRPr sz="900" kern="1200"/>
  </cs:trendlineLabel>
  <cs:upBar>
    <cs:lnRef idx="0"/>
    <cs:fillRef idx="0"/>
    <cs:effectRef idx="0"/>
    <cs:fontRef idx="minor">
      <a:sysClr val="windowText" lastClr="000000"/>
    </cs:fontRef>
    <cs:spPr>
      <a:solidFill>
        <a:sysClr val="window" lastClr="FFFFFF"/>
      </a:solidFill>
      <a:ln w="9525" cap="flat" cmpd="sng" algn="ctr">
        <a:solidFill>
          <a:sysClr val="windowText" lastClr="000000">
            <a:lumMod val="65000"/>
            <a:lumOff val="35000"/>
          </a:sysClr>
        </a:solidFill>
        <a:round/>
      </a:ln>
    </cs:spPr>
  </cs:upBar>
  <cs:valueAxis>
    <cs:lnRef idx="0"/>
    <cs:fillRef idx="0"/>
    <cs:effectRef idx="0"/>
    <cs:fontRef idx="minor">
      <a:sysClr val="windowText" lastClr="000000">
        <a:lumMod val="65000"/>
        <a:lumOff val="35000"/>
      </a:sysClr>
    </cs:fontRef>
    <cs:defRPr sz="900" kern="1200"/>
  </cs:valueAxis>
  <cs:wall>
    <cs:lnRef idx="0"/>
    <cs:fillRef idx="0"/>
    <cs:effectRef idx="0"/>
    <cs:fontRef idx="minor">
      <a:sysClr val="windowText" lastClr="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6.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7.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Normal.dotm</Template>
  <Pages>13</Pages>
  <Words>3325</Words>
  <Characters>3572</Characters>
  <Lines>20</Lines>
  <Paragraphs>5</Paragraphs>
  <TotalTime>0</TotalTime>
  <ScaleCrop>false</ScaleCrop>
  <LinksUpToDate>false</LinksUpToDate>
  <CharactersWithSpaces>3605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2022-05-23T00:38:00Z</dcterms:created>
  <dc:creator>Administrator</dc:creator>
  <cp:lastModifiedBy>Administrator</cp:lastModifiedBy>
  <dcterms:modified xsi:type="dcterms:W3CDTF">2023-03-07T05:09:00Z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4EC545D752324EC7B51C1830C6704E49</vt:lpwstr>
  </property>
</Properties>
</file>