
<file path=[Content_Types].xml><?xml version="1.0" encoding="utf-8"?>
<Types xmlns="http://schemas.openxmlformats.org/package/2006/content-types">
  <Default Extension="xml" ContentType="application/xml"/>
  <Default Extension="xlsx" ContentType="application/vnd.openxmlformats-officedocument.spreadsheetml.shee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theme/themeOverride1.xml" ContentType="application/vnd.openxmlformats-officedocument.themeOverride+xml"/>
  <Override PartName="/word/theme/themeOverride2.xml" ContentType="application/vnd.openxmlformats-officedocument.themeOverride+xml"/>
  <Override PartName="/word/theme/themeOverride3.xml" ContentType="application/vnd.openxmlformats-officedocument.themeOverride+xml"/>
  <Override PartName="/word/theme/themeOverride4.xml" ContentType="application/vnd.openxmlformats-officedocument.themeOverride+xml"/>
  <Override PartName="/word/theme/themeOverride5.xml" ContentType="application/vnd.openxmlformats-officedocument.themeOverride+xml"/>
  <Override PartName="/word/theme/themeOverride6.xml" ContentType="application/vnd.openxmlformats-officedocument.themeOverride+xml"/>
  <Override PartName="/word/theme/themeOverride7.xml" ContentType="application/vnd.openxmlformats-officedocument.themeOverrid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lang w:eastAsia="zh-CN"/>
        </w:rPr>
        <w:t>2023年</w:t>
      </w:r>
      <w:r>
        <w:rPr>
          <w:rFonts w:hint="eastAsia" w:ascii="黑体" w:hAnsi="黑体" w:eastAsia="黑体" w:cs="黑体"/>
          <w:b/>
          <w:bCs/>
          <w:sz w:val="44"/>
          <w:szCs w:val="44"/>
        </w:rPr>
        <w:t>淮滨县农业农村局部门预算说明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淮滨县农业农村局</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ascii="仿宋" w:hAnsi="仿宋" w:eastAsia="仿宋" w:cs="Times New Roman"/>
          <w:w w:val="99"/>
          <w:sz w:val="32"/>
          <w:szCs w:val="32"/>
        </w:rPr>
      </w:pPr>
      <w:r>
        <w:rPr>
          <w:rFonts w:hint="eastAsia" w:ascii="仿宋" w:hAnsi="仿宋" w:eastAsia="仿宋" w:cs="Times New Roman"/>
          <w:sz w:val="32"/>
          <w:szCs w:val="32"/>
        </w:rPr>
        <w:t>一、主要职责</w:t>
      </w:r>
      <w:r>
        <w:rPr>
          <w:rFonts w:hint="eastAsia" w:ascii="仿宋" w:hAnsi="仿宋" w:eastAsia="仿宋" w:cs="Times New Roman"/>
          <w:w w:val="99"/>
          <w:sz w:val="32"/>
          <w:szCs w:val="32"/>
        </w:rPr>
        <w:t xml:space="preserve"> </w:t>
      </w:r>
    </w:p>
    <w:p>
      <w:pPr>
        <w:kinsoku w:val="0"/>
        <w:overflowPunct w:val="0"/>
        <w:autoSpaceDE w:val="0"/>
        <w:autoSpaceDN w:val="0"/>
        <w:adjustRightInd w:val="0"/>
        <w:spacing w:line="560" w:lineRule="exact"/>
        <w:ind w:firstLine="320" w:firstLineChars="100"/>
        <w:rPr>
          <w:rFonts w:hint="eastAsia" w:ascii="仿宋" w:hAnsi="仿宋" w:eastAsia="仿宋"/>
          <w:sz w:val="32"/>
          <w:szCs w:val="32"/>
        </w:rPr>
      </w:pPr>
      <w:r>
        <w:rPr>
          <w:rFonts w:hint="eastAsia" w:ascii="仿宋" w:hAnsi="仿宋" w:eastAsia="仿宋"/>
          <w:sz w:val="32"/>
          <w:szCs w:val="32"/>
        </w:rPr>
        <w:t>二、</w:t>
      </w:r>
      <w:r>
        <w:rPr>
          <w:rFonts w:hint="eastAsia" w:ascii="黑体" w:hAnsi="黑体" w:eastAsia="黑体" w:cs="黑体"/>
          <w:sz w:val="32"/>
          <w:szCs w:val="32"/>
        </w:rPr>
        <w:t>内设机构设置情况</w:t>
      </w:r>
    </w:p>
    <w:p>
      <w:pPr>
        <w:kinsoku w:val="0"/>
        <w:overflowPunct w:val="0"/>
        <w:autoSpaceDE w:val="0"/>
        <w:autoSpaceDN w:val="0"/>
        <w:adjustRightInd w:val="0"/>
        <w:spacing w:line="560" w:lineRule="exact"/>
        <w:ind w:firstLine="320" w:firstLineChars="100"/>
        <w:rPr>
          <w:rFonts w:hint="eastAsia" w:ascii="仿宋" w:hAnsi="仿宋" w:eastAsia="仿宋"/>
          <w:sz w:val="32"/>
          <w:szCs w:val="32"/>
          <w:lang w:eastAsia="zh-CN"/>
        </w:rPr>
      </w:pPr>
      <w:r>
        <w:rPr>
          <w:rFonts w:hint="eastAsia" w:ascii="仿宋" w:hAnsi="仿宋" w:eastAsia="仿宋"/>
          <w:sz w:val="32"/>
          <w:szCs w:val="32"/>
          <w:lang w:eastAsia="zh-CN"/>
        </w:rPr>
        <w:t>三、</w:t>
      </w:r>
      <w:r>
        <w:rPr>
          <w:rFonts w:hint="eastAsia" w:ascii="黑体" w:hAnsi="黑体" w:eastAsia="黑体" w:cs="黑体"/>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淮滨县农业农村局</w:t>
      </w:r>
      <w:r>
        <w:rPr>
          <w:rFonts w:hint="eastAsia" w:ascii="黑体" w:hAnsi="黑体" w:eastAsia="黑体" w:cs="Times New Roman"/>
          <w:spacing w:val="-84"/>
          <w:sz w:val="32"/>
          <w:szCs w:val="32"/>
        </w:rPr>
        <w:t xml:space="preserve"> </w:t>
      </w:r>
      <w:r>
        <w:rPr>
          <w:rFonts w:hint="eastAsia" w:ascii="黑体" w:hAnsi="黑体" w:eastAsia="黑体" w:cs="Times New Roman"/>
          <w:sz w:val="32"/>
          <w:szCs w:val="32"/>
        </w:rPr>
        <w:t>202</w:t>
      </w:r>
      <w:r>
        <w:rPr>
          <w:rFonts w:hint="eastAsia" w:ascii="黑体" w:hAnsi="黑体" w:eastAsia="黑体" w:cs="Times New Roman"/>
          <w:sz w:val="32"/>
          <w:szCs w:val="32"/>
          <w:lang w:val="en-US" w:eastAsia="zh-CN"/>
        </w:rPr>
        <w:t>3</w:t>
      </w:r>
      <w:r>
        <w:rPr>
          <w:rFonts w:hint="eastAsia" w:ascii="黑体" w:hAnsi="黑体" w:eastAsia="黑体" w:cs="Times New Roman"/>
          <w:spacing w:val="-83"/>
          <w:sz w:val="32"/>
          <w:szCs w:val="32"/>
        </w:rPr>
        <w:t xml:space="preserve"> </w:t>
      </w:r>
      <w:r>
        <w:rPr>
          <w:rFonts w:hint="eastAsia" w:ascii="黑体" w:hAnsi="黑体" w:eastAsia="黑体" w:cs="Times New Roman"/>
          <w:sz w:val="32"/>
          <w:szCs w:val="32"/>
        </w:rPr>
        <w:t>年度部门预算情况说明</w:t>
      </w:r>
      <w:r>
        <w:rPr>
          <w:rFonts w:hint="eastAsia" w:ascii="黑体" w:hAnsi="黑体" w:eastAsia="黑体" w:cs="Times New Roman"/>
          <w:w w:val="99"/>
          <w:sz w:val="32"/>
          <w:szCs w:val="32"/>
        </w:rPr>
        <w:t xml:space="preserve"> </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w:t>
      </w:r>
      <w:r>
        <w:rPr>
          <w:rFonts w:hint="eastAsia" w:ascii="黑体" w:hAnsi="黑体" w:eastAsia="黑体" w:cs="Times New Roman"/>
          <w:spacing w:val="-3"/>
          <w:sz w:val="32"/>
          <w:szCs w:val="32"/>
        </w:rPr>
        <w:t xml:space="preserve"> </w:t>
      </w:r>
      <w:r>
        <w:rPr>
          <w:rFonts w:hint="eastAsia" w:ascii="黑体" w:hAnsi="黑体" w:eastAsia="黑体" w:cs="Times New Roman"/>
          <w:sz w:val="32"/>
          <w:szCs w:val="32"/>
        </w:rPr>
        <w:t>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附件：淮滨县农业农村局</w:t>
      </w:r>
      <w:r>
        <w:rPr>
          <w:rFonts w:hint="eastAsia" w:ascii="黑体" w:hAnsi="黑体" w:eastAsia="黑体" w:cs="Times New Roman"/>
          <w:sz w:val="32"/>
          <w:szCs w:val="32"/>
          <w:lang w:val="en-US" w:eastAsia="zh-CN"/>
        </w:rPr>
        <w:t>2</w:t>
      </w:r>
      <w:r>
        <w:rPr>
          <w:rFonts w:hint="eastAsia" w:ascii="黑体" w:hAnsi="黑体" w:eastAsia="黑体" w:cs="Times New Roman"/>
          <w:sz w:val="32"/>
          <w:szCs w:val="32"/>
          <w:lang w:eastAsia="zh-CN"/>
        </w:rPr>
        <w:t>023年</w:t>
      </w:r>
      <w:r>
        <w:rPr>
          <w:rFonts w:hint="eastAsia" w:ascii="黑体" w:hAnsi="黑体" w:eastAsia="黑体" w:cs="Times New Roman"/>
          <w:sz w:val="32"/>
          <w:szCs w:val="32"/>
        </w:rPr>
        <w:t>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2023年</w:t>
      </w:r>
      <w:r>
        <w:rPr>
          <w:rFonts w:hint="eastAsia" w:ascii="仿宋" w:hAnsi="仿宋" w:eastAsia="仿宋" w:cs="Times New Roman"/>
          <w:sz w:val="32"/>
          <w:szCs w:val="32"/>
        </w:rPr>
        <w:t>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hint="eastAsia" w:ascii="黑体" w:hAnsi="黑体" w:eastAsia="黑体" w:cs="黑体"/>
          <w:b/>
          <w:sz w:val="36"/>
          <w:szCs w:val="36"/>
        </w:rPr>
        <w:t>淮滨县农业农村局</w:t>
      </w:r>
      <w:r>
        <w:rPr>
          <w:rFonts w:ascii="黑体" w:hAnsi="黑体" w:eastAsia="黑体" w:cs="黑体"/>
          <w:b/>
          <w:sz w:val="36"/>
          <w:szCs w:val="36"/>
        </w:rPr>
        <w:t>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淮滨县农业农村局</w:t>
      </w:r>
      <w:r>
        <w:rPr>
          <w:rFonts w:ascii="黑体" w:hAnsi="黑体" w:eastAsia="黑体" w:cs="黑体"/>
          <w:bCs/>
          <w:szCs w:val="32"/>
        </w:rPr>
        <w:t>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hint="eastAsia" w:ascii="仿宋_GB2312" w:hAnsi="仿宋_GB2312" w:eastAsia="仿宋_GB2312" w:cs="仿宋_GB2312"/>
          <w:bCs/>
          <w:szCs w:val="32"/>
        </w:rPr>
        <w:t>淮滨县农业农村局</w:t>
      </w:r>
      <w:r>
        <w:rPr>
          <w:rFonts w:ascii="仿宋_GB2312" w:hAnsi="仿宋_GB2312" w:eastAsia="仿宋_GB2312" w:cs="仿宋_GB2312"/>
          <w:bCs/>
          <w:szCs w:val="32"/>
        </w:rPr>
        <w:t>主要职责是：</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1、拟定全县农业畜牧业和农村经济发展战略、中长期发展规划、经批准后组织实施。</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2、提出深化全县农村经济体制改革的政策意见；稳定和完善农村基本经营制度；指导农村土地承包、耕地使用权流转和承包纠纷仲裁管理；指导、监督减轻农民负担和村民筹资筹劳管理工作；指导农村集体资产和财务管理；指导、扶持农业社会化服务体系、农村合作经济组织、农民专业合作社和农产品行业协会的建设和发展。</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3、拟定全县农业畜牧业的产业政策，引导农业畜牧业产业结构的调整、农业资源的合理配置和农产品品质的改善；指导全县农业畜牧业法制体系建设。</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4、研究提出全县农业经济结构调整的意见、规划、农业产业化经营的政策措施和大宗农产品市场体系建设与发展规划，经批准后组织实施；预测并发布主要农产品及农业生产资料供求情况等农村经济信息，指导全县农业部门信息系统建设；组织农业生产资料市场体系建设；依法开展对农作物种子（种苗）、农药的许可及监督管理；负责对有关肥料的监督管理。</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5、负责全县农产品质量安全检测和监督管理，发布有关农产品质量安全情况信息；依法实施符合安全标准的农产品认证和监督管理。以及负责畜牧、兽医、兽药、词料的行业管理和畜牧业产品的质量标准管理。</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6、负责全县农作物重病虫害的检测防治、组织、监督对植物的检疫工作，发布疫情并组织扑灭；承担全县农业防灾救灾工作、检测、发布农业灾情，组织救灾和灾后生产恢复。</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7、执行国家《动物防疫法》、《畜牧法》、《重大动物疫情应急条例》、《兽药管理条例》、《种畜禽管理条例》和《词料和词料添加剂管理条例》等法律法规及省、市、县有关畜牧业发展的规章制度并组织实施。</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8、制定全县农业畜牧业科技、教育、技术推广及其队伍建设的发展规划和有关政策，实施科教兴农战略；组织协调农业技术推广项目的遴选及实施；负责农业植物新品种保护；负责农业转基因生物安全监督管理。</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9、负责全县畜禽改良、动物防疫、动物及其产品检验检疫、动物防疫监督、检测、兽医医政、兽药药政及畜牧兽医行政执法，以及全县畜禽生产经营管理工作。</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10、按照审批权限，负责绿色农产品基地、畜牧业基地的认定、论证、申报、实施和监督管理工作。</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11、会同有关部门拟定全县农业农村人才队伍建设规划并组织实施；指导农业教育和农业职业技能开发工作，参与实施农村实用人才培训工程；承担农村劳动力转移就业培训工作；会同有关部门依法实施农业农村人才专业技术资格和从业资格管理。</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12、组织全县农业资源区划、生态农业和农业可持续发展工作；指导农用地、宜农滩涂、宜农湿地、农村可再生资源的开发利用以及农业生物物种资源的保护和管理；拟定耕地及基本农田质量保护与改良政策并指导实施；依法管理耕地质量。</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13、承办农业涉外事务；组织全县农业对外经济技术交流与合作。</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14、指导有关社会团体为我县农业农村经济发展服务。</w:t>
      </w:r>
    </w:p>
    <w:p>
      <w:pPr>
        <w:adjustRightInd w:val="0"/>
        <w:snapToGrid w:val="0"/>
        <w:spacing w:line="360" w:lineRule="auto"/>
        <w:ind w:firstLine="640" w:firstLineChars="200"/>
        <w:outlineLvl w:val="0"/>
        <w:rPr>
          <w:rFonts w:eastAsia="仿宋_GB2312" w:asciiTheme="minorHAnsi" w:hAnsiTheme="minorHAnsi"/>
          <w:b w:val="0"/>
          <w:bCs w:val="0"/>
          <w:color w:val="000000" w:themeColor="text1"/>
          <w:sz w:val="32"/>
          <w:szCs w:val="32"/>
          <w:lang w:val="en-GB"/>
          <w14:textFill>
            <w14:solidFill>
              <w14:schemeClr w14:val="tx1"/>
            </w14:solidFill>
          </w14:textFill>
        </w:rPr>
      </w:pPr>
      <w:r>
        <w:rPr>
          <w:rFonts w:hint="eastAsia" w:ascii="仿宋_GB2312" w:eastAsia="仿宋_GB2312"/>
          <w:b w:val="0"/>
          <w:bCs w:val="0"/>
          <w:color w:val="000000" w:themeColor="text1"/>
          <w:sz w:val="32"/>
          <w:szCs w:val="32"/>
          <w14:textFill>
            <w14:solidFill>
              <w14:schemeClr w14:val="tx1"/>
            </w14:solidFill>
          </w14:textFill>
        </w:rPr>
        <w:t>15、负责局机关及局属单位的政务信息化工作。</w:t>
      </w:r>
    </w:p>
    <w:p>
      <w:pPr>
        <w:adjustRightInd w:val="0"/>
        <w:snapToGrid w:val="0"/>
        <w:spacing w:line="360" w:lineRule="auto"/>
        <w:ind w:firstLine="640" w:firstLineChars="200"/>
        <w:outlineLvl w:val="0"/>
        <w:rPr>
          <w:rFonts w:hint="default" w:ascii="仿宋_GB2312" w:hAnsi="仿宋_GB2312" w:eastAsia="仿宋_GB2312" w:cs="仿宋_GB2312"/>
          <w:bCs/>
          <w:szCs w:val="32"/>
          <w:highlight w:val="none"/>
        </w:rPr>
      </w:pPr>
      <w:r>
        <w:rPr>
          <w:rFonts w:hint="eastAsia" w:ascii="仿宋_GB2312" w:eastAsia="仿宋_GB2312"/>
          <w:b w:val="0"/>
          <w:bCs w:val="0"/>
          <w:color w:val="000000" w:themeColor="text1"/>
          <w:sz w:val="32"/>
          <w:szCs w:val="32"/>
          <w:highlight w:val="none"/>
          <w14:textFill>
            <w14:solidFill>
              <w14:schemeClr w14:val="tx1"/>
            </w14:solidFill>
          </w14:textFill>
        </w:rPr>
        <w:t>16、承办县政府交办的其他事项。</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淮滨县农业农村局</w:t>
      </w:r>
      <w:r>
        <w:rPr>
          <w:rFonts w:hint="eastAsia" w:ascii="黑体" w:hAnsi="黑体" w:eastAsia="黑体" w:cs="黑体"/>
          <w:bCs/>
          <w:szCs w:val="32"/>
          <w:lang w:eastAsia="zh-CN"/>
        </w:rPr>
        <w:t>内设机构设置</w:t>
      </w:r>
      <w:bookmarkStart w:id="0" w:name="_GoBack"/>
      <w:bookmarkEnd w:id="0"/>
      <w:r>
        <w:rPr>
          <w:rFonts w:ascii="黑体" w:hAnsi="黑体" w:eastAsia="黑体" w:cs="黑体"/>
          <w:bCs/>
          <w:szCs w:val="32"/>
        </w:rPr>
        <w:t>情况</w:t>
      </w:r>
    </w:p>
    <w:p>
      <w:pPr>
        <w:ind w:firstLine="640" w:firstLineChars="200"/>
        <w:jc w:val="left"/>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lang w:val="en-US" w:eastAsia="zh-CN"/>
        </w:rPr>
        <w:t>淮滨县农业农村局为一级单位，现有</w:t>
      </w:r>
      <w:r>
        <w:rPr>
          <w:rFonts w:hint="eastAsia" w:ascii="仿宋_GB2312" w:hAnsi="仿宋_GB2312" w:eastAsia="仿宋_GB2312" w:cs="仿宋_GB2312"/>
          <w:bCs/>
          <w:sz w:val="32"/>
          <w:szCs w:val="32"/>
          <w:highlight w:val="none"/>
        </w:rPr>
        <w:t>：办公室、人事科</w:t>
      </w:r>
      <w:r>
        <w:rPr>
          <w:rFonts w:hint="eastAsia" w:ascii="仿宋_GB2312" w:hAnsi="仿宋_GB2312" w:eastAsia="仿宋_GB2312" w:cs="仿宋_GB2312"/>
          <w:bCs/>
          <w:sz w:val="32"/>
          <w:szCs w:val="32"/>
          <w:highlight w:val="none"/>
          <w:lang w:eastAsia="zh-CN"/>
        </w:rPr>
        <w:t>教股</w:t>
      </w:r>
      <w:r>
        <w:rPr>
          <w:rFonts w:hint="eastAsia" w:ascii="仿宋_GB2312" w:hAnsi="仿宋_GB2312" w:eastAsia="仿宋_GB2312" w:cs="仿宋_GB2312"/>
          <w:bCs/>
          <w:sz w:val="32"/>
          <w:szCs w:val="32"/>
          <w:highlight w:val="none"/>
        </w:rPr>
        <w:t>、计划财务</w:t>
      </w:r>
      <w:r>
        <w:rPr>
          <w:rFonts w:hint="eastAsia" w:ascii="仿宋_GB2312" w:hAnsi="仿宋_GB2312" w:eastAsia="仿宋_GB2312" w:cs="仿宋_GB2312"/>
          <w:bCs/>
          <w:sz w:val="32"/>
          <w:szCs w:val="32"/>
          <w:highlight w:val="none"/>
          <w:lang w:eastAsia="zh-CN"/>
        </w:rPr>
        <w:t>股、农村改革与政策法规股、</w:t>
      </w:r>
      <w:r>
        <w:rPr>
          <w:rFonts w:hint="eastAsia" w:ascii="仿宋_GB2312" w:hAnsi="仿宋_GB2312" w:eastAsia="仿宋_GB2312" w:cs="仿宋_GB2312"/>
          <w:bCs/>
          <w:sz w:val="32"/>
          <w:szCs w:val="32"/>
          <w:highlight w:val="none"/>
        </w:rPr>
        <w:t>农村经济</w:t>
      </w:r>
      <w:r>
        <w:rPr>
          <w:rFonts w:hint="eastAsia" w:ascii="仿宋_GB2312" w:hAnsi="仿宋_GB2312" w:eastAsia="仿宋_GB2312" w:cs="仿宋_GB2312"/>
          <w:bCs/>
          <w:sz w:val="32"/>
          <w:szCs w:val="32"/>
          <w:highlight w:val="none"/>
          <w:lang w:eastAsia="zh-CN"/>
        </w:rPr>
        <w:t>发展股、</w:t>
      </w:r>
      <w:r>
        <w:rPr>
          <w:rFonts w:hint="eastAsia" w:ascii="仿宋_GB2312" w:hAnsi="仿宋_GB2312" w:eastAsia="仿宋_GB2312" w:cs="仿宋_GB2312"/>
          <w:bCs/>
          <w:sz w:val="32"/>
          <w:szCs w:val="32"/>
          <w:highlight w:val="none"/>
        </w:rPr>
        <w:t>人居环境</w:t>
      </w:r>
      <w:r>
        <w:rPr>
          <w:rFonts w:hint="eastAsia" w:ascii="仿宋_GB2312" w:hAnsi="仿宋_GB2312" w:eastAsia="仿宋_GB2312" w:cs="仿宋_GB2312"/>
          <w:bCs/>
          <w:sz w:val="32"/>
          <w:szCs w:val="32"/>
          <w:highlight w:val="none"/>
          <w:lang w:eastAsia="zh-CN"/>
        </w:rPr>
        <w:t>与</w:t>
      </w:r>
      <w:r>
        <w:rPr>
          <w:rFonts w:hint="eastAsia" w:ascii="仿宋_GB2312" w:hAnsi="仿宋_GB2312" w:eastAsia="仿宋_GB2312" w:cs="仿宋_GB2312"/>
          <w:bCs/>
          <w:sz w:val="32"/>
          <w:szCs w:val="32"/>
          <w:highlight w:val="none"/>
        </w:rPr>
        <w:t>资源利用</w:t>
      </w:r>
      <w:r>
        <w:rPr>
          <w:rFonts w:hint="eastAsia" w:ascii="仿宋_GB2312" w:hAnsi="仿宋_GB2312" w:eastAsia="仿宋_GB2312" w:cs="仿宋_GB2312"/>
          <w:bCs/>
          <w:sz w:val="32"/>
          <w:szCs w:val="32"/>
          <w:highlight w:val="none"/>
          <w:lang w:eastAsia="zh-CN"/>
        </w:rPr>
        <w:t>股、</w:t>
      </w:r>
      <w:r>
        <w:rPr>
          <w:rFonts w:hint="eastAsia" w:ascii="仿宋_GB2312" w:hAnsi="仿宋_GB2312" w:eastAsia="仿宋_GB2312" w:cs="仿宋_GB2312"/>
          <w:bCs/>
          <w:sz w:val="32"/>
          <w:szCs w:val="32"/>
          <w:highlight w:val="none"/>
        </w:rPr>
        <w:t>农产品质量安全</w:t>
      </w:r>
      <w:r>
        <w:rPr>
          <w:rFonts w:hint="eastAsia" w:ascii="仿宋_GB2312" w:hAnsi="仿宋_GB2312" w:eastAsia="仿宋_GB2312" w:cs="仿宋_GB2312"/>
          <w:bCs/>
          <w:sz w:val="32"/>
          <w:szCs w:val="32"/>
          <w:highlight w:val="none"/>
          <w:lang w:eastAsia="zh-CN"/>
        </w:rPr>
        <w:t>与农药管理股、</w:t>
      </w:r>
      <w:r>
        <w:rPr>
          <w:rFonts w:hint="eastAsia" w:ascii="仿宋_GB2312" w:hAnsi="仿宋_GB2312" w:eastAsia="仿宋_GB2312" w:cs="仿宋_GB2312"/>
          <w:bCs/>
          <w:sz w:val="32"/>
          <w:szCs w:val="32"/>
          <w:highlight w:val="none"/>
        </w:rPr>
        <w:t>种植业与农业机械化管理</w:t>
      </w:r>
      <w:r>
        <w:rPr>
          <w:rFonts w:hint="eastAsia" w:ascii="仿宋_GB2312" w:hAnsi="仿宋_GB2312" w:eastAsia="仿宋_GB2312" w:cs="仿宋_GB2312"/>
          <w:bCs/>
          <w:sz w:val="32"/>
          <w:szCs w:val="32"/>
          <w:highlight w:val="none"/>
          <w:lang w:eastAsia="zh-CN"/>
        </w:rPr>
        <w:t>股、</w:t>
      </w:r>
      <w:r>
        <w:rPr>
          <w:rFonts w:hint="eastAsia" w:ascii="仿宋_GB2312" w:hAnsi="仿宋_GB2312" w:eastAsia="仿宋_GB2312" w:cs="仿宋_GB2312"/>
          <w:bCs/>
          <w:sz w:val="32"/>
          <w:szCs w:val="32"/>
          <w:highlight w:val="none"/>
        </w:rPr>
        <w:t>农田建设</w:t>
      </w:r>
      <w:r>
        <w:rPr>
          <w:rFonts w:hint="eastAsia" w:ascii="仿宋_GB2312" w:hAnsi="仿宋_GB2312" w:eastAsia="仿宋_GB2312" w:cs="仿宋_GB2312"/>
          <w:bCs/>
          <w:sz w:val="32"/>
          <w:szCs w:val="32"/>
          <w:highlight w:val="none"/>
          <w:lang w:eastAsia="zh-CN"/>
        </w:rPr>
        <w:t>与</w:t>
      </w:r>
      <w:r>
        <w:rPr>
          <w:rFonts w:hint="eastAsia" w:ascii="仿宋_GB2312" w:hAnsi="仿宋_GB2312" w:eastAsia="仿宋_GB2312" w:cs="仿宋_GB2312"/>
          <w:bCs/>
          <w:sz w:val="32"/>
          <w:szCs w:val="32"/>
          <w:highlight w:val="none"/>
        </w:rPr>
        <w:t>耕地质量监督评</w:t>
      </w:r>
      <w:r>
        <w:rPr>
          <w:rFonts w:hint="eastAsia" w:ascii="仿宋_GB2312" w:hAnsi="仿宋_GB2312" w:eastAsia="仿宋_GB2312" w:cs="仿宋_GB2312"/>
          <w:bCs/>
          <w:sz w:val="32"/>
          <w:szCs w:val="32"/>
          <w:highlight w:val="none"/>
          <w:lang w:eastAsia="zh-CN"/>
        </w:rPr>
        <w:t>价股、农村社会事业与信息股、</w:t>
      </w:r>
      <w:r>
        <w:rPr>
          <w:rFonts w:hint="eastAsia" w:ascii="仿宋_GB2312" w:hAnsi="仿宋_GB2312" w:eastAsia="仿宋_GB2312" w:cs="仿宋_GB2312"/>
          <w:bCs/>
          <w:sz w:val="32"/>
          <w:szCs w:val="32"/>
          <w:highlight w:val="none"/>
        </w:rPr>
        <w:t>畜牧</w:t>
      </w:r>
      <w:r>
        <w:rPr>
          <w:rFonts w:hint="eastAsia" w:ascii="仿宋_GB2312" w:hAnsi="仿宋_GB2312" w:eastAsia="仿宋_GB2312" w:cs="仿宋_GB2312"/>
          <w:bCs/>
          <w:sz w:val="32"/>
          <w:szCs w:val="32"/>
          <w:highlight w:val="none"/>
          <w:lang w:val="en-US" w:eastAsia="zh-CN"/>
        </w:rPr>
        <w:t>水产股、</w:t>
      </w:r>
      <w:r>
        <w:rPr>
          <w:rFonts w:hint="eastAsia" w:ascii="仿宋_GB2312" w:hAnsi="仿宋_GB2312" w:eastAsia="仿宋_GB2312" w:cs="仿宋_GB2312"/>
          <w:bCs/>
          <w:sz w:val="32"/>
          <w:szCs w:val="32"/>
          <w:highlight w:val="none"/>
        </w:rPr>
        <w:t>兽医</w:t>
      </w:r>
      <w:r>
        <w:rPr>
          <w:rFonts w:hint="eastAsia" w:ascii="仿宋_GB2312" w:hAnsi="仿宋_GB2312" w:eastAsia="仿宋_GB2312" w:cs="仿宋_GB2312"/>
          <w:bCs/>
          <w:sz w:val="32"/>
          <w:szCs w:val="32"/>
          <w:highlight w:val="none"/>
          <w:lang w:eastAsia="zh-CN"/>
        </w:rPr>
        <w:t>股、</w:t>
      </w:r>
      <w:r>
        <w:rPr>
          <w:rFonts w:hint="eastAsia" w:ascii="仿宋_GB2312" w:hAnsi="仿宋_GB2312" w:eastAsia="仿宋_GB2312" w:cs="仿宋_GB2312"/>
          <w:bCs/>
          <w:sz w:val="32"/>
          <w:szCs w:val="32"/>
          <w:highlight w:val="none"/>
        </w:rPr>
        <w:t>饲料兽药</w:t>
      </w:r>
      <w:r>
        <w:rPr>
          <w:rFonts w:hint="eastAsia" w:ascii="仿宋_GB2312" w:hAnsi="仿宋_GB2312" w:eastAsia="仿宋_GB2312" w:cs="仿宋_GB2312"/>
          <w:bCs/>
          <w:sz w:val="32"/>
          <w:szCs w:val="32"/>
          <w:highlight w:val="none"/>
          <w:lang w:eastAsia="zh-CN"/>
        </w:rPr>
        <w:t>股、</w:t>
      </w:r>
      <w:r>
        <w:rPr>
          <w:rFonts w:hint="eastAsia" w:ascii="仿宋_GB2312" w:hAnsi="仿宋_GB2312" w:eastAsia="仿宋_GB2312" w:cs="仿宋_GB2312"/>
          <w:bCs/>
          <w:sz w:val="32"/>
          <w:szCs w:val="32"/>
          <w:highlight w:val="none"/>
        </w:rPr>
        <w:t>畜禽屠宰管理</w:t>
      </w:r>
      <w:r>
        <w:rPr>
          <w:rFonts w:hint="eastAsia" w:ascii="仿宋_GB2312" w:hAnsi="仿宋_GB2312" w:eastAsia="仿宋_GB2312" w:cs="仿宋_GB2312"/>
          <w:bCs/>
          <w:sz w:val="32"/>
          <w:szCs w:val="32"/>
          <w:highlight w:val="none"/>
          <w:lang w:eastAsia="zh-CN"/>
        </w:rPr>
        <w:t>股</w:t>
      </w:r>
      <w:r>
        <w:rPr>
          <w:rFonts w:hint="eastAsia" w:ascii="仿宋_GB2312" w:hAnsi="仿宋_GB2312" w:eastAsia="仿宋_GB2312" w:cs="仿宋_GB2312"/>
          <w:bCs/>
          <w:sz w:val="32"/>
          <w:szCs w:val="32"/>
          <w:highlight w:val="none"/>
        </w:rPr>
        <w:t>等</w:t>
      </w:r>
      <w:r>
        <w:rPr>
          <w:rFonts w:hint="eastAsia" w:ascii="仿宋_GB2312" w:hAnsi="仿宋_GB2312" w:eastAsia="仿宋_GB2312" w:cs="仿宋_GB2312"/>
          <w:bCs/>
          <w:sz w:val="32"/>
          <w:szCs w:val="32"/>
          <w:highlight w:val="none"/>
          <w:lang w:eastAsia="zh-CN"/>
        </w:rPr>
        <w:t>内设科</w:t>
      </w:r>
      <w:r>
        <w:rPr>
          <w:rFonts w:hint="eastAsia" w:ascii="仿宋_GB2312" w:hAnsi="仿宋_GB2312" w:eastAsia="仿宋_GB2312" w:cs="仿宋_GB2312"/>
          <w:bCs/>
          <w:sz w:val="32"/>
          <w:szCs w:val="32"/>
          <w:highlight w:val="none"/>
        </w:rPr>
        <w:t>室。</w:t>
      </w: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hint="eastAsia" w:ascii="黑体" w:hAnsi="黑体" w:eastAsia="黑体" w:cs="黑体"/>
          <w:bCs/>
          <w:szCs w:val="32"/>
        </w:rPr>
        <w:t>淮滨县农业农村局</w:t>
      </w:r>
      <w:r>
        <w:rPr>
          <w:rFonts w:ascii="黑体" w:hAnsi="黑体" w:eastAsia="黑体" w:cs="黑体"/>
          <w:bCs/>
          <w:szCs w:val="32"/>
        </w:rPr>
        <w:t>预算单位构成情况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淮滨县农业农村局2023年部门预算包括局机关本级预算和所属二级机构</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14:textFill>
            <w14:solidFill>
              <w14:schemeClr w14:val="tx1"/>
            </w14:solidFill>
          </w14:textFill>
        </w:rPr>
        <w:t>农业</w:t>
      </w:r>
      <w:r>
        <w:rPr>
          <w:rFonts w:hint="eastAsia" w:ascii="仿宋_GB2312" w:hAnsi="宋体" w:eastAsia="仿宋_GB2312" w:cs="宋体"/>
          <w:color w:val="000000" w:themeColor="text1"/>
          <w:sz w:val="32"/>
          <w:szCs w:val="32"/>
          <w:lang w:val="en-US" w:eastAsia="zh-CN"/>
          <w14:textFill>
            <w14:solidFill>
              <w14:schemeClr w14:val="tx1"/>
            </w14:solidFill>
          </w14:textFill>
        </w:rPr>
        <w:t>经营管理站、</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14:textFill>
            <w14:solidFill>
              <w14:schemeClr w14:val="tx1"/>
            </w14:solidFill>
          </w14:textFill>
        </w:rPr>
        <w:t>种子管理站</w:t>
      </w:r>
      <w:r>
        <w:rPr>
          <w:rFonts w:hint="eastAsia" w:ascii="仿宋_GB2312" w:hAnsi="宋体" w:eastAsia="仿宋_GB2312" w:cs="宋体"/>
          <w:color w:val="000000" w:themeColor="text1"/>
          <w:sz w:val="32"/>
          <w:szCs w:val="32"/>
          <w:lang w:val="en-US"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14:textFill>
            <w14:solidFill>
              <w14:schemeClr w14:val="tx1"/>
            </w14:solidFill>
          </w14:textFill>
        </w:rPr>
        <w:t>农业综合执法大队</w:t>
      </w:r>
      <w:r>
        <w:rPr>
          <w:rFonts w:hint="eastAsia" w:ascii="仿宋_GB2312" w:hAnsi="宋体" w:eastAsia="仿宋_GB2312" w:cs="宋体"/>
          <w:color w:val="000000" w:themeColor="text1"/>
          <w:sz w:val="32"/>
          <w:szCs w:val="32"/>
          <w:lang w:val="en-US"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14:textFill>
            <w14:solidFill>
              <w14:schemeClr w14:val="tx1"/>
            </w14:solidFill>
          </w14:textFill>
        </w:rPr>
        <w:t>农村能源环境保护</w:t>
      </w:r>
      <w:r>
        <w:rPr>
          <w:rFonts w:hint="eastAsia" w:ascii="仿宋_GB2312" w:hAnsi="宋体" w:eastAsia="仿宋_GB2312" w:cs="宋体"/>
          <w:color w:val="000000" w:themeColor="text1"/>
          <w:sz w:val="32"/>
          <w:szCs w:val="32"/>
          <w:lang w:val="en-US" w:eastAsia="zh-CN"/>
          <w14:textFill>
            <w14:solidFill>
              <w14:schemeClr w14:val="tx1"/>
            </w14:solidFill>
          </w14:textFill>
        </w:rPr>
        <w:t>管理</w:t>
      </w:r>
      <w:r>
        <w:rPr>
          <w:rFonts w:hint="eastAsia" w:ascii="仿宋_GB2312" w:hAnsi="宋体" w:eastAsia="仿宋_GB2312" w:cs="宋体"/>
          <w:color w:val="000000" w:themeColor="text1"/>
          <w:sz w:val="32"/>
          <w:szCs w:val="32"/>
          <w14:textFill>
            <w14:solidFill>
              <w14:schemeClr w14:val="tx1"/>
            </w14:solidFill>
          </w14:textFill>
        </w:rPr>
        <w:t>站</w:t>
      </w:r>
      <w:r>
        <w:rPr>
          <w:rFonts w:hint="eastAsia" w:ascii="仿宋_GB2312" w:hAnsi="宋体" w:eastAsia="仿宋_GB2312" w:cs="宋体"/>
          <w:color w:val="000000" w:themeColor="text1"/>
          <w:sz w:val="32"/>
          <w:szCs w:val="32"/>
          <w:lang w:val="en-US"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14:textFill>
            <w14:solidFill>
              <w14:schemeClr w14:val="tx1"/>
            </w14:solidFill>
          </w14:textFill>
        </w:rPr>
        <w:t>植保</w:t>
      </w:r>
      <w:r>
        <w:rPr>
          <w:rFonts w:hint="eastAsia" w:ascii="仿宋_GB2312" w:hAnsi="宋体" w:eastAsia="仿宋_GB2312" w:cs="宋体"/>
          <w:color w:val="000000" w:themeColor="text1"/>
          <w:sz w:val="32"/>
          <w:szCs w:val="32"/>
          <w:lang w:val="en-US" w:eastAsia="zh-CN"/>
          <w14:textFill>
            <w14:solidFill>
              <w14:schemeClr w14:val="tx1"/>
            </w14:solidFill>
          </w14:textFill>
        </w:rPr>
        <w:t>质检</w:t>
      </w:r>
      <w:r>
        <w:rPr>
          <w:rFonts w:hint="eastAsia" w:ascii="仿宋_GB2312" w:hAnsi="宋体" w:eastAsia="仿宋_GB2312" w:cs="宋体"/>
          <w:color w:val="000000" w:themeColor="text1"/>
          <w:sz w:val="32"/>
          <w:szCs w:val="32"/>
          <w14:textFill>
            <w14:solidFill>
              <w14:schemeClr w14:val="tx1"/>
            </w14:solidFill>
          </w14:textFill>
        </w:rPr>
        <w:t>站</w:t>
      </w:r>
      <w:r>
        <w:rPr>
          <w:rFonts w:hint="eastAsia" w:ascii="仿宋_GB2312" w:hAnsi="宋体" w:eastAsia="仿宋_GB2312" w:cs="宋体"/>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14:textFill>
            <w14:solidFill>
              <w14:schemeClr w14:val="tx1"/>
            </w14:solidFill>
          </w14:textFill>
        </w:rPr>
        <w:t>农产品质量检测</w:t>
      </w:r>
      <w:r>
        <w:rPr>
          <w:rFonts w:hint="eastAsia" w:ascii="仿宋_GB2312" w:hAnsi="宋体" w:eastAsia="仿宋_GB2312" w:cs="宋体"/>
          <w:color w:val="000000" w:themeColor="text1"/>
          <w:sz w:val="32"/>
          <w:szCs w:val="32"/>
          <w:lang w:val="en-US" w:eastAsia="zh-CN"/>
          <w14:textFill>
            <w14:solidFill>
              <w14:schemeClr w14:val="tx1"/>
            </w14:solidFill>
          </w14:textFill>
        </w:rPr>
        <w:t>站</w:t>
      </w:r>
      <w:r>
        <w:rPr>
          <w:rFonts w:hint="eastAsia" w:ascii="仿宋_GB2312" w:hAnsi="宋体" w:eastAsia="仿宋_GB2312" w:cs="宋体"/>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lang w:val="en-US" w:eastAsia="zh-CN"/>
          <w14:textFill>
            <w14:solidFill>
              <w14:schemeClr w14:val="tx1"/>
            </w14:solidFill>
          </w14:textFill>
        </w:rPr>
        <w:t>特色农业产业办公室</w:t>
      </w:r>
      <w:r>
        <w:rPr>
          <w:rFonts w:hint="eastAsia" w:ascii="仿宋_GB2312" w:hAnsi="宋体" w:eastAsia="仿宋_GB2312" w:cs="宋体"/>
          <w:color w:val="000000" w:themeColor="text1"/>
          <w:sz w:val="32"/>
          <w:szCs w:val="32"/>
          <w:lang w:eastAsia="zh-CN"/>
          <w14:textFill>
            <w14:solidFill>
              <w14:schemeClr w14:val="tx1"/>
            </w14:solidFill>
          </w14:textFill>
        </w:rPr>
        <w:t>、</w:t>
      </w:r>
      <w:r>
        <w:rPr>
          <w:rFonts w:hint="eastAsia" w:ascii="仿宋_GB2312" w:eastAsia="仿宋_GB2312"/>
          <w:color w:val="000000" w:themeColor="text1"/>
          <w:sz w:val="32"/>
          <w:szCs w:val="32"/>
          <w:lang w:val="en-US" w:eastAsia="zh-CN"/>
          <w14:textFill>
            <w14:solidFill>
              <w14:schemeClr w14:val="tx1"/>
            </w14:solidFill>
          </w14:textFill>
        </w:rPr>
        <w:t>淮滨县</w:t>
      </w:r>
      <w:r>
        <w:rPr>
          <w:rFonts w:hint="eastAsia" w:ascii="仿宋_GB2312" w:hAnsi="宋体" w:eastAsia="仿宋_GB2312" w:cs="宋体"/>
          <w:color w:val="000000" w:themeColor="text1"/>
          <w:sz w:val="32"/>
          <w:szCs w:val="32"/>
          <w14:textFill>
            <w14:solidFill>
              <w14:schemeClr w14:val="tx1"/>
            </w14:solidFill>
          </w14:textFill>
        </w:rPr>
        <w:t>动物疫病预防控制中心</w:t>
      </w:r>
      <w:r>
        <w:rPr>
          <w:rFonts w:hint="eastAsia" w:ascii="仿宋_GB2312" w:hAnsi="仿宋_GB2312" w:eastAsia="仿宋_GB2312" w:cs="仿宋_GB2312"/>
          <w:bCs/>
          <w:sz w:val="32"/>
          <w:szCs w:val="32"/>
          <w:lang w:val="en-US" w:eastAsia="zh-CN"/>
        </w:rPr>
        <w:t>等单位预算。</w:t>
      </w: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ind w:firstLine="640" w:firstLineChars="200"/>
        <w:jc w:val="left"/>
        <w:rPr>
          <w:rFonts w:ascii="仿宋_GB2312" w:hAnsi="仿宋_GB2312" w:eastAsia="仿宋_GB2312" w:cs="仿宋_GB2312"/>
          <w:bCs/>
          <w:sz w:val="32"/>
          <w:szCs w:val="32"/>
        </w:rPr>
      </w:pPr>
    </w:p>
    <w:p>
      <w:pPr>
        <w:jc w:val="center"/>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淮滨县农业农村局</w:t>
      </w:r>
      <w:r>
        <w:rPr>
          <w:rFonts w:hint="eastAsia" w:ascii="黑体" w:hAnsi="黑体" w:eastAsia="黑体" w:cs="黑体"/>
          <w:b/>
          <w:bCs/>
          <w:sz w:val="36"/>
          <w:szCs w:val="36"/>
          <w:lang w:eastAsia="zh-CN"/>
        </w:rPr>
        <w:t>2023年</w:t>
      </w:r>
      <w:r>
        <w:rPr>
          <w:rFonts w:hint="eastAsia" w:ascii="黑体" w:hAnsi="黑体" w:eastAsia="黑体" w:cs="黑体"/>
          <w:b/>
          <w:bCs/>
          <w:sz w:val="36"/>
          <w:szCs w:val="36"/>
        </w:rPr>
        <w:t>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淮滨县农业农村局</w:t>
      </w:r>
      <w:r>
        <w:rPr>
          <w:rFonts w:hint="eastAsia" w:ascii="仿宋" w:hAnsi="仿宋" w:eastAsia="仿宋" w:cs="仿宋"/>
          <w:sz w:val="32"/>
          <w:szCs w:val="32"/>
          <w:lang w:eastAsia="zh-CN"/>
        </w:rPr>
        <w:t>2023年</w:t>
      </w:r>
      <w:r>
        <w:rPr>
          <w:rFonts w:hint="eastAsia" w:ascii="仿宋" w:hAnsi="仿宋" w:eastAsia="仿宋" w:cs="仿宋"/>
          <w:sz w:val="32"/>
          <w:szCs w:val="32"/>
        </w:rPr>
        <w:t>收入总计2739.75万元，支出总计2739.75万元,与202</w:t>
      </w:r>
      <w:r>
        <w:rPr>
          <w:rFonts w:hint="eastAsia" w:ascii="仿宋" w:hAnsi="仿宋" w:eastAsia="仿宋" w:cs="仿宋"/>
          <w:sz w:val="32"/>
          <w:szCs w:val="32"/>
          <w:lang w:val="en-US" w:eastAsia="zh-CN"/>
        </w:rPr>
        <w:t>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132.86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5.1</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增加项目资金</w:t>
      </w:r>
      <w:r>
        <w:rPr>
          <w:rFonts w:hint="eastAsia" w:ascii="仿宋" w:hAnsi="仿宋" w:eastAsia="仿宋" w:cs="仿宋"/>
          <w:sz w:val="32"/>
          <w:szCs w:val="32"/>
        </w:rPr>
        <w:t>。</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4445" t="4445" r="14605"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jc w:val="left"/>
        <w:rPr>
          <w:rFonts w:ascii="仿宋" w:hAnsi="仿宋" w:eastAsia="仿宋" w:cs="仿宋"/>
          <w:sz w:val="32"/>
          <w:szCs w:val="32"/>
        </w:rPr>
      </w:pP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淮滨县农业农村局</w:t>
      </w:r>
      <w:r>
        <w:rPr>
          <w:rFonts w:hint="eastAsia" w:ascii="仿宋" w:hAnsi="仿宋" w:eastAsia="仿宋" w:cs="仿宋"/>
          <w:sz w:val="32"/>
          <w:lang w:eastAsia="zh-CN"/>
        </w:rPr>
        <w:t>2023年</w:t>
      </w:r>
      <w:r>
        <w:rPr>
          <w:rFonts w:hint="eastAsia" w:ascii="仿宋" w:hAnsi="仿宋" w:eastAsia="仿宋" w:cs="仿宋"/>
          <w:sz w:val="32"/>
        </w:rPr>
        <w:t>收入合计2739.75万元，其中：一般公共预算收入2739.75万元，上年结转结余</w:t>
      </w:r>
      <w:r>
        <w:rPr>
          <w:rFonts w:hint="eastAsia" w:ascii="仿宋" w:hAnsi="仿宋" w:eastAsia="仿宋" w:cs="仿宋"/>
          <w:sz w:val="32"/>
          <w:lang w:val="en-US" w:eastAsia="zh-CN"/>
        </w:rPr>
        <w:t>0</w:t>
      </w:r>
      <w:r>
        <w:rPr>
          <w:rFonts w:hint="eastAsia" w:ascii="仿宋" w:hAnsi="仿宋" w:eastAsia="仿宋" w:cs="仿宋"/>
          <w:sz w:val="32"/>
        </w:rPr>
        <w:t>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4445" t="4445" r="8255" b="15875"/>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淮滨县农业农村局</w:t>
      </w:r>
      <w:r>
        <w:rPr>
          <w:rFonts w:hint="eastAsia" w:ascii="仿宋" w:hAnsi="仿宋" w:eastAsia="仿宋" w:cs="仿宋"/>
          <w:sz w:val="32"/>
          <w:lang w:eastAsia="zh-CN"/>
        </w:rPr>
        <w:t>2023年</w:t>
      </w:r>
      <w:r>
        <w:rPr>
          <w:rFonts w:hint="eastAsia" w:ascii="仿宋" w:hAnsi="仿宋" w:eastAsia="仿宋" w:cs="仿宋"/>
          <w:sz w:val="32"/>
        </w:rPr>
        <w:t>支出合计2739.75万元，其中：基本支出</w:t>
      </w:r>
      <w:r>
        <w:rPr>
          <w:rFonts w:hint="eastAsia" w:ascii="仿宋" w:hAnsi="仿宋" w:eastAsia="仿宋" w:cs="仿宋"/>
          <w:sz w:val="32"/>
          <w:lang w:val="en-US" w:eastAsia="zh-CN"/>
        </w:rPr>
        <w:t>2177.61</w:t>
      </w:r>
      <w:r>
        <w:rPr>
          <w:rFonts w:hint="eastAsia" w:ascii="仿宋" w:hAnsi="仿宋" w:eastAsia="仿宋" w:cs="仿宋"/>
          <w:sz w:val="32"/>
        </w:rPr>
        <w:t>万元，占</w:t>
      </w:r>
      <w:r>
        <w:rPr>
          <w:rFonts w:hint="eastAsia" w:ascii="仿宋" w:hAnsi="仿宋" w:eastAsia="仿宋" w:cs="仿宋"/>
          <w:sz w:val="32"/>
          <w:lang w:val="en-US" w:eastAsia="zh-CN"/>
        </w:rPr>
        <w:t>79</w:t>
      </w:r>
      <w:r>
        <w:rPr>
          <w:rFonts w:hint="eastAsia" w:ascii="仿宋" w:hAnsi="仿宋" w:eastAsia="仿宋" w:cs="仿宋"/>
          <w:sz w:val="32"/>
        </w:rPr>
        <w:t>%；项目支出</w:t>
      </w:r>
      <w:r>
        <w:rPr>
          <w:rFonts w:hint="eastAsia" w:ascii="仿宋" w:hAnsi="仿宋" w:eastAsia="仿宋" w:cs="仿宋"/>
          <w:sz w:val="32"/>
          <w:lang w:val="en-US" w:eastAsia="zh-CN"/>
        </w:rPr>
        <w:t>562.14</w:t>
      </w:r>
      <w:r>
        <w:rPr>
          <w:rFonts w:hint="eastAsia" w:ascii="仿宋" w:hAnsi="仿宋" w:eastAsia="仿宋" w:cs="仿宋"/>
          <w:sz w:val="32"/>
        </w:rPr>
        <w:t>万元，占</w:t>
      </w:r>
      <w:r>
        <w:rPr>
          <w:rFonts w:hint="eastAsia" w:ascii="仿宋" w:hAnsi="仿宋" w:eastAsia="仿宋" w:cs="仿宋"/>
          <w:sz w:val="32"/>
          <w:lang w:val="en-US" w:eastAsia="zh-CN"/>
        </w:rPr>
        <w:t>21</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69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淮滨县农业农村局</w:t>
      </w:r>
      <w:r>
        <w:rPr>
          <w:rFonts w:hint="eastAsia" w:ascii="仿宋" w:hAnsi="仿宋" w:eastAsia="仿宋" w:cs="仿宋"/>
          <w:sz w:val="32"/>
          <w:lang w:eastAsia="zh-CN"/>
        </w:rPr>
        <w:t>2023年</w:t>
      </w:r>
      <w:r>
        <w:rPr>
          <w:rFonts w:hint="eastAsia" w:ascii="仿宋" w:hAnsi="仿宋" w:eastAsia="仿宋" w:cs="仿宋"/>
          <w:sz w:val="32"/>
        </w:rPr>
        <w:t>一般公共预算收支预算2739.75万元，无政府性基金预算和国有资本经营预算。与</w:t>
      </w:r>
      <w:r>
        <w:rPr>
          <w:rFonts w:hint="eastAsia" w:ascii="仿宋" w:hAnsi="仿宋" w:eastAsia="仿宋" w:cs="仿宋"/>
          <w:sz w:val="32"/>
          <w:lang w:eastAsia="zh-CN"/>
        </w:rPr>
        <w:t>2022年</w:t>
      </w:r>
      <w:r>
        <w:rPr>
          <w:rFonts w:hint="eastAsia" w:ascii="仿宋" w:hAnsi="仿宋" w:eastAsia="仿宋" w:cs="仿宋"/>
          <w:sz w:val="32"/>
        </w:rPr>
        <w:t>相比，一般公共预算收支预算增加</w:t>
      </w:r>
      <w:r>
        <w:rPr>
          <w:rFonts w:hint="eastAsia" w:ascii="仿宋" w:hAnsi="仿宋" w:eastAsia="仿宋" w:cs="仿宋"/>
          <w:sz w:val="32"/>
          <w:szCs w:val="32"/>
          <w:lang w:val="en-US" w:eastAsia="zh-CN"/>
        </w:rPr>
        <w:t>132.86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5.1</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增加项目资金</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4445" t="4445" r="17145" b="1206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淮滨县农业农村局</w:t>
      </w:r>
      <w:r>
        <w:rPr>
          <w:rFonts w:hint="eastAsia" w:ascii="仿宋" w:hAnsi="仿宋" w:eastAsia="仿宋" w:cs="仿宋"/>
          <w:sz w:val="32"/>
          <w:lang w:eastAsia="zh-CN"/>
        </w:rPr>
        <w:t>2023年</w:t>
      </w:r>
      <w:r>
        <w:rPr>
          <w:rFonts w:hint="eastAsia" w:ascii="仿宋" w:hAnsi="仿宋" w:eastAsia="仿宋" w:cs="仿宋"/>
          <w:sz w:val="32"/>
        </w:rPr>
        <w:t>一般公共预算支出年初预算为2739.75万元。其中：基本支出</w:t>
      </w:r>
      <w:r>
        <w:rPr>
          <w:rFonts w:hint="eastAsia" w:ascii="仿宋" w:hAnsi="仿宋" w:eastAsia="仿宋" w:cs="仿宋"/>
          <w:sz w:val="32"/>
          <w:lang w:val="en-US" w:eastAsia="zh-CN"/>
        </w:rPr>
        <w:t>2177.61</w:t>
      </w:r>
      <w:r>
        <w:rPr>
          <w:rFonts w:hint="eastAsia" w:ascii="仿宋" w:hAnsi="仿宋" w:eastAsia="仿宋" w:cs="仿宋"/>
          <w:sz w:val="32"/>
        </w:rPr>
        <w:t>万元，占</w:t>
      </w:r>
      <w:r>
        <w:rPr>
          <w:rFonts w:hint="eastAsia" w:ascii="仿宋" w:hAnsi="仿宋" w:eastAsia="仿宋" w:cs="仿宋"/>
          <w:sz w:val="32"/>
          <w:lang w:val="en-US" w:eastAsia="zh-CN"/>
        </w:rPr>
        <w:t>79</w:t>
      </w:r>
      <w:r>
        <w:rPr>
          <w:rFonts w:hint="eastAsia" w:ascii="仿宋" w:hAnsi="仿宋" w:eastAsia="仿宋" w:cs="仿宋"/>
          <w:sz w:val="32"/>
        </w:rPr>
        <w:t>%;项目支出</w:t>
      </w:r>
      <w:r>
        <w:rPr>
          <w:rFonts w:hint="eastAsia" w:ascii="仿宋" w:hAnsi="仿宋" w:eastAsia="仿宋" w:cs="仿宋"/>
          <w:sz w:val="32"/>
          <w:lang w:val="en-US" w:eastAsia="zh-CN"/>
        </w:rPr>
        <w:t>562.14</w:t>
      </w:r>
      <w:r>
        <w:rPr>
          <w:rFonts w:hint="eastAsia" w:ascii="仿宋" w:hAnsi="仿宋" w:eastAsia="仿宋" w:cs="仿宋"/>
          <w:sz w:val="32"/>
        </w:rPr>
        <w:t>万元，占</w:t>
      </w:r>
      <w:r>
        <w:rPr>
          <w:rFonts w:hint="eastAsia" w:ascii="仿宋" w:hAnsi="仿宋" w:eastAsia="仿宋" w:cs="仿宋"/>
          <w:sz w:val="32"/>
          <w:lang w:val="en-US" w:eastAsia="zh-CN"/>
        </w:rPr>
        <w:t>21</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淮滨县农业农村局</w:t>
      </w:r>
      <w:r>
        <w:rPr>
          <w:rFonts w:hint="eastAsia" w:ascii="仿宋" w:hAnsi="仿宋" w:eastAsia="仿宋" w:cs="仿宋"/>
          <w:color w:val="000000"/>
          <w:sz w:val="32"/>
          <w:szCs w:val="32"/>
          <w:lang w:eastAsia="zh-CN"/>
        </w:rPr>
        <w:t>2023年</w:t>
      </w:r>
      <w:r>
        <w:rPr>
          <w:rFonts w:hint="eastAsia" w:ascii="仿宋" w:hAnsi="仿宋" w:eastAsia="仿宋" w:cs="仿宋"/>
          <w:color w:val="000000"/>
          <w:sz w:val="32"/>
          <w:szCs w:val="32"/>
        </w:rPr>
        <w:t>一般公共预算基本支出年初预算为</w:t>
      </w:r>
      <w:r>
        <w:rPr>
          <w:rFonts w:hint="eastAsia" w:ascii="仿宋" w:hAnsi="仿宋" w:eastAsia="仿宋" w:cs="仿宋"/>
          <w:sz w:val="32"/>
          <w:lang w:val="en-US" w:eastAsia="zh-CN"/>
        </w:rPr>
        <w:t>2177.61</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2068.28</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95</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109.33</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5</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淮滨县农业农村局</w:t>
      </w:r>
      <w:r>
        <w:rPr>
          <w:rFonts w:hint="eastAsia" w:ascii="仿宋" w:hAnsi="仿宋" w:eastAsia="仿宋" w:cs="仿宋"/>
          <w:sz w:val="32"/>
          <w:szCs w:val="32"/>
          <w:lang w:eastAsia="zh-CN"/>
        </w:rPr>
        <w:t>2023年</w:t>
      </w:r>
      <w:r>
        <w:rPr>
          <w:rFonts w:hint="eastAsia" w:ascii="仿宋" w:hAnsi="仿宋" w:eastAsia="仿宋" w:cs="仿宋"/>
          <w:sz w:val="32"/>
          <w:szCs w:val="32"/>
        </w:rPr>
        <w:t>“三公”经费支出预算为</w:t>
      </w:r>
      <w:r>
        <w:rPr>
          <w:rFonts w:hint="eastAsia" w:ascii="仿宋" w:hAnsi="仿宋" w:eastAsia="仿宋" w:cs="仿宋"/>
          <w:sz w:val="32"/>
          <w:szCs w:val="32"/>
          <w:lang w:val="en-US" w:eastAsia="zh-CN"/>
        </w:rPr>
        <w:t>8</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lang w:val="en-US" w:eastAsia="zh-CN"/>
        </w:rPr>
        <w:t>8</w:t>
      </w:r>
      <w:r>
        <w:rPr>
          <w:rFonts w:hint="eastAsia" w:ascii="仿宋" w:hAnsi="仿宋" w:eastAsia="仿宋" w:cs="仿宋"/>
          <w:sz w:val="32"/>
          <w:szCs w:val="32"/>
        </w:rPr>
        <w:t>万元。主要用于按规定开支的各类公务接待支出。预算数与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ind w:firstLine="640"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w:t>
      </w:r>
      <w:r>
        <w:rPr>
          <w:rFonts w:hint="eastAsia" w:ascii="仿宋" w:hAnsi="仿宋" w:eastAsia="仿宋" w:cs="仿宋"/>
          <w:sz w:val="32"/>
          <w:szCs w:val="32"/>
          <w:lang w:val="en-US" w:eastAsia="zh-CN"/>
        </w:rPr>
        <w:t>0</w:t>
      </w:r>
      <w:r>
        <w:rPr>
          <w:rFonts w:hint="eastAsia" w:ascii="仿宋" w:hAnsi="仿宋" w:eastAsia="仿宋" w:cs="仿宋"/>
          <w:sz w:val="32"/>
          <w:szCs w:val="32"/>
        </w:rPr>
        <w:t>万元。预算数与</w:t>
      </w:r>
      <w:r>
        <w:rPr>
          <w:rFonts w:hint="eastAsia" w:ascii="仿宋" w:hAnsi="仿宋" w:eastAsia="仿宋" w:cs="仿宋"/>
          <w:sz w:val="32"/>
          <w:szCs w:val="32"/>
          <w:lang w:eastAsia="zh-CN"/>
        </w:rPr>
        <w:t>2022年</w:t>
      </w:r>
      <w:r>
        <w:rPr>
          <w:rFonts w:hint="eastAsia" w:ascii="仿宋" w:hAnsi="仿宋" w:eastAsia="仿宋" w:cs="仿宋"/>
          <w:sz w:val="32"/>
          <w:szCs w:val="32"/>
        </w:rPr>
        <w:t>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hint="eastAsia" w:ascii="仿宋" w:hAnsi="仿宋" w:eastAsia="仿宋_GB2312" w:cs="仿宋"/>
          <w:sz w:val="32"/>
          <w:lang w:eastAsia="zh-CN"/>
        </w:rPr>
      </w:pPr>
      <w:r>
        <w:rPr>
          <w:rFonts w:hint="eastAsia" w:ascii="仿宋_GB2312" w:hAnsi="仿宋_GB2312" w:eastAsia="仿宋_GB2312" w:cs="仿宋_GB2312"/>
          <w:sz w:val="32"/>
        </w:rPr>
        <w:t>我单位2023年</w:t>
      </w:r>
      <w:r>
        <w:rPr>
          <w:rFonts w:hint="eastAsia" w:ascii="仿宋_GB2312" w:eastAsia="仿宋_GB2312"/>
          <w:sz w:val="32"/>
          <w:szCs w:val="32"/>
        </w:rPr>
        <w:t>没有政府性基金预算拨款收入，也没有政府性基金预算安排的支出</w:t>
      </w:r>
      <w:r>
        <w:rPr>
          <w:rFonts w:hint="eastAsia" w:ascii="仿宋_GB2312" w:eastAsia="仿宋_GB2312"/>
          <w:sz w:val="32"/>
          <w:szCs w:val="32"/>
          <w:lang w:eastAsia="zh-CN"/>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机关运行经费支出预算</w:t>
      </w:r>
      <w:r>
        <w:rPr>
          <w:rFonts w:hint="eastAsia" w:ascii="仿宋" w:hAnsi="仿宋" w:eastAsia="仿宋" w:cs="仿宋"/>
          <w:color w:val="000000"/>
          <w:sz w:val="32"/>
          <w:szCs w:val="32"/>
          <w:lang w:val="en-US" w:eastAsia="zh-CN"/>
        </w:rPr>
        <w:t>109.33</w:t>
      </w:r>
      <w:r>
        <w:rPr>
          <w:rFonts w:hint="eastAsia" w:ascii="仿宋" w:hAnsi="仿宋" w:eastAsia="仿宋" w:cs="仿宋"/>
          <w:sz w:val="32"/>
        </w:rPr>
        <w:t>万元，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0"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政府采购预算安排</w:t>
      </w:r>
      <w:r>
        <w:rPr>
          <w:rFonts w:hint="eastAsia" w:ascii="仿宋" w:hAnsi="仿宋" w:eastAsia="仿宋" w:cs="仿宋"/>
          <w:sz w:val="32"/>
          <w:lang w:val="en-US" w:eastAsia="zh-CN"/>
        </w:rPr>
        <w:t>33.6</w:t>
      </w:r>
      <w:r>
        <w:rPr>
          <w:rFonts w:hint="eastAsia" w:ascii="仿宋" w:hAnsi="仿宋" w:eastAsia="仿宋" w:cs="仿宋"/>
          <w:sz w:val="32"/>
        </w:rPr>
        <w:t>万元，其中：货物类采购预算</w:t>
      </w:r>
      <w:r>
        <w:rPr>
          <w:rFonts w:hint="eastAsia" w:ascii="仿宋" w:hAnsi="仿宋" w:eastAsia="仿宋" w:cs="仿宋"/>
          <w:sz w:val="32"/>
          <w:lang w:val="en-US" w:eastAsia="zh-CN"/>
        </w:rPr>
        <w:t>33.6</w:t>
      </w:r>
      <w:r>
        <w:rPr>
          <w:rFonts w:hint="eastAsia" w:ascii="仿宋" w:hAnsi="仿宋" w:eastAsia="仿宋" w:cs="仿宋"/>
          <w:sz w:val="32"/>
        </w:rPr>
        <w:t>万元，工程类采购预算</w:t>
      </w:r>
      <w:r>
        <w:rPr>
          <w:rFonts w:hint="eastAsia" w:ascii="仿宋" w:hAnsi="仿宋" w:eastAsia="仿宋" w:cs="仿宋"/>
          <w:sz w:val="32"/>
          <w:lang w:val="en-US" w:eastAsia="zh-CN"/>
        </w:rPr>
        <w:t>0</w:t>
      </w:r>
      <w:r>
        <w:rPr>
          <w:rFonts w:hint="eastAsia" w:ascii="仿宋" w:hAnsi="仿宋" w:eastAsia="仿宋" w:cs="仿宋"/>
          <w:sz w:val="32"/>
        </w:rPr>
        <w:t>万元，服务类采购预算</w:t>
      </w:r>
      <w:r>
        <w:rPr>
          <w:rFonts w:hint="eastAsia" w:ascii="仿宋" w:hAnsi="仿宋" w:eastAsia="仿宋" w:cs="仿宋"/>
          <w:sz w:val="32"/>
          <w:lang w:val="en-US" w:eastAsia="zh-CN"/>
        </w:rPr>
        <w:t>0</w:t>
      </w:r>
      <w:r>
        <w:rPr>
          <w:rFonts w:hint="eastAsia" w:ascii="仿宋" w:hAnsi="仿宋" w:eastAsia="仿宋" w:cs="仿宋"/>
          <w:sz w:val="32"/>
        </w:rPr>
        <w:t>万元。</w:t>
      </w:r>
    </w:p>
    <w:p>
      <w:pPr>
        <w:numPr>
          <w:ilvl w:val="0"/>
          <w:numId w:val="5"/>
        </w:numPr>
        <w:ind w:firstLine="640"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2023年</w:t>
      </w:r>
      <w:r>
        <w:rPr>
          <w:rFonts w:hint="eastAsia" w:ascii="仿宋" w:hAnsi="仿宋" w:eastAsia="仿宋" w:cs="仿宋"/>
          <w:sz w:val="32"/>
        </w:rPr>
        <w:t>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default" w:ascii="仿宋" w:hAnsi="仿宋" w:eastAsia="仿宋" w:cs="仿宋"/>
          <w:sz w:val="32"/>
          <w:lang w:val="en-US" w:eastAsia="zh-CN"/>
        </w:rPr>
      </w:pPr>
      <w:r>
        <w:rPr>
          <w:rFonts w:hint="eastAsia" w:ascii="仿宋" w:hAnsi="仿宋" w:eastAsia="仿宋" w:cs="仿宋"/>
          <w:sz w:val="32"/>
          <w:lang w:val="en-US" w:eastAsia="zh-CN"/>
        </w:rPr>
        <w:t>2023年部门预算金额共计2739.75万元，其中项目共8个，金额为562.14万元。</w:t>
      </w:r>
    </w:p>
    <w:p>
      <w:pPr>
        <w:ind w:firstLine="640" w:firstLineChars="200"/>
        <w:jc w:val="left"/>
        <w:rPr>
          <w:rFonts w:hint="eastAsia" w:ascii="仿宋" w:hAnsi="仿宋" w:eastAsia="仿宋" w:cs="仿宋"/>
          <w:sz w:val="32"/>
        </w:rPr>
      </w:pPr>
    </w:p>
    <w:p>
      <w:pPr>
        <w:numPr>
          <w:ilvl w:val="0"/>
          <w:numId w:val="5"/>
        </w:numPr>
        <w:ind w:firstLine="640"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2022年</w:t>
      </w:r>
      <w:r>
        <w:rPr>
          <w:rFonts w:hint="eastAsia" w:ascii="仿宋" w:hAnsi="仿宋" w:eastAsia="仿宋" w:cs="仿宋"/>
          <w:sz w:val="32"/>
        </w:rPr>
        <w:t>期末，我单位共有车辆</w:t>
      </w:r>
      <w:r>
        <w:rPr>
          <w:rFonts w:hint="eastAsia" w:ascii="仿宋" w:hAnsi="仿宋" w:eastAsia="仿宋" w:cs="仿宋"/>
          <w:sz w:val="32"/>
          <w:lang w:val="en-US" w:eastAsia="zh-CN"/>
        </w:rPr>
        <w:t>0</w:t>
      </w:r>
      <w:r>
        <w:rPr>
          <w:rFonts w:hint="eastAsia" w:ascii="仿宋" w:hAnsi="仿宋" w:eastAsia="仿宋" w:cs="仿宋"/>
          <w:sz w:val="32"/>
        </w:rPr>
        <w:t>辆，其中：一般公务用车</w:t>
      </w:r>
      <w:r>
        <w:rPr>
          <w:rFonts w:hint="eastAsia" w:ascii="仿宋" w:hAnsi="仿宋" w:eastAsia="仿宋" w:cs="仿宋"/>
          <w:sz w:val="32"/>
          <w:lang w:val="en-US" w:eastAsia="zh-CN"/>
        </w:rPr>
        <w:t>0</w:t>
      </w:r>
      <w:r>
        <w:rPr>
          <w:rFonts w:hint="eastAsia" w:ascii="仿宋" w:hAnsi="仿宋" w:eastAsia="仿宋" w:cs="仿宋"/>
          <w:sz w:val="32"/>
        </w:rPr>
        <w:t>辆、一般执法执勤用车</w:t>
      </w:r>
      <w:r>
        <w:rPr>
          <w:rFonts w:hint="eastAsia" w:ascii="仿宋" w:hAnsi="仿宋" w:eastAsia="仿宋" w:cs="仿宋"/>
          <w:sz w:val="32"/>
          <w:lang w:val="en-US" w:eastAsia="zh-CN"/>
        </w:rPr>
        <w:t>0</w:t>
      </w:r>
      <w:r>
        <w:rPr>
          <w:rFonts w:hint="eastAsia" w:ascii="仿宋" w:hAnsi="仿宋" w:eastAsia="仿宋" w:cs="仿宋"/>
          <w:sz w:val="32"/>
        </w:rPr>
        <w:t>辆、其他用车</w:t>
      </w:r>
      <w:r>
        <w:rPr>
          <w:rFonts w:hint="eastAsia" w:ascii="仿宋" w:hAnsi="仿宋" w:eastAsia="仿宋" w:cs="仿宋"/>
          <w:sz w:val="32"/>
          <w:lang w:val="en-US" w:eastAsia="zh-CN"/>
        </w:rPr>
        <w:t>0</w:t>
      </w:r>
      <w:r>
        <w:rPr>
          <w:rFonts w:hint="eastAsia" w:ascii="仿宋" w:hAnsi="仿宋" w:eastAsia="仿宋" w:cs="仿宋"/>
          <w:sz w:val="32"/>
        </w:rPr>
        <w:t>辆；单价50万元以上通用设备</w:t>
      </w:r>
      <w:r>
        <w:rPr>
          <w:rFonts w:hint="eastAsia" w:ascii="仿宋" w:hAnsi="仿宋" w:eastAsia="仿宋" w:cs="仿宋"/>
          <w:sz w:val="32"/>
          <w:lang w:val="en-US" w:eastAsia="zh-CN"/>
        </w:rPr>
        <w:t>0</w:t>
      </w:r>
      <w:r>
        <w:rPr>
          <w:rFonts w:hint="eastAsia" w:ascii="仿宋" w:hAnsi="仿宋" w:eastAsia="仿宋" w:cs="仿宋"/>
          <w:sz w:val="32"/>
        </w:rPr>
        <w:t>套，单位价值100万元以上专用设备</w:t>
      </w:r>
      <w:r>
        <w:rPr>
          <w:rFonts w:hint="eastAsia" w:ascii="仿宋" w:hAnsi="仿宋" w:eastAsia="仿宋" w:cs="仿宋"/>
          <w:sz w:val="32"/>
          <w:lang w:val="en-US" w:eastAsia="zh-CN"/>
        </w:rPr>
        <w:t>0</w:t>
      </w:r>
      <w:r>
        <w:rPr>
          <w:rFonts w:hint="eastAsia" w:ascii="仿宋" w:hAnsi="仿宋" w:eastAsia="仿宋" w:cs="仿宋"/>
          <w:sz w:val="32"/>
        </w:rPr>
        <w:t>套。</w:t>
      </w:r>
    </w:p>
    <w:p>
      <w:pPr>
        <w:ind w:firstLine="640"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仿宋" w:hAnsi="仿宋" w:eastAsia="仿宋" w:cs="仿宋"/>
          <w:sz w:val="32"/>
        </w:rPr>
      </w:pPr>
      <w:r>
        <w:rPr>
          <w:rFonts w:hint="eastAsia" w:ascii="仿宋" w:hAnsi="仿宋" w:eastAsia="仿宋" w:cs="仿宋"/>
          <w:sz w:val="32"/>
        </w:rPr>
        <w:t>我单位负责管理的专项转移支付项目共有</w:t>
      </w:r>
      <w:r>
        <w:rPr>
          <w:rFonts w:hint="eastAsia" w:ascii="仿宋" w:hAnsi="仿宋" w:eastAsia="仿宋" w:cs="仿宋"/>
          <w:sz w:val="32"/>
          <w:lang w:val="en-US" w:eastAsia="zh-CN"/>
        </w:rPr>
        <w:t>0</w:t>
      </w:r>
      <w:r>
        <w:rPr>
          <w:rFonts w:hint="eastAsia" w:ascii="仿宋" w:hAnsi="仿宋" w:eastAsia="仿宋" w:cs="仿宋"/>
          <w:sz w:val="32"/>
        </w:rPr>
        <w:t>项。主要是:</w:t>
      </w:r>
      <w:r>
        <w:rPr>
          <w:rFonts w:hint="eastAsia" w:ascii="仿宋" w:hAnsi="仿宋" w:eastAsia="仿宋" w:cs="仿宋"/>
          <w:sz w:val="32"/>
          <w:lang w:val="en-US" w:eastAsia="zh-CN"/>
        </w:rPr>
        <w:t>无</w:t>
      </w:r>
      <w:r>
        <w:rPr>
          <w:rFonts w:hint="eastAsia" w:ascii="仿宋" w:hAnsi="仿宋" w:eastAsia="仿宋" w:cs="仿宋"/>
          <w:sz w:val="32"/>
        </w:rPr>
        <w:t>专项资金。我单位将按照《预算法》等有关规定， 积极做好项目分配前期准备工作，在规定的时间内向财政部门提出资金分配意见，根据有关要求做好项目申报公开等相关工作。</w:t>
      </w: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rPr>
          <w:rFonts w:ascii="黑体" w:hAnsi="黑体" w:eastAsia="黑体"/>
          <w:b/>
          <w:bCs/>
          <w:sz w:val="36"/>
          <w:szCs w:val="36"/>
        </w:rPr>
      </w:pPr>
    </w:p>
    <w:p>
      <w:pPr>
        <w:jc w:val="center"/>
        <w:rPr>
          <w:rFonts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lang w:eastAsia="zh-CN"/>
        </w:rPr>
        <w:t>行政（事业）单位机构运转</w:t>
      </w:r>
      <w:r>
        <w:rPr>
          <w:rFonts w:hint="eastAsia" w:ascii="仿宋" w:hAnsi="仿宋" w:eastAsia="仿宋" w:cs="仿宋"/>
          <w:sz w:val="32"/>
        </w:rPr>
        <w:t>经费：是指为保障行政单位（含参照公务员法管理的事业单位）运行用于购买货物和服务的各项资 金，包括办公及印刷费、邮电费、差旅费、会议费、福利费、 日常维修费及一般设备购置费、办公用房水电费、办公用房 取暖费、办公用房物业管理费、公务用车运行维护费以及其 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tabs>
          <w:tab w:val="left" w:pos="7506"/>
        </w:tabs>
        <w:ind w:firstLine="640" w:firstLineChars="200"/>
        <w:jc w:val="left"/>
        <w:rPr>
          <w:rFonts w:ascii="黑体" w:hAnsi="黑体" w:eastAsia="黑体" w:cs="黑体"/>
          <w:sz w:val="32"/>
        </w:rPr>
      </w:pPr>
      <w:r>
        <w:rPr>
          <w:rFonts w:hint="eastAsia" w:ascii="黑体" w:hAnsi="黑体" w:eastAsia="黑体" w:cs="黑体"/>
          <w:sz w:val="32"/>
        </w:rPr>
        <w:t>附件：淮滨县农业农村局</w:t>
      </w:r>
      <w:r>
        <w:rPr>
          <w:rFonts w:hint="eastAsia" w:ascii="黑体" w:hAnsi="黑体" w:eastAsia="黑体" w:cs="黑体"/>
          <w:sz w:val="32"/>
          <w:lang w:eastAsia="zh-CN"/>
        </w:rPr>
        <w:t>2023年</w:t>
      </w:r>
      <w:r>
        <w:rPr>
          <w:rFonts w:hint="eastAsia" w:ascii="黑体" w:hAnsi="黑体" w:eastAsia="黑体" w:cs="黑体"/>
          <w:sz w:val="32"/>
        </w:rPr>
        <w:t>部门预算表</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
    <w:altName w:val="Arial Unicode MS"/>
    <w:panose1 w:val="02010609060101010101"/>
    <w:charset w:val="86"/>
    <w:family w:val="modern"/>
    <w:pitch w:val="default"/>
    <w:sig w:usb0="00000000" w:usb1="00000000"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0F3C52" w:usb2="00000016" w:usb3="00000000" w:csb0="0004001F" w:csb1="00000000"/>
  </w:font>
  <w:font w:name="Tahoma">
    <w:panose1 w:val="020B0604030504040204"/>
    <w:charset w:val="00"/>
    <w:family w:val="auto"/>
    <w:pitch w:val="default"/>
    <w:sig w:usb0="61007A87" w:usb1="80000000" w:usb2="00000008" w:usb3="00000000" w:csb0="200101FF" w:csb1="20280000"/>
  </w:font>
  <w:font w:name="仿宋">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FhMjhjMjNjOTM1YWNhMWIzZjU0NWRkZTEzMTAyZTIifQ=="/>
    <w:docVar w:name="KSO_WPS_MARK_KEY" w:val="841a7cc2-c802-4f50-8d4b-19657e8c4c18"/>
  </w:docVars>
  <w:rsids>
    <w:rsidRoot w:val="3E5A6C85"/>
    <w:rsid w:val="00077C0D"/>
    <w:rsid w:val="000A6609"/>
    <w:rsid w:val="000D60B2"/>
    <w:rsid w:val="00143DF7"/>
    <w:rsid w:val="001742A7"/>
    <w:rsid w:val="00174CFC"/>
    <w:rsid w:val="001B17CE"/>
    <w:rsid w:val="001C1C18"/>
    <w:rsid w:val="001F4C06"/>
    <w:rsid w:val="00490CAA"/>
    <w:rsid w:val="004B7307"/>
    <w:rsid w:val="004C7D32"/>
    <w:rsid w:val="005128CE"/>
    <w:rsid w:val="005A553F"/>
    <w:rsid w:val="005A78FC"/>
    <w:rsid w:val="005C5D65"/>
    <w:rsid w:val="00647F85"/>
    <w:rsid w:val="006D14AB"/>
    <w:rsid w:val="0091161C"/>
    <w:rsid w:val="009238E3"/>
    <w:rsid w:val="00937FE5"/>
    <w:rsid w:val="009412CA"/>
    <w:rsid w:val="00997E16"/>
    <w:rsid w:val="00AA7872"/>
    <w:rsid w:val="00AD7827"/>
    <w:rsid w:val="00B44F53"/>
    <w:rsid w:val="00BD1004"/>
    <w:rsid w:val="00C40E6C"/>
    <w:rsid w:val="00C9610D"/>
    <w:rsid w:val="00CB1918"/>
    <w:rsid w:val="00CF0B03"/>
    <w:rsid w:val="00D1451C"/>
    <w:rsid w:val="00D67A39"/>
    <w:rsid w:val="00D84F17"/>
    <w:rsid w:val="00EA37A7"/>
    <w:rsid w:val="00FB5B8C"/>
    <w:rsid w:val="037B79F7"/>
    <w:rsid w:val="041D2A27"/>
    <w:rsid w:val="05377B18"/>
    <w:rsid w:val="06440A7A"/>
    <w:rsid w:val="071D4AEC"/>
    <w:rsid w:val="084542FA"/>
    <w:rsid w:val="0A6251B2"/>
    <w:rsid w:val="0D0F4ED6"/>
    <w:rsid w:val="0D513137"/>
    <w:rsid w:val="10602789"/>
    <w:rsid w:val="123258EF"/>
    <w:rsid w:val="12EF1A32"/>
    <w:rsid w:val="144A1E7D"/>
    <w:rsid w:val="15F07B94"/>
    <w:rsid w:val="173B6758"/>
    <w:rsid w:val="191C5F4B"/>
    <w:rsid w:val="1B351FAC"/>
    <w:rsid w:val="1CA53161"/>
    <w:rsid w:val="1D0460DA"/>
    <w:rsid w:val="1D2E3157"/>
    <w:rsid w:val="1F046865"/>
    <w:rsid w:val="1FE67D19"/>
    <w:rsid w:val="20C53DD2"/>
    <w:rsid w:val="228003BD"/>
    <w:rsid w:val="228C104B"/>
    <w:rsid w:val="246B28E3"/>
    <w:rsid w:val="24DA1A42"/>
    <w:rsid w:val="274F7F6E"/>
    <w:rsid w:val="279A1B15"/>
    <w:rsid w:val="27A42993"/>
    <w:rsid w:val="28196722"/>
    <w:rsid w:val="28447CD2"/>
    <w:rsid w:val="2A07545B"/>
    <w:rsid w:val="2AA67AA4"/>
    <w:rsid w:val="2AA72B5A"/>
    <w:rsid w:val="2AA8279A"/>
    <w:rsid w:val="2ACE5F14"/>
    <w:rsid w:val="2C081B10"/>
    <w:rsid w:val="2D4A0B6E"/>
    <w:rsid w:val="2F072B71"/>
    <w:rsid w:val="2F8530AA"/>
    <w:rsid w:val="32476D3D"/>
    <w:rsid w:val="32E94240"/>
    <w:rsid w:val="33ED121E"/>
    <w:rsid w:val="3402116D"/>
    <w:rsid w:val="34030A42"/>
    <w:rsid w:val="34E010E6"/>
    <w:rsid w:val="358856A2"/>
    <w:rsid w:val="3699743B"/>
    <w:rsid w:val="38237904"/>
    <w:rsid w:val="3872263A"/>
    <w:rsid w:val="39D84127"/>
    <w:rsid w:val="39E13110"/>
    <w:rsid w:val="3A2B0CF2"/>
    <w:rsid w:val="3A865F28"/>
    <w:rsid w:val="3C1F6635"/>
    <w:rsid w:val="3D3D4FC4"/>
    <w:rsid w:val="3E5A6C85"/>
    <w:rsid w:val="3FB6105E"/>
    <w:rsid w:val="404E74E8"/>
    <w:rsid w:val="419D0727"/>
    <w:rsid w:val="41FF59D4"/>
    <w:rsid w:val="42660F2F"/>
    <w:rsid w:val="43572B58"/>
    <w:rsid w:val="45554E75"/>
    <w:rsid w:val="456A4DC4"/>
    <w:rsid w:val="469D4D26"/>
    <w:rsid w:val="46D01A4F"/>
    <w:rsid w:val="474973FF"/>
    <w:rsid w:val="483D40CA"/>
    <w:rsid w:val="4B86222C"/>
    <w:rsid w:val="4BBC3BEF"/>
    <w:rsid w:val="4CC72AFC"/>
    <w:rsid w:val="4E10402F"/>
    <w:rsid w:val="519E1D35"/>
    <w:rsid w:val="55855303"/>
    <w:rsid w:val="567E1F8B"/>
    <w:rsid w:val="56CE6835"/>
    <w:rsid w:val="56E7105D"/>
    <w:rsid w:val="57F873A0"/>
    <w:rsid w:val="5B5558DD"/>
    <w:rsid w:val="5EFA28BD"/>
    <w:rsid w:val="5F625217"/>
    <w:rsid w:val="5FB94CDF"/>
    <w:rsid w:val="61F061FA"/>
    <w:rsid w:val="62724E61"/>
    <w:rsid w:val="63514A76"/>
    <w:rsid w:val="63983D8E"/>
    <w:rsid w:val="647F6552"/>
    <w:rsid w:val="64BB489D"/>
    <w:rsid w:val="65921CF6"/>
    <w:rsid w:val="65B732B6"/>
    <w:rsid w:val="65DB5214"/>
    <w:rsid w:val="66A82BFF"/>
    <w:rsid w:val="66D841F4"/>
    <w:rsid w:val="67AE693B"/>
    <w:rsid w:val="67D86067"/>
    <w:rsid w:val="67F105D6"/>
    <w:rsid w:val="69F65D89"/>
    <w:rsid w:val="6AAD2EDA"/>
    <w:rsid w:val="6C715A72"/>
    <w:rsid w:val="6D0B08CD"/>
    <w:rsid w:val="6EEF1D13"/>
    <w:rsid w:val="6FC87ACC"/>
    <w:rsid w:val="71BD526D"/>
    <w:rsid w:val="72AE7D36"/>
    <w:rsid w:val="746F63D8"/>
    <w:rsid w:val="747B790C"/>
    <w:rsid w:val="75A37A3E"/>
    <w:rsid w:val="75E31EA6"/>
    <w:rsid w:val="768A2321"/>
    <w:rsid w:val="76D0242A"/>
    <w:rsid w:val="791401EC"/>
    <w:rsid w:val="792702FB"/>
    <w:rsid w:val="7B6C0247"/>
    <w:rsid w:val="7EE527EB"/>
    <w:rsid w:val="7F5636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unhideWhenUsed/>
    <w:qFormat/>
    <w:uiPriority w:val="1"/>
  </w:style>
  <w:style w:type="table" w:default="1" w:styleId="7">
    <w:name w:val="Normal Table"/>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2"/>
    <w:qFormat/>
    <w:uiPriority w:val="0"/>
    <w:rPr>
      <w:sz w:val="18"/>
      <w:szCs w:val="18"/>
    </w:rPr>
  </w:style>
  <w:style w:type="paragraph" w:styleId="5">
    <w:name w:val="Normal (Web)"/>
    <w:basedOn w:val="1"/>
    <w:qFormat/>
    <w:uiPriority w:val="0"/>
    <w:pPr>
      <w:spacing w:beforeAutospacing="1" w:afterAutospacing="1"/>
      <w:jc w:val="left"/>
    </w:pPr>
    <w:rPr>
      <w:rFonts w:cs="Times New Roman"/>
      <w:kern w:val="0"/>
      <w:sz w:val="24"/>
    </w:rPr>
  </w:style>
  <w:style w:type="paragraph" w:styleId="6">
    <w:name w:val="annotation subject"/>
    <w:basedOn w:val="2"/>
    <w:next w:val="2"/>
    <w:link w:val="13"/>
    <w:qFormat/>
    <w:uiPriority w:val="0"/>
    <w:rPr>
      <w:b/>
      <w:bCs/>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qFormat/>
    <w:uiPriority w:val="0"/>
    <w:rPr>
      <w:sz w:val="21"/>
      <w:szCs w:val="21"/>
    </w:rPr>
  </w:style>
  <w:style w:type="character" w:customStyle="1" w:styleId="11">
    <w:name w:val="批注文字 字符"/>
    <w:basedOn w:val="9"/>
    <w:link w:val="2"/>
    <w:qFormat/>
    <w:uiPriority w:val="0"/>
    <w:rPr>
      <w:rFonts w:ascii="Calibri" w:hAnsi="Calibri" w:eastAsia="宋体" w:cs="Times New Roman"/>
      <w:kern w:val="2"/>
      <w:sz w:val="21"/>
      <w:szCs w:val="24"/>
    </w:rPr>
  </w:style>
  <w:style w:type="character" w:customStyle="1" w:styleId="12">
    <w:name w:val="批注框文本 字符"/>
    <w:basedOn w:val="9"/>
    <w:link w:val="4"/>
    <w:qFormat/>
    <w:uiPriority w:val="0"/>
    <w:rPr>
      <w:rFonts w:ascii="Calibri" w:hAnsi="Calibri" w:eastAsia="宋体" w:cs="Times New Roman"/>
      <w:kern w:val="2"/>
      <w:sz w:val="18"/>
      <w:szCs w:val="18"/>
    </w:rPr>
  </w:style>
  <w:style w:type="character" w:customStyle="1" w:styleId="13">
    <w:name w:val="批注主题 字符"/>
    <w:basedOn w:val="11"/>
    <w:link w:val="6"/>
    <w:qFormat/>
    <w:uiPriority w:val="0"/>
    <w:rPr>
      <w:rFonts w:ascii="Calibri" w:hAnsi="Calibri"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4" Type="http://schemas.microsoft.com/office/2011/relationships/chartColorStyle" Target="colors2.xml"/><Relationship Id="rId3" Type="http://schemas.microsoft.com/office/2011/relationships/chartStyle" Target="style2.xml"/><Relationship Id="rId2" Type="http://schemas.openxmlformats.org/officeDocument/2006/relationships/themeOverride" Target="../theme/themeOverride2.xml"/><Relationship Id="rId1" Type="http://schemas.openxmlformats.org/officeDocument/2006/relationships/package" Target="../embeddings/Workbook2.xlsx"/></Relationships>
</file>

<file path=word/charts/_rels/chart2.xml.rels><?xml version="1.0" encoding="UTF-8" standalone="yes"?>
<Relationships xmlns="http://schemas.openxmlformats.org/package/2006/relationships"><Relationship Id="rId2" Type="http://schemas.openxmlformats.org/officeDocument/2006/relationships/themeOverride" Target="../theme/themeOverride4.xml"/><Relationship Id="rId1" Type="http://schemas.openxmlformats.org/officeDocument/2006/relationships/package" Target="../embeddings/Workbook4.xlsx"/></Relationships>
</file>

<file path=word/charts/_rels/chart3.xml.rels><?xml version="1.0" encoding="UTF-8" standalone="yes"?>
<Relationships xmlns="http://schemas.openxmlformats.org/package/2006/relationships"><Relationship Id="rId2" Type="http://schemas.openxmlformats.org/officeDocument/2006/relationships/themeOverride" Target="../theme/themeOverrid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4" Type="http://schemas.microsoft.com/office/2011/relationships/chartColorStyle" Target="colors1.xml"/><Relationship Id="rId3" Type="http://schemas.microsoft.com/office/2011/relationships/chartStyle" Target="style1.xml"/><Relationship Id="rId2" Type="http://schemas.openxmlformats.org/officeDocument/2006/relationships/themeOverride" Target="../theme/themeOverrid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4" Type="http://schemas.microsoft.com/office/2011/relationships/chartColorStyle" Target="colors3.xml"/><Relationship Id="rId3" Type="http://schemas.microsoft.com/office/2011/relationships/chartStyle" Target="style3.xml"/><Relationship Id="rId2" Type="http://schemas.openxmlformats.org/officeDocument/2006/relationships/themeOverride" Target="../theme/themeOverrid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4" Type="http://schemas.microsoft.com/office/2011/relationships/chartColorStyle" Target="colors5.xml"/><Relationship Id="rId3" Type="http://schemas.microsoft.com/office/2011/relationships/chartStyle" Target="style5.xml"/><Relationship Id="rId2" Type="http://schemas.openxmlformats.org/officeDocument/2006/relationships/themeOverride" Target="../theme/themeOverride7.xml"/><Relationship Id="rId1" Type="http://schemas.openxmlformats.org/officeDocument/2006/relationships/package" Target="../embeddings/Workbook7.xlsx"/></Relationships>
</file>

<file path=word/charts/_rels/chart7.xml.rels><?xml version="1.0" encoding="UTF-8" standalone="yes"?>
<Relationships xmlns="http://schemas.openxmlformats.org/package/2006/relationships"><Relationship Id="rId4" Type="http://schemas.microsoft.com/office/2011/relationships/chartColorStyle" Target="colors4.xml"/><Relationship Id="rId3" Type="http://schemas.microsoft.com/office/2011/relationships/chartStyle" Target="style4.xml"/><Relationship Id="rId2" Type="http://schemas.openxmlformats.org/officeDocument/2006/relationships/themeOverride" Target="../theme/themeOverride6.xml"/><Relationship Id="rId1" Type="http://schemas.openxmlformats.org/officeDocument/2006/relationships/package" Target="../embeddings/Workbook6.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2606.89</c:v>
                </c:pt>
                <c:pt idx="1">
                  <c:v>2739.75</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2606.89</c:v>
                </c:pt>
                <c:pt idx="1">
                  <c:v>2739.75</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rgbClr val="5B9BD5"/>
              </a:solidFill>
              <a:ln w="19050">
                <a:solidFill>
                  <a:sysClr val="window" lastClr="FFFFFF"/>
                </a:solidFill>
              </a:ln>
              <a:effectLst/>
            </c:spPr>
          </c:dPt>
          <c:dPt>
            <c:idx val="1"/>
            <c:invertIfNegative val="0"/>
            <c:bubble3D val="0"/>
            <c:spPr>
              <a:solidFill>
                <a:srgbClr val="ED7D31"/>
              </a:solidFill>
              <a:ln w="19050">
                <a:solidFill>
                  <a:sysClr val="window" lastClr="FFFFFF"/>
                </a:solidFill>
              </a:ln>
              <a:effectLst/>
            </c:spPr>
          </c:dPt>
          <c:dPt>
            <c:idx val="2"/>
            <c:invertIfNegative val="0"/>
            <c:bubble3D val="0"/>
            <c:spPr>
              <a:solidFill>
                <a:srgbClr val="A5A5A5"/>
              </a:solidFill>
              <a:ln w="19050">
                <a:solidFill>
                  <a:sysClr val="window" lastClr="FFFFFF"/>
                </a:solidFill>
              </a:ln>
              <a:effectLst/>
            </c:spPr>
          </c:dPt>
          <c:dPt>
            <c:idx val="3"/>
            <c:invertIfNegative val="0"/>
            <c:bubble3D val="0"/>
            <c:spPr>
              <a:solidFill>
                <a:srgbClr val="FFC000"/>
              </a:solidFill>
              <a:ln w="19050">
                <a:solidFill>
                  <a:sysClr val="window" lastClr="FFFFFF"/>
                </a:solidFill>
              </a:ln>
              <a:effectLst/>
            </c:spPr>
          </c:dPt>
          <c:dPt>
            <c:idx val="4"/>
            <c:invertIfNegative val="0"/>
            <c:bubble3D val="0"/>
            <c:spPr>
              <a:solidFill>
                <a:srgbClr val="4472C4"/>
              </a:solidFill>
              <a:ln w="19050">
                <a:solidFill>
                  <a:sysClr val="window" lastClr="FFFFFF"/>
                </a:solidFill>
              </a:ln>
              <a:effectLst/>
            </c:spPr>
          </c:dPt>
          <c:dPt>
            <c:idx val="5"/>
            <c:invertIfNegative val="0"/>
            <c:bubble3D val="0"/>
            <c:spPr>
              <a:solidFill>
                <a:srgbClr val="70AD47"/>
              </a:solidFill>
              <a:ln w="19050">
                <a:solidFill>
                  <a:sysClr val="window" lastClr="FFFFFF"/>
                </a:solidFill>
              </a:ln>
              <a:effectLst/>
            </c:spPr>
          </c:dPt>
          <c:dPt>
            <c:idx val="6"/>
            <c:invertIfNegative val="0"/>
            <c:bubble3D val="0"/>
            <c:spPr>
              <a:solidFill>
                <a:srgbClr val="5B9BD5">
                  <a:lumMod val="60000"/>
                </a:srgbClr>
              </a:solidFill>
              <a:ln w="19050">
                <a:solidFill>
                  <a:sysClr val="window" lastClr="FFFFFF"/>
                </a:solidFill>
              </a:ln>
              <a:effectLst/>
            </c:spPr>
          </c:dPt>
          <c:dPt>
            <c:idx val="7"/>
            <c:invertIfNegative val="0"/>
            <c:bubble3D val="0"/>
            <c:spPr>
              <a:solidFill>
                <a:srgbClr val="ED7D31">
                  <a:lumMod val="60000"/>
                </a:srgbClr>
              </a:solidFill>
              <a:ln w="19050">
                <a:solidFill>
                  <a:sysClr val="window" lastClr="FFFFFF"/>
                </a:solidFill>
              </a:ln>
              <a:effectLst/>
            </c:spPr>
          </c:dPt>
          <c:dPt>
            <c:idx val="8"/>
            <c:invertIfNegative val="0"/>
            <c:bubble3D val="0"/>
            <c:spPr>
              <a:solidFill>
                <a:srgbClr val="A5A5A5">
                  <a:lumMod val="60000"/>
                </a:srgbClr>
              </a:solidFill>
              <a:ln w="19050">
                <a:solidFill>
                  <a:sysClr val="window" lastClr="FFFFFF"/>
                </a:solidFill>
              </a:ln>
              <a:effectLst/>
            </c:spPr>
          </c:dPt>
          <c:dPt>
            <c:idx val="9"/>
            <c:invertIfNegative val="0"/>
            <c:bubble3D val="0"/>
            <c:spPr>
              <a:solidFill>
                <a:srgbClr val="FFC000">
                  <a:lumMod val="60000"/>
                </a:srgbClr>
              </a:solidFill>
              <a:ln w="19050">
                <a:solidFill>
                  <a:sysClr val="window" lastClr="FFFFFF"/>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2739.75</c:v>
                </c:pt>
              </c:numCache>
            </c:numRef>
          </c:val>
        </c:ser>
        <c:dLbls>
          <c:showLegendKey val="0"/>
          <c:showVal val="0"/>
          <c:showCatName val="0"/>
          <c:showSerName val="0"/>
          <c:showPercent val="0"/>
          <c:showBubbleSize val="0"/>
        </c:dLbls>
        <c:gapWidth val="100"/>
        <c:axId val="2127909856"/>
        <c:axId val="2127920256"/>
      </c:barChart>
      <c:catAx>
        <c:axId val="2127909856"/>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20256"/>
        <c:crosses val="autoZero"/>
        <c:auto val="1"/>
        <c:lblAlgn val="ctr"/>
        <c:lblOffset val="100"/>
        <c:noMultiLvlLbl val="0"/>
      </c:catAx>
      <c:valAx>
        <c:axId val="2127920256"/>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ysClr val="windowText" lastClr="000000"/>
                </a:solidFill>
                <a:latin typeface="+mn-lt"/>
                <a:ea typeface="+mn-ea"/>
                <a:cs typeface="+mn-cs"/>
              </a:defRPr>
            </a:pPr>
          </a:p>
        </c:txPr>
        <c:crossAx val="2127909856"/>
        <c:crosses val="autoZero"/>
        <c:crossBetween val="between"/>
      </c:valAx>
      <c:spPr>
        <a:noFill/>
        <a:ln>
          <a:noFill/>
        </a:ln>
        <a:effectLst/>
      </c:spPr>
    </c:plotArea>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ysClr val="windowText" lastClr="000000"/>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2177.61</c:v>
                </c:pt>
                <c:pt idx="1">
                  <c:v>562.14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ctr">
              <a:defRPr lang="zh-CN" sz="1400" b="1" i="0" u="none" strike="noStrike" kern="1200" spc="0" baseline="0">
                <a:solidFill>
                  <a:sysClr val="windowText" lastClr="000000">
                    <a:lumMod val="65000"/>
                    <a:lumOff val="35000"/>
                  </a:sys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08"/>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rgbClr val="5B9BD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2606.89</c:v>
                </c:pt>
                <c:pt idx="1">
                  <c:v>2739.75</c:v>
                </c:pt>
              </c:numCache>
            </c:numRef>
          </c:val>
        </c:ser>
        <c:ser>
          <c:idx val="1"/>
          <c:order val="1"/>
          <c:tx>
            <c:strRef>
              <c:f>'2022年部门收支预算表'!$C$1</c:f>
              <c:strCache>
                <c:ptCount val="1"/>
                <c:pt idx="0">
                  <c:v>支出</c:v>
                </c:pt>
              </c:strCache>
            </c:strRef>
          </c:tx>
          <c:spPr>
            <a:solidFill>
              <a:srgbClr val="ED7D3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2606.89</c:v>
                </c:pt>
                <c:pt idx="1">
                  <c:v>2739.75</c:v>
                </c:pt>
              </c:numCache>
            </c:numRef>
          </c:val>
        </c:ser>
        <c:dLbls>
          <c:showLegendKey val="0"/>
          <c:showVal val="1"/>
          <c:showCatName val="0"/>
          <c:showSerName val="0"/>
          <c:showPercent val="0"/>
          <c:showBubbleSize val="0"/>
        </c:dLbls>
        <c:gapWidth val="182"/>
        <c:axId val="1007866207"/>
        <c:axId val="1007867039"/>
      </c:barChart>
      <c:catAx>
        <c:axId val="1007866207"/>
        <c:scaling>
          <c:orientation val="minMax"/>
        </c:scaling>
        <c:delete val="0"/>
        <c:axPos val="b"/>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7039"/>
        <c:crosses val="autoZero"/>
        <c:auto val="1"/>
        <c:lblAlgn val="ctr"/>
        <c:lblOffset val="100"/>
        <c:noMultiLvlLbl val="0"/>
      </c:catAx>
      <c:valAx>
        <c:axId val="1007867039"/>
        <c:scaling>
          <c:orientation val="minMax"/>
          <c:min val="50"/>
        </c:scaling>
        <c:delete val="0"/>
        <c:axPos val="l"/>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1007866207"/>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defTabSz="914400">
              <a:defRPr lang="zh-CN" sz="1400" b="1" i="0" u="none" strike="noStrike" kern="1200" spc="0" baseline="0">
                <a:solidFill>
                  <a:sysClr val="windowText" lastClr="000000">
                    <a:lumMod val="65000"/>
                    <a:lumOff val="35000"/>
                  </a:sys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2177.61</c:v>
                </c:pt>
                <c:pt idx="1">
                  <c:v>562.14</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lang="zh-CN" sz="1400" b="1" i="0" u="none" strike="noStrike" kern="1200" spc="0" baseline="0">
                <a:solidFill>
                  <a:sysClr val="windowText" lastClr="000000">
                    <a:lumMod val="65000"/>
                    <a:lumOff val="35000"/>
                  </a:sys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spPr/>
          <c:explosion val="0"/>
          <c:dPt>
            <c:idx val="0"/>
            <c:bubble3D val="0"/>
            <c:spPr>
              <a:solidFill>
                <a:srgbClr val="5B9BD5"/>
              </a:solidFill>
              <a:ln w="19050">
                <a:solidFill>
                  <a:sysClr val="window" lastClr="FFFFFF"/>
                </a:solidFill>
              </a:ln>
              <a:effectLst/>
            </c:spPr>
          </c:dPt>
          <c:dPt>
            <c:idx val="1"/>
            <c:bubble3D val="0"/>
            <c:spPr>
              <a:solidFill>
                <a:srgbClr val="ED7D31"/>
              </a:solidFill>
              <a:ln w="19050">
                <a:solidFill>
                  <a:sysClr val="window" lastClr="FFFFFF"/>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ysClr val="windowText" lastClr="000000">
                        <a:lumMod val="65000"/>
                        <a:lumOff val="35000"/>
                      </a:sys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2068.28</c:v>
                </c:pt>
                <c:pt idx="1">
                  <c:v>109.33</c:v>
                </c:pt>
              </c:numCache>
            </c:numRef>
          </c:val>
        </c:ser>
        <c:dLbls>
          <c:showLegendKey val="0"/>
          <c:showVal val="0"/>
          <c:showCatName val="0"/>
          <c:showSerName val="0"/>
          <c:showPercent val="0"/>
          <c:showBubbleSize val="0"/>
          <c:showLeaderLines val="0"/>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lgn="l">
              <a:defRPr lang="zh-CN" sz="1400" b="0" i="0" u="none" strike="noStrike" kern="1200" spc="0" baseline="0">
                <a:solidFill>
                  <a:sysClr val="windowText" lastClr="000000">
                    <a:lumMod val="65000"/>
                    <a:lumOff val="35000"/>
                  </a:sys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7"/>
        </c:manualLayout>
      </c:layout>
      <c:overlay val="0"/>
      <c:spPr>
        <a:noFill/>
        <a:ln>
          <a:noFill/>
        </a:ln>
        <a:effectLst/>
      </c:spPr>
    </c:title>
    <c:autoTitleDeleted val="0"/>
    <c:plotArea>
      <c:layout>
        <c:manualLayout>
          <c:layoutTarget val="inner"/>
          <c:xMode val="edge"/>
          <c:yMode val="edge"/>
          <c:x val="0.0992776306284614"/>
          <c:y val="0.152115583075335"/>
          <c:w val="0.876041415843968"/>
          <c:h val="0.649411764705882"/>
        </c:manualLayout>
      </c:layout>
      <c:barChart>
        <c:barDir val="bar"/>
        <c:grouping val="clustered"/>
        <c:varyColors val="0"/>
        <c:ser>
          <c:idx val="0"/>
          <c:order val="0"/>
          <c:tx>
            <c:strRef>
              <c:f>Sheet1!$B$1</c:f>
              <c:strCache>
                <c:ptCount val="1"/>
                <c:pt idx="0">
                  <c:v>因公出国（境）费用</c:v>
                </c:pt>
              </c:strCache>
            </c:strRef>
          </c:tx>
          <c:spPr>
            <a:solidFill>
              <a:srgbClr val="5B9BD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rgbClr val="ED7D3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8</c:v>
                </c:pt>
                <c:pt idx="1">
                  <c:v>8</c:v>
                </c:pt>
              </c:numCache>
            </c:numRef>
          </c:val>
        </c:ser>
        <c:ser>
          <c:idx val="2"/>
          <c:order val="2"/>
          <c:tx>
            <c:strRef>
              <c:f>Sheet1!$D$1</c:f>
              <c:strCache>
                <c:ptCount val="1"/>
                <c:pt idx="0">
                  <c:v>公务用车购置及运行费</c:v>
                </c:pt>
              </c:strCache>
            </c:strRef>
          </c:tx>
          <c:spPr>
            <a:solidFill>
              <a:srgbClr val="A5A5A5"/>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ysClr val="windowText" lastClr="000000">
                        <a:lumMod val="75000"/>
                        <a:lumOff val="25000"/>
                      </a:sys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ysClr val="windowText" lastClr="000000">
                          <a:lumMod val="35000"/>
                          <a:lumOff val="65000"/>
                        </a:sysClr>
                      </a:solidFill>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0</c:v>
                </c:pt>
                <c:pt idx="1">
                  <c:v>0</c:v>
                </c:pt>
              </c:numCache>
            </c:numRef>
          </c:val>
        </c:ser>
        <c:dLbls>
          <c:showLegendKey val="0"/>
          <c:showVal val="1"/>
          <c:showCatName val="0"/>
          <c:showSerName val="0"/>
          <c:showPercent val="0"/>
          <c:showBubbleSize val="0"/>
        </c:dLbls>
        <c:gapWidth val="219"/>
        <c:axId val="408582879"/>
        <c:axId val="408594943"/>
      </c:barChart>
      <c:catAx>
        <c:axId val="408582879"/>
        <c:scaling>
          <c:orientation val="minMax"/>
        </c:scaling>
        <c:delete val="0"/>
        <c:axPos val="l"/>
        <c:numFmt formatCode="General" sourceLinked="1"/>
        <c:majorTickMark val="none"/>
        <c:minorTickMark val="none"/>
        <c:tickLblPos val="nextTo"/>
        <c:spPr>
          <a:noFill/>
          <a:ln w="9525" cap="flat" cmpd="sng" algn="ctr">
            <a:solidFill>
              <a:sysClr val="windowText" lastClr="000000">
                <a:lumMod val="15000"/>
                <a:lumOff val="85000"/>
              </a:sysClr>
            </a:solidFill>
            <a:round/>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94943"/>
        <c:crosses val="autoZero"/>
        <c:auto val="1"/>
        <c:lblAlgn val="ctr"/>
        <c:lblOffset val="100"/>
        <c:noMultiLvlLbl val="0"/>
      </c:catAx>
      <c:valAx>
        <c:axId val="408594943"/>
        <c:scaling>
          <c:orientation val="minMax"/>
        </c:scaling>
        <c:delete val="0"/>
        <c:axPos val="b"/>
        <c:majorGridlines>
          <c:spPr>
            <a:ln w="9525" cap="flat" cmpd="sng" algn="ctr">
              <a:solidFill>
                <a:sysClr val="windowText" lastClr="000000">
                  <a:lumMod val="15000"/>
                  <a:lumOff val="85000"/>
                </a:sys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crossAx val="408582879"/>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ysClr val="windowText" lastClr="000000">
                  <a:lumMod val="65000"/>
                  <a:lumOff val="35000"/>
                </a:sysClr>
              </a:solidFill>
              <a:latin typeface="+mn-lt"/>
              <a:ea typeface="+mn-ea"/>
              <a:cs typeface="+mn-cs"/>
            </a:defRPr>
          </a:pPr>
        </a:p>
      </c:txPr>
    </c:legend>
    <c:plotVisOnly val="1"/>
    <c:dispBlanksAs val="gap"/>
    <c:showDLblsOverMax val="0"/>
  </c:chart>
  <c:spPr>
    <a:solidFill>
      <a:sysClr val="window" lastClr="FFFFFF"/>
    </a:solidFill>
    <a:ln w="9525" cap="flat" cmpd="sng" algn="ctr">
      <a:solidFill>
        <a:sysClr val="windowText" lastClr="000000">
          <a:lumMod val="15000"/>
          <a:lumOff val="85000"/>
        </a:sys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2.xml><?xml version="1.0" encoding="utf-8"?>
<cs:chartStyle xmlns:cs="http://schemas.microsoft.com/office/drawing/2012/chartStyle" xmlns:a="http://schemas.openxmlformats.org/drawingml/2006/main" id="216">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10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dataPoint>
  <cs:dataPoint3D>
    <cs:lnRef idx="0"/>
    <cs:fillRef idx="1">
      <cs:styleClr val="auto"/>
    </cs:fillRef>
    <cs:effectRef idx="0"/>
    <cs:fontRef idx="minor">
      <a:sysClr val="windowText" lastClr="000000"/>
    </cs:fontRef>
  </cs:dataPoint3D>
  <cs:dataPointLine>
    <cs:lnRef idx="0">
      <cs:styleClr val="auto"/>
    </cs:lnRef>
    <cs:fillRef idx="1"/>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1"/>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65000"/>
          <a:lumOff val="35000"/>
        </a:sysClr>
      </a:solidFill>
      <a:ln w="9525">
        <a:solidFill>
          <a:sysClr val="windowText" lastClr="000000">
            <a:lumMod val="65000"/>
            <a:lumOff val="35000"/>
          </a:sysClr>
        </a:solidFill>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75000"/>
            <a:lumOff val="25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a:solidFill>
          <a:sysClr val="windowText" lastClr="000000">
            <a:lumMod val="15000"/>
            <a:lumOff val="85000"/>
          </a:sysClr>
        </a:solidFill>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ysClr val="windowText" lastClr="000000">
        <a:lumMod val="65000"/>
        <a:lumOff val="35000"/>
      </a:sysClr>
    </cs:fontRef>
    <cs:defRPr sz="1000" kern="1200"/>
  </cs:axisTitle>
  <cs:categoryAxis>
    <cs:lnRef idx="0"/>
    <cs:fillRef idx="0"/>
    <cs:effectRef idx="0"/>
    <cs:fontRef idx="minor">
      <a:sysClr val="windowText" lastClr="000000">
        <a:lumMod val="65000"/>
        <a:lumOff val="35000"/>
      </a:sysClr>
    </cs:fontRef>
    <cs:spPr>
      <a:ln w="9525" cap="flat" cmpd="sng" algn="ctr">
        <a:solidFill>
          <a:sysClr val="windowText" lastClr="000000">
            <a:lumMod val="15000"/>
            <a:lumOff val="85000"/>
          </a:sysClr>
        </a:solidFill>
        <a:round/>
      </a:ln>
    </cs:spPr>
    <cs:defRPr sz="900" kern="1200"/>
  </cs:categoryAxis>
  <cs:chartArea mods="allowNoFillOverride allowNoLineOverride">
    <cs:lnRef idx="0"/>
    <cs:fillRef idx="0"/>
    <cs:effectRef idx="0"/>
    <cs:fontRef idx="minor">
      <a:sysClr val="windowText" lastClr="000000"/>
    </cs:fontRef>
    <cs:spPr>
      <a:solidFill>
        <a:sysClr val="window" lastClr="FFFFFF"/>
      </a:solidFill>
      <a:ln w="9525" cap="flat" cmpd="sng" algn="ctr">
        <a:solidFill>
          <a:sysClr val="windowText" lastClr="000000">
            <a:lumMod val="15000"/>
            <a:lumOff val="85000"/>
          </a:sysClr>
        </a:solidFill>
        <a:round/>
      </a:ln>
    </cs:spPr>
    <cs:defRPr sz="900" kern="1200"/>
  </cs:chartArea>
  <cs:dataLabel>
    <cs:lnRef idx="0"/>
    <cs:fillRef idx="0"/>
    <cs:effectRef idx="0"/>
    <cs:fontRef idx="minor">
      <a:sysClr val="windowText" lastClr="000000">
        <a:lumMod val="75000"/>
        <a:lumOff val="25000"/>
      </a:sysClr>
    </cs:fontRef>
    <cs:defRPr sz="900" kern="1200"/>
  </cs:dataLabel>
  <cs:dataLabelCallout>
    <cs:lnRef idx="0"/>
    <cs:fillRef idx="0"/>
    <cs:effectRef idx="0"/>
    <cs:fontRef idx="minor">
      <a:sysClr val="windowText" lastClr="000000">
        <a:lumMod val="65000"/>
        <a:lumOff val="35000"/>
      </a:sysClr>
    </cs:fontRef>
    <cs:spPr>
      <a:solidFill>
        <a:sysClr val="window" lastClr="FFFFFF"/>
      </a:solidFill>
      <a:ln>
        <a:solidFill>
          <a:sysClr val="windowText" lastClr="000000">
            <a:lumMod val="25000"/>
            <a:lumOff val="75000"/>
          </a:sys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ysClr val="windowText" lastClr="000000"/>
    </cs:fontRef>
    <cs:spPr>
      <a:ln w="19050">
        <a:solidFill>
          <a:sysClr val="window" lastClr="FFFFFF"/>
        </a:solidFill>
      </a:ln>
    </cs:spPr>
  </cs:dataPoint>
  <cs:dataPoint3D>
    <cs:lnRef idx="0"/>
    <cs:fillRef idx="1">
      <cs:styleClr val="auto"/>
    </cs:fillRef>
    <cs:effectRef idx="0"/>
    <cs:fontRef idx="minor">
      <a:sysClr val="windowText" lastClr="000000"/>
    </cs:fontRef>
    <cs:spPr>
      <a:ln w="25400">
        <a:solidFill>
          <a:sysClr val="window" lastClr="FFFFFF"/>
        </a:solidFill>
      </a:ln>
    </cs:spPr>
  </cs:dataPoint3D>
  <cs:dataPointLine>
    <cs:lnRef idx="0">
      <cs:styleClr val="auto"/>
    </cs:lnRef>
    <cs:fillRef idx="0"/>
    <cs:effectRef idx="0"/>
    <cs:fontRef idx="minor">
      <a:sysClr val="windowText" lastClr="000000"/>
    </cs:fontRef>
    <cs:spPr>
      <a:ln w="28575" cap="rnd">
        <a:solidFill>
          <a:schemeClr val="phClr"/>
        </a:solidFill>
        <a:round/>
      </a:ln>
    </cs:spPr>
  </cs:dataPointLine>
  <cs:dataPointMarker>
    <cs:lnRef idx="0">
      <cs:styleClr val="auto"/>
    </cs:lnRef>
    <cs:fillRef idx="1">
      <cs:styleClr val="auto"/>
    </cs:fillRef>
    <cs:effectRef idx="0"/>
    <cs:fontRef idx="minor">
      <a:sysClr val="windowText" lastClr="000000"/>
    </cs:fontRef>
    <cs:spPr>
      <a:ln w="9525">
        <a:solidFill>
          <a:schemeClr val="phClr"/>
        </a:solidFill>
      </a:ln>
    </cs:spPr>
  </cs:dataPointMarker>
  <cs:dataPointMarkerLayout symbol="circle" size="5"/>
  <cs:dataPointWireframe>
    <cs:lnRef idx="0">
      <cs:styleClr val="auto"/>
    </cs:lnRef>
    <cs:fillRef idx="0"/>
    <cs:effectRef idx="0"/>
    <cs:fontRef idx="minor">
      <a:sysClr val="windowText" lastClr="000000"/>
    </cs:fontRef>
    <cs:spPr>
      <a:ln w="9525" cap="rnd">
        <a:solidFill>
          <a:schemeClr val="phClr"/>
        </a:solidFill>
        <a:round/>
      </a:ln>
    </cs:spPr>
  </cs:dataPointWireframe>
  <cs:dataTable>
    <cs:lnRef idx="0"/>
    <cs:fillRef idx="0"/>
    <cs:effectRef idx="0"/>
    <cs:fontRef idx="minor">
      <a:sysClr val="windowText" lastClr="000000">
        <a:lumMod val="65000"/>
        <a:lumOff val="35000"/>
      </a:sysClr>
    </cs:fontRef>
    <cs:spPr>
      <a:noFill/>
      <a:ln w="9525" cap="flat" cmpd="sng" algn="ctr">
        <a:solidFill>
          <a:sysClr val="windowText" lastClr="000000">
            <a:lumMod val="15000"/>
            <a:lumOff val="85000"/>
          </a:sysClr>
        </a:solidFill>
        <a:round/>
      </a:ln>
    </cs:spPr>
    <cs:defRPr sz="900" kern="1200"/>
  </cs:dataTable>
  <cs:downBar>
    <cs:lnRef idx="0"/>
    <cs:fillRef idx="0"/>
    <cs:effectRef idx="0"/>
    <cs:fontRef idx="minor">
      <a:sysClr val="windowText" lastClr="000000"/>
    </cs:fontRef>
    <cs:spPr>
      <a:solidFill>
        <a:sysClr val="windowText" lastClr="000000">
          <a:lumMod val="75000"/>
          <a:lumOff val="25000"/>
        </a:sysClr>
      </a:solidFill>
      <a:ln w="9525" cap="flat" cmpd="sng" algn="ctr">
        <a:solidFill>
          <a:sysClr val="windowText" lastClr="000000">
            <a:lumMod val="65000"/>
            <a:lumOff val="35000"/>
          </a:sysClr>
        </a:solidFill>
        <a:round/>
      </a:ln>
    </cs:spPr>
  </cs:downBar>
  <cs:dropLine>
    <cs:lnRef idx="0"/>
    <cs:fillRef idx="0"/>
    <cs:effectRef idx="0"/>
    <cs:fontRef idx="minor">
      <a:sysClr val="windowText" lastClr="000000"/>
    </cs:fontRef>
    <cs:spPr>
      <a:ln w="9525" cap="flat" cmpd="sng" algn="ctr">
        <a:solidFill>
          <a:sysClr val="windowText" lastClr="000000">
            <a:lumMod val="35000"/>
            <a:lumOff val="65000"/>
          </a:sysClr>
        </a:solidFill>
        <a:round/>
      </a:ln>
    </cs:spPr>
  </cs:dropLine>
  <cs:errorBar>
    <cs:lnRef idx="0"/>
    <cs:fillRef idx="0"/>
    <cs:effectRef idx="0"/>
    <cs:fontRef idx="minor">
      <a:sysClr val="windowText" lastClr="000000"/>
    </cs:fontRef>
    <cs:spPr>
      <a:ln w="9525" cap="flat" cmpd="sng" algn="ctr">
        <a:solidFill>
          <a:sysClr val="windowText" lastClr="000000">
            <a:lumMod val="65000"/>
            <a:lumOff val="35000"/>
          </a:sysClr>
        </a:solidFill>
        <a:round/>
      </a:ln>
    </cs:spPr>
  </cs:errorBar>
  <cs:floor>
    <cs:lnRef idx="0"/>
    <cs:fillRef idx="0"/>
    <cs:effectRef idx="0"/>
    <cs:fontRef idx="minor">
      <a:sysClr val="windowText" lastClr="000000"/>
    </cs:fontRef>
    <cs:spPr>
      <a:noFill/>
      <a:ln>
        <a:noFill/>
      </a:ln>
    </cs:spPr>
  </cs:floor>
  <cs:gridlineMajor>
    <cs:lnRef idx="0"/>
    <cs:fillRef idx="0"/>
    <cs:effectRef idx="0"/>
    <cs:fontRef idx="minor">
      <a:sysClr val="windowText" lastClr="000000"/>
    </cs:fontRef>
    <cs:spPr>
      <a:ln w="9525" cap="flat" cmpd="sng" algn="ctr">
        <a:solidFill>
          <a:sysClr val="windowText" lastClr="000000">
            <a:lumMod val="15000"/>
            <a:lumOff val="85000"/>
          </a:sysClr>
        </a:solidFill>
        <a:round/>
      </a:ln>
    </cs:spPr>
  </cs:gridlineMajor>
  <cs:gridlineMinor>
    <cs:lnRef idx="0"/>
    <cs:fillRef idx="0"/>
    <cs:effectRef idx="0"/>
    <cs:fontRef idx="minor">
      <a:sysClr val="windowText" lastClr="000000"/>
    </cs:fontRef>
    <cs:spPr>
      <a:ln w="9525" cap="flat" cmpd="sng" algn="ctr">
        <a:solidFill>
          <a:sysClr val="windowText" lastClr="000000">
            <a:lumMod val="5000"/>
            <a:lumOff val="95000"/>
          </a:sysClr>
        </a:solidFill>
        <a:round/>
      </a:ln>
    </cs:spPr>
  </cs:gridlineMinor>
  <cs:hiLoLine>
    <cs:lnRef idx="0"/>
    <cs:fillRef idx="0"/>
    <cs:effectRef idx="0"/>
    <cs:fontRef idx="minor">
      <a:sysClr val="windowText" lastClr="000000"/>
    </cs:fontRef>
    <cs:spPr>
      <a:ln w="9525" cap="flat" cmpd="sng" algn="ctr">
        <a:solidFill>
          <a:sysClr val="windowText" lastClr="000000">
            <a:lumMod val="50000"/>
            <a:lumOff val="50000"/>
          </a:sysClr>
        </a:solidFill>
        <a:round/>
      </a:ln>
    </cs:spPr>
  </cs:hiLoLine>
  <cs:leaderLine>
    <cs:lnRef idx="0"/>
    <cs:fillRef idx="0"/>
    <cs:effectRef idx="0"/>
    <cs:fontRef idx="minor">
      <a:sysClr val="windowText" lastClr="000000"/>
    </cs:fontRef>
    <cs:spPr>
      <a:ln w="9525" cap="flat" cmpd="sng" algn="ctr">
        <a:solidFill>
          <a:sysClr val="windowText" lastClr="000000">
            <a:lumMod val="35000"/>
            <a:lumOff val="65000"/>
          </a:sysClr>
        </a:solidFill>
        <a:round/>
      </a:ln>
    </cs:spPr>
  </cs:leaderLine>
  <cs:legend>
    <cs:lnRef idx="0"/>
    <cs:fillRef idx="0"/>
    <cs:effectRef idx="0"/>
    <cs:fontRef idx="minor">
      <a:sysClr val="windowText" lastClr="000000">
        <a:lumMod val="65000"/>
        <a:lumOff val="35000"/>
      </a:sysClr>
    </cs:fontRef>
    <cs:defRPr sz="900" kern="1200"/>
  </cs:legend>
  <cs:plotArea mods="allowNoFillOverride allowNoLineOverride">
    <cs:lnRef idx="0"/>
    <cs:fillRef idx="0"/>
    <cs:effectRef idx="0"/>
    <cs:fontRef idx="minor">
      <a:sysClr val="windowText" lastClr="000000"/>
    </cs:fontRef>
  </cs:plotArea>
  <cs:plotArea3D mods="allowNoFillOverride allowNoLineOverride">
    <cs:lnRef idx="0"/>
    <cs:fillRef idx="0"/>
    <cs:effectRef idx="0"/>
    <cs:fontRef idx="minor">
      <a:sysClr val="windowText" lastClr="000000"/>
    </cs:fontRef>
  </cs:plotArea3D>
  <cs:seriesAxis>
    <cs:lnRef idx="0"/>
    <cs:fillRef idx="0"/>
    <cs:effectRef idx="0"/>
    <cs:fontRef idx="minor">
      <a:sysClr val="windowText" lastClr="000000">
        <a:lumMod val="65000"/>
        <a:lumOff val="35000"/>
      </a:sysClr>
    </cs:fontRef>
    <cs:defRPr sz="900" kern="1200"/>
  </cs:seriesAxis>
  <cs:seriesLine>
    <cs:lnRef idx="0"/>
    <cs:fillRef idx="0"/>
    <cs:effectRef idx="0"/>
    <cs:fontRef idx="minor">
      <a:sysClr val="windowText" lastClr="000000"/>
    </cs:fontRef>
    <cs:spPr>
      <a:ln w="9525" cap="flat" cmpd="sng" algn="ctr">
        <a:solidFill>
          <a:sysClr val="windowText" lastClr="000000">
            <a:lumMod val="35000"/>
            <a:lumOff val="65000"/>
          </a:sysClr>
        </a:solidFill>
        <a:round/>
      </a:ln>
    </cs:spPr>
  </cs:seriesLine>
  <cs:title>
    <cs:lnRef idx="0"/>
    <cs:fillRef idx="0"/>
    <cs:effectRef idx="0"/>
    <cs:fontRef idx="minor">
      <a:sysClr val="windowText" lastClr="000000">
        <a:lumMod val="65000"/>
        <a:lumOff val="35000"/>
      </a:sysClr>
    </cs:fontRef>
    <cs:defRPr sz="1400" b="0" kern="1200" spc="0" baseline="0"/>
  </cs:title>
  <cs:trendline>
    <cs:lnRef idx="0">
      <cs:styleClr val="auto"/>
    </cs:lnRef>
    <cs:fillRef idx="0"/>
    <cs:effectRef idx="0"/>
    <cs:fontRef idx="minor">
      <a:sysClr val="windowText" lastClr="000000"/>
    </cs:fontRef>
    <cs:spPr>
      <a:ln w="19050" cap="rnd">
        <a:solidFill>
          <a:schemeClr val="phClr"/>
        </a:solidFill>
        <a:prstDash val="sysDot"/>
      </a:ln>
    </cs:spPr>
  </cs:trendline>
  <cs:trendlineLabel>
    <cs:lnRef idx="0"/>
    <cs:fillRef idx="0"/>
    <cs:effectRef idx="0"/>
    <cs:fontRef idx="minor">
      <a:sysClr val="windowText" lastClr="000000">
        <a:lumMod val="65000"/>
        <a:lumOff val="35000"/>
      </a:sysClr>
    </cs:fontRef>
    <cs:defRPr sz="900" kern="1200"/>
  </cs:trendlineLabel>
  <cs:upBar>
    <cs:lnRef idx="0"/>
    <cs:fillRef idx="0"/>
    <cs:effectRef idx="0"/>
    <cs:fontRef idx="minor">
      <a:sysClr val="windowText" lastClr="000000"/>
    </cs:fontRef>
    <cs:spPr>
      <a:solidFill>
        <a:sysClr val="window" lastClr="FFFFFF"/>
      </a:solidFill>
      <a:ln w="9525" cap="flat" cmpd="sng" algn="ctr">
        <a:solidFill>
          <a:sysClr val="windowText" lastClr="000000">
            <a:lumMod val="65000"/>
            <a:lumOff val="35000"/>
          </a:sysClr>
        </a:solidFill>
        <a:round/>
      </a:ln>
    </cs:spPr>
  </cs:upBar>
  <cs:valueAxis>
    <cs:lnRef idx="0"/>
    <cs:fillRef idx="0"/>
    <cs:effectRef idx="0"/>
    <cs:fontRef idx="minor">
      <a:sysClr val="windowText" lastClr="000000">
        <a:lumMod val="65000"/>
        <a:lumOff val="35000"/>
      </a:sysClr>
    </cs:fontRef>
    <cs:defRPr sz="900" kern="1200"/>
  </cs:valueAxis>
  <cs:wall>
    <cs:lnRef idx="0"/>
    <cs:fillRef idx="0"/>
    <cs:effectRef idx="0"/>
    <cs:fontRef idx="minor">
      <a:sysClr val="windowText" lastClr="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2483</Words>
  <Characters>2782</Characters>
  <Lines>20</Lines>
  <Paragraphs>5</Paragraphs>
  <TotalTime>2</TotalTime>
  <ScaleCrop>false</ScaleCrop>
  <LinksUpToDate>false</LinksUpToDate>
  <CharactersWithSpaces>2815</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Administrator</cp:lastModifiedBy>
  <dcterms:modified xsi:type="dcterms:W3CDTF">2023-03-08T00:15:46Z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4EC545D752324EC7B51C1830C6704E49</vt:lpwstr>
  </property>
</Properties>
</file>