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Override PartName="/word/theme/themeOverride4.xml" ContentType="application/vnd.openxmlformats-officedocument.themeOverride+xml"/>
  <Override PartName="/word/theme/themeOverride5.xml" ContentType="application/vnd.openxmlformats-officedocument.themeOverride+xml"/>
  <Override PartName="/word/theme/themeOverride6.xml" ContentType="application/vnd.openxmlformats-officedocument.themeOverride+xml"/>
  <Override PartName="/word/theme/themeOverride7.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黑体" w:hAnsi="黑体" w:eastAsia="黑体" w:cs="黑体"/>
          <w:b/>
          <w:bCs/>
          <w:sz w:val="44"/>
          <w:szCs w:val="44"/>
        </w:rPr>
      </w:pPr>
    </w:p>
    <w:p>
      <w:pPr>
        <w:spacing w:line="480" w:lineRule="auto"/>
        <w:jc w:val="center"/>
        <w:rPr>
          <w:rFonts w:ascii="宋体" w:hAnsi="宋体" w:eastAsia="宋体" w:cs="宋体"/>
          <w:b/>
          <w:bCs/>
          <w:sz w:val="44"/>
          <w:szCs w:val="44"/>
        </w:rPr>
      </w:pPr>
      <w:r>
        <w:rPr>
          <w:rFonts w:hint="eastAsia" w:ascii="黑体" w:hAnsi="黑体" w:eastAsia="黑体" w:cs="黑体"/>
          <w:b/>
          <w:bCs/>
          <w:sz w:val="44"/>
          <w:szCs w:val="44"/>
          <w:lang w:eastAsia="zh-CN"/>
        </w:rPr>
        <w:t>2023年</w:t>
      </w:r>
      <w:r>
        <w:rPr>
          <w:rFonts w:hint="eastAsia" w:ascii="黑体" w:hAnsi="黑体" w:eastAsia="黑体" w:cs="黑体"/>
          <w:b/>
          <w:bCs/>
          <w:sz w:val="44"/>
          <w:szCs w:val="44"/>
        </w:rPr>
        <w:t>淮滨县动物卫生监督所部门预算说明</w:t>
      </w:r>
    </w:p>
    <w:p>
      <w:pPr>
        <w:pStyle w:val="3"/>
        <w:tabs>
          <w:tab w:val="left" w:pos="880"/>
        </w:tabs>
        <w:kinsoku w:val="0"/>
        <w:overflowPunct w:val="0"/>
        <w:spacing w:before="0" w:line="480" w:lineRule="auto"/>
        <w:ind w:left="0"/>
        <w:jc w:val="center"/>
        <w:rPr>
          <w:rFonts w:hint="default" w:ascii="黑体" w:hAnsi="黑体" w:eastAsia="黑体" w:cs="黑体"/>
          <w:b/>
          <w:w w:val="95"/>
          <w:sz w:val="30"/>
          <w:szCs w:val="30"/>
        </w:rPr>
      </w:pPr>
    </w:p>
    <w:p>
      <w:pPr>
        <w:pStyle w:val="3"/>
        <w:tabs>
          <w:tab w:val="left" w:pos="880"/>
        </w:tabs>
        <w:kinsoku w:val="0"/>
        <w:overflowPunct w:val="0"/>
        <w:spacing w:before="0" w:line="480" w:lineRule="auto"/>
        <w:ind w:left="0"/>
        <w:jc w:val="center"/>
        <w:rPr>
          <w:rFonts w:hint="default" w:ascii="黑体" w:hAnsi="黑体" w:eastAsia="黑体" w:cs="黑体"/>
          <w:b/>
          <w:sz w:val="44"/>
          <w:szCs w:val="44"/>
        </w:rPr>
      </w:pPr>
      <w:r>
        <w:rPr>
          <w:rFonts w:ascii="黑体" w:hAnsi="黑体" w:eastAsia="黑体" w:cs="黑体"/>
          <w:b/>
          <w:w w:val="95"/>
          <w:sz w:val="44"/>
          <w:szCs w:val="44"/>
        </w:rPr>
        <w:t>目</w:t>
      </w:r>
      <w:r>
        <w:rPr>
          <w:rFonts w:ascii="黑体" w:hAnsi="黑体" w:eastAsia="黑体" w:cs="黑体"/>
          <w:b/>
          <w:w w:val="95"/>
          <w:sz w:val="44"/>
          <w:szCs w:val="44"/>
        </w:rPr>
        <w:tab/>
      </w:r>
      <w:r>
        <w:rPr>
          <w:rFonts w:ascii="黑体" w:hAnsi="黑体" w:eastAsia="黑体" w:cs="黑体"/>
          <w:b/>
          <w:sz w:val="44"/>
          <w:szCs w:val="44"/>
        </w:rPr>
        <w:t>录</w:t>
      </w:r>
    </w:p>
    <w:p>
      <w:pPr>
        <w:kinsoku w:val="0"/>
        <w:overflowPunct w:val="0"/>
        <w:autoSpaceDE w:val="0"/>
        <w:autoSpaceDN w:val="0"/>
        <w:adjustRightInd w:val="0"/>
        <w:spacing w:before="351"/>
        <w:ind w:right="126"/>
        <w:rPr>
          <w:rFonts w:ascii="黑体" w:hAnsi="黑体" w:eastAsia="黑体" w:cs="黑体"/>
          <w:sz w:val="32"/>
          <w:szCs w:val="32"/>
        </w:rPr>
      </w:pPr>
      <w:r>
        <w:rPr>
          <w:rFonts w:hint="eastAsia" w:ascii="黑体" w:hAnsi="黑体" w:eastAsia="黑体" w:cs="黑体"/>
          <w:sz w:val="32"/>
          <w:szCs w:val="32"/>
        </w:rPr>
        <w:t>第一部分</w:t>
      </w:r>
      <w:r>
        <w:rPr>
          <w:rFonts w:hint="eastAsia" w:ascii="黑体" w:hAnsi="黑体" w:eastAsia="黑体" w:cs="黑体"/>
          <w:spacing w:val="-7"/>
          <w:sz w:val="32"/>
          <w:szCs w:val="32"/>
        </w:rPr>
        <w:t xml:space="preserve"> 淮滨县动物卫生监督所</w:t>
      </w:r>
      <w:r>
        <w:rPr>
          <w:rFonts w:hint="eastAsia" w:ascii="黑体" w:hAnsi="黑体" w:eastAsia="黑体" w:cs="黑体"/>
          <w:sz w:val="32"/>
          <w:szCs w:val="32"/>
        </w:rPr>
        <w:t>概况</w:t>
      </w:r>
    </w:p>
    <w:p>
      <w:pPr>
        <w:kinsoku w:val="0"/>
        <w:overflowPunct w:val="0"/>
        <w:autoSpaceDE w:val="0"/>
        <w:autoSpaceDN w:val="0"/>
        <w:adjustRightInd w:val="0"/>
        <w:spacing w:line="560" w:lineRule="exact"/>
        <w:ind w:firstLine="320" w:firstLineChars="100"/>
        <w:rPr>
          <w:rFonts w:ascii="仿宋" w:hAnsi="仿宋" w:eastAsia="仿宋" w:cs="Times New Roman"/>
          <w:w w:val="99"/>
          <w:sz w:val="32"/>
          <w:szCs w:val="32"/>
        </w:rPr>
      </w:pPr>
      <w:r>
        <w:rPr>
          <w:rFonts w:hint="eastAsia" w:ascii="仿宋" w:hAnsi="仿宋" w:eastAsia="仿宋" w:cs="Times New Roman"/>
          <w:sz w:val="32"/>
          <w:szCs w:val="32"/>
        </w:rPr>
        <w:t>一、主要职责</w:t>
      </w:r>
      <w:r>
        <w:rPr>
          <w:rFonts w:hint="eastAsia" w:ascii="仿宋" w:hAnsi="仿宋" w:eastAsia="仿宋" w:cs="Times New Roman"/>
          <w:w w:val="99"/>
          <w:sz w:val="32"/>
          <w:szCs w:val="32"/>
        </w:rPr>
        <w:t xml:space="preserve"> </w:t>
      </w:r>
    </w:p>
    <w:p>
      <w:pPr>
        <w:kinsoku w:val="0"/>
        <w:overflowPunct w:val="0"/>
        <w:autoSpaceDE w:val="0"/>
        <w:autoSpaceDN w:val="0"/>
        <w:adjustRightInd w:val="0"/>
        <w:spacing w:line="560" w:lineRule="exact"/>
        <w:ind w:firstLine="320" w:firstLineChars="100"/>
        <w:rPr>
          <w:rFonts w:hint="eastAsia" w:ascii="仿宋" w:hAnsi="仿宋" w:eastAsia="仿宋"/>
          <w:sz w:val="32"/>
          <w:szCs w:val="32"/>
        </w:rPr>
      </w:pPr>
      <w:r>
        <w:rPr>
          <w:rFonts w:hint="eastAsia" w:ascii="仿宋" w:hAnsi="仿宋" w:eastAsia="仿宋"/>
          <w:sz w:val="32"/>
          <w:szCs w:val="32"/>
        </w:rPr>
        <w:t>二、</w:t>
      </w:r>
      <w:r>
        <w:rPr>
          <w:rFonts w:hint="eastAsia" w:ascii="黑体" w:hAnsi="黑体" w:eastAsia="黑体" w:cs="黑体"/>
          <w:sz w:val="32"/>
          <w:szCs w:val="32"/>
        </w:rPr>
        <w:t>内设机构设置情况</w:t>
      </w:r>
    </w:p>
    <w:p>
      <w:pPr>
        <w:kinsoku w:val="0"/>
        <w:overflowPunct w:val="0"/>
        <w:autoSpaceDE w:val="0"/>
        <w:autoSpaceDN w:val="0"/>
        <w:adjustRightInd w:val="0"/>
        <w:spacing w:line="560" w:lineRule="exact"/>
        <w:ind w:firstLine="320" w:firstLineChars="100"/>
        <w:rPr>
          <w:rFonts w:hint="eastAsia" w:ascii="仿宋" w:hAnsi="仿宋" w:eastAsia="仿宋"/>
          <w:sz w:val="32"/>
          <w:szCs w:val="32"/>
          <w:lang w:eastAsia="zh-CN"/>
        </w:rPr>
      </w:pPr>
      <w:r>
        <w:rPr>
          <w:rFonts w:hint="eastAsia" w:ascii="仿宋" w:hAnsi="仿宋" w:eastAsia="仿宋"/>
          <w:sz w:val="32"/>
          <w:szCs w:val="32"/>
          <w:lang w:eastAsia="zh-CN"/>
        </w:rPr>
        <w:t>三、</w:t>
      </w:r>
      <w:r>
        <w:rPr>
          <w:rFonts w:hint="eastAsia" w:ascii="黑体" w:hAnsi="黑体" w:eastAsia="黑体" w:cs="黑体"/>
          <w:sz w:val="32"/>
          <w:szCs w:val="32"/>
        </w:rPr>
        <w:t>部门所属预算单位构成情况</w:t>
      </w:r>
    </w:p>
    <w:p>
      <w:pPr>
        <w:kinsoku w:val="0"/>
        <w:overflowPunct w:val="0"/>
        <w:autoSpaceDE w:val="0"/>
        <w:autoSpaceDN w:val="0"/>
        <w:adjustRightInd w:val="0"/>
        <w:spacing w:before="12" w:line="357" w:lineRule="auto"/>
        <w:ind w:right="126"/>
        <w:rPr>
          <w:rFonts w:ascii="黑体" w:hAnsi="黑体" w:eastAsia="黑体" w:cs="Times New Roman"/>
          <w:w w:val="99"/>
          <w:sz w:val="32"/>
          <w:szCs w:val="32"/>
        </w:rPr>
      </w:pPr>
      <w:r>
        <w:rPr>
          <w:rFonts w:hint="eastAsia" w:ascii="黑体" w:hAnsi="黑体" w:eastAsia="黑体" w:cs="Times New Roman"/>
          <w:sz w:val="32"/>
          <w:szCs w:val="32"/>
        </w:rPr>
        <w:t>第二部分</w:t>
      </w:r>
      <w:r>
        <w:rPr>
          <w:rFonts w:hint="eastAsia" w:ascii="黑体" w:hAnsi="黑体" w:eastAsia="黑体" w:cs="Times New Roman"/>
          <w:spacing w:val="-5"/>
          <w:sz w:val="32"/>
          <w:szCs w:val="32"/>
        </w:rPr>
        <w:t xml:space="preserve"> 淮滨县动物卫生监督所</w:t>
      </w:r>
      <w:r>
        <w:rPr>
          <w:rFonts w:hint="eastAsia" w:ascii="黑体" w:hAnsi="黑体" w:eastAsia="黑体" w:cs="Times New Roman"/>
          <w:sz w:val="32"/>
          <w:szCs w:val="32"/>
        </w:rPr>
        <w:t>202</w:t>
      </w:r>
      <w:r>
        <w:rPr>
          <w:rFonts w:hint="eastAsia" w:ascii="黑体" w:hAnsi="黑体" w:eastAsia="黑体" w:cs="Times New Roman"/>
          <w:sz w:val="32"/>
          <w:szCs w:val="32"/>
          <w:lang w:val="en-US" w:eastAsia="zh-CN"/>
        </w:rPr>
        <w:t>3</w:t>
      </w:r>
      <w:r>
        <w:rPr>
          <w:rFonts w:hint="eastAsia" w:ascii="黑体" w:hAnsi="黑体" w:eastAsia="黑体" w:cs="Times New Roman"/>
          <w:spacing w:val="-83"/>
          <w:sz w:val="32"/>
          <w:szCs w:val="32"/>
        </w:rPr>
        <w:t xml:space="preserve"> </w:t>
      </w:r>
      <w:r>
        <w:rPr>
          <w:rFonts w:hint="eastAsia" w:ascii="黑体" w:hAnsi="黑体" w:eastAsia="黑体" w:cs="Times New Roman"/>
          <w:sz w:val="32"/>
          <w:szCs w:val="32"/>
        </w:rPr>
        <w:t>年度部门预算情况说明</w:t>
      </w:r>
      <w:r>
        <w:rPr>
          <w:rFonts w:hint="eastAsia" w:ascii="黑体" w:hAnsi="黑体" w:eastAsia="黑体" w:cs="Times New Roman"/>
          <w:w w:val="99"/>
          <w:sz w:val="32"/>
          <w:szCs w:val="32"/>
        </w:rPr>
        <w:t xml:space="preserve"> </w:t>
      </w:r>
    </w:p>
    <w:p>
      <w:pPr>
        <w:kinsoku w:val="0"/>
        <w:overflowPunct w:val="0"/>
        <w:autoSpaceDE w:val="0"/>
        <w:autoSpaceDN w:val="0"/>
        <w:adjustRightInd w:val="0"/>
        <w:spacing w:before="12" w:line="357" w:lineRule="auto"/>
        <w:ind w:right="126"/>
        <w:rPr>
          <w:rFonts w:ascii="黑体" w:hAnsi="黑体" w:eastAsia="黑体" w:cs="Times New Roman"/>
          <w:sz w:val="32"/>
          <w:szCs w:val="32"/>
        </w:rPr>
      </w:pPr>
      <w:r>
        <w:rPr>
          <w:rFonts w:hint="eastAsia" w:ascii="黑体" w:hAnsi="黑体" w:eastAsia="黑体" w:cs="Times New Roman"/>
          <w:sz w:val="32"/>
          <w:szCs w:val="32"/>
        </w:rPr>
        <w:t>第三部分</w:t>
      </w:r>
      <w:r>
        <w:rPr>
          <w:rFonts w:hint="eastAsia" w:ascii="黑体" w:hAnsi="黑体" w:eastAsia="黑体" w:cs="Times New Roman"/>
          <w:spacing w:val="-3"/>
          <w:sz w:val="32"/>
          <w:szCs w:val="32"/>
        </w:rPr>
        <w:t xml:space="preserve"> </w:t>
      </w:r>
      <w:r>
        <w:rPr>
          <w:rFonts w:hint="eastAsia" w:ascii="黑体" w:hAnsi="黑体" w:eastAsia="黑体" w:cs="Times New Roman"/>
          <w:sz w:val="32"/>
          <w:szCs w:val="32"/>
        </w:rPr>
        <w:t>名词解释</w:t>
      </w:r>
    </w:p>
    <w:p>
      <w:pPr>
        <w:kinsoku w:val="0"/>
        <w:overflowPunct w:val="0"/>
        <w:autoSpaceDE w:val="0"/>
        <w:autoSpaceDN w:val="0"/>
        <w:adjustRightInd w:val="0"/>
        <w:spacing w:before="48" w:line="345" w:lineRule="auto"/>
        <w:ind w:right="766"/>
        <w:rPr>
          <w:rFonts w:ascii="黑体" w:hAnsi="黑体" w:eastAsia="黑体" w:cs="Times New Roman"/>
          <w:sz w:val="32"/>
          <w:szCs w:val="32"/>
        </w:rPr>
      </w:pPr>
      <w:r>
        <w:rPr>
          <w:rFonts w:hint="eastAsia" w:ascii="黑体" w:hAnsi="黑体" w:eastAsia="黑体" w:cs="Times New Roman"/>
          <w:sz w:val="32"/>
          <w:szCs w:val="32"/>
        </w:rPr>
        <w:t>附件：淮滨县动物卫生监督所</w:t>
      </w:r>
      <w:r>
        <w:rPr>
          <w:rFonts w:hint="eastAsia" w:ascii="黑体" w:hAnsi="黑体" w:eastAsia="黑体" w:cs="Times New Roman"/>
          <w:sz w:val="32"/>
          <w:szCs w:val="32"/>
          <w:lang w:eastAsia="zh-CN"/>
        </w:rPr>
        <w:t>2023年</w:t>
      </w:r>
      <w:r>
        <w:rPr>
          <w:rFonts w:hint="eastAsia" w:ascii="黑体" w:hAnsi="黑体" w:eastAsia="黑体" w:cs="Times New Roman"/>
          <w:sz w:val="32"/>
          <w:szCs w:val="32"/>
        </w:rPr>
        <w:t>度部门预算表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部门收入预算表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财政拨款收支预算表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一般公共预算支出预算表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一般公共预算基本支出预算表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支出经济分类汇总表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一般公共预算“三公”经费预算表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政府性基金支出预算表</w:t>
      </w:r>
    </w:p>
    <w:p>
      <w:pPr>
        <w:numPr>
          <w:ilvl w:val="0"/>
          <w:numId w:val="1"/>
        </w:numPr>
        <w:kinsoku w:val="0"/>
        <w:overflowPunct w:val="0"/>
        <w:autoSpaceDE w:val="0"/>
        <w:autoSpaceDN w:val="0"/>
        <w:adjustRightInd w:val="0"/>
        <w:spacing w:before="48" w:line="560" w:lineRule="exact"/>
        <w:ind w:right="765" w:firstLine="28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国有资本经营支出预算表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项目支出预算表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政府采购预算表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部门(单位)整体绩效目标表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部门(单位)预算项目绩效目标表</w:t>
      </w: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pStyle w:val="3"/>
        <w:numPr>
          <w:ilvl w:val="0"/>
          <w:numId w:val="2"/>
        </w:numPr>
        <w:tabs>
          <w:tab w:val="left" w:pos="880"/>
        </w:tabs>
        <w:kinsoku w:val="0"/>
        <w:overflowPunct w:val="0"/>
        <w:spacing w:before="0"/>
        <w:jc w:val="center"/>
        <w:rPr>
          <w:rFonts w:hint="default" w:ascii="黑体" w:hAnsi="黑体" w:eastAsia="黑体" w:cs="黑体"/>
          <w:b/>
          <w:sz w:val="36"/>
          <w:szCs w:val="36"/>
        </w:rPr>
      </w:pPr>
    </w:p>
    <w:p>
      <w:pPr>
        <w:pStyle w:val="3"/>
        <w:tabs>
          <w:tab w:val="left" w:pos="880"/>
        </w:tabs>
        <w:kinsoku w:val="0"/>
        <w:overflowPunct w:val="0"/>
        <w:spacing w:before="0"/>
        <w:ind w:left="0"/>
        <w:jc w:val="center"/>
        <w:rPr>
          <w:rFonts w:hint="default" w:ascii="黑体" w:hAnsi="黑体" w:eastAsia="黑体" w:cs="黑体"/>
          <w:b/>
          <w:sz w:val="36"/>
          <w:szCs w:val="36"/>
        </w:rPr>
      </w:pPr>
      <w:r>
        <w:rPr>
          <w:rFonts w:hint="eastAsia" w:ascii="黑体" w:hAnsi="黑体" w:eastAsia="黑体" w:cs="黑体"/>
          <w:b/>
          <w:sz w:val="36"/>
          <w:szCs w:val="36"/>
        </w:rPr>
        <w:t>淮滨县动物卫生监督所</w:t>
      </w:r>
      <w:r>
        <w:rPr>
          <w:rFonts w:ascii="黑体" w:hAnsi="黑体" w:eastAsia="黑体" w:cs="黑体"/>
          <w:b/>
          <w:sz w:val="36"/>
          <w:szCs w:val="36"/>
        </w:rPr>
        <w:t>概况</w:t>
      </w:r>
    </w:p>
    <w:p>
      <w:pPr>
        <w:pStyle w:val="3"/>
        <w:tabs>
          <w:tab w:val="left" w:pos="880"/>
        </w:tabs>
        <w:kinsoku w:val="0"/>
        <w:overflowPunct w:val="0"/>
        <w:spacing w:before="0"/>
        <w:ind w:left="0"/>
        <w:jc w:val="center"/>
        <w:rPr>
          <w:rFonts w:hint="default" w:ascii="黑体" w:hAnsi="黑体" w:eastAsia="黑体" w:cs="黑体"/>
          <w:b/>
          <w:sz w:val="36"/>
          <w:szCs w:val="36"/>
        </w:rPr>
      </w:pP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hint="eastAsia" w:ascii="黑体" w:hAnsi="黑体" w:eastAsia="黑体" w:cs="黑体"/>
          <w:bCs/>
          <w:szCs w:val="32"/>
        </w:rPr>
        <w:t>淮滨县动物卫生监督所</w:t>
      </w:r>
      <w:r>
        <w:rPr>
          <w:rFonts w:ascii="黑体" w:hAnsi="黑体" w:eastAsia="黑体" w:cs="黑体"/>
          <w:bCs/>
          <w:szCs w:val="32"/>
        </w:rPr>
        <w:t>主要职责</w:t>
      </w:r>
    </w:p>
    <w:p>
      <w:pPr>
        <w:pStyle w:val="3"/>
        <w:tabs>
          <w:tab w:val="left" w:pos="880"/>
        </w:tabs>
        <w:kinsoku w:val="0"/>
        <w:overflowPunct w:val="0"/>
        <w:spacing w:before="0"/>
        <w:ind w:left="420" w:leftChars="200" w:firstLine="320" w:firstLineChars="100"/>
        <w:jc w:val="left"/>
        <w:rPr>
          <w:rFonts w:ascii="仿宋_GB2312" w:hAnsi="仿宋_GB2312" w:eastAsia="仿宋_GB2312" w:cs="仿宋_GB2312"/>
          <w:bCs/>
          <w:szCs w:val="32"/>
        </w:rPr>
      </w:pPr>
      <w:r>
        <w:rPr>
          <w:rFonts w:hint="eastAsia" w:ascii="仿宋_GB2312" w:hAnsi="仿宋_GB2312" w:eastAsia="仿宋_GB2312" w:cs="仿宋_GB2312"/>
          <w:bCs/>
          <w:szCs w:val="32"/>
        </w:rPr>
        <w:t>淮滨县动物卫生监督所</w:t>
      </w:r>
      <w:r>
        <w:rPr>
          <w:rFonts w:ascii="仿宋_GB2312" w:hAnsi="仿宋_GB2312" w:eastAsia="仿宋_GB2312" w:cs="仿宋_GB2312"/>
          <w:bCs/>
          <w:szCs w:val="32"/>
        </w:rPr>
        <w:t>主要职责是：</w:t>
      </w:r>
    </w:p>
    <w:p>
      <w:pPr>
        <w:numPr>
          <w:ilvl w:val="0"/>
          <w:numId w:val="4"/>
        </w:numPr>
        <w:adjustRightInd w:val="0"/>
        <w:snapToGrid w:val="0"/>
        <w:spacing w:line="360" w:lineRule="auto"/>
        <w:ind w:firstLine="640" w:firstLineChars="200"/>
        <w:outlineLvl w:val="0"/>
        <w:rPr>
          <w:rFonts w:hint="eastAsia" w:ascii="仿宋_GB2312" w:eastAsia="仿宋_GB2312"/>
          <w:b w:val="0"/>
          <w:bCs w:val="0"/>
          <w:color w:val="000000" w:themeColor="text1"/>
          <w:sz w:val="32"/>
          <w:szCs w:val="32"/>
          <w14:textFill>
            <w14:solidFill>
              <w14:schemeClr w14:val="tx1"/>
            </w14:solidFill>
          </w14:textFill>
        </w:rPr>
      </w:pPr>
      <w:r>
        <w:rPr>
          <w:rFonts w:hint="eastAsia" w:ascii="仿宋_GB2312" w:eastAsia="仿宋_GB2312"/>
          <w:b w:val="0"/>
          <w:bCs w:val="0"/>
          <w:color w:val="000000" w:themeColor="text1"/>
          <w:sz w:val="32"/>
          <w:szCs w:val="32"/>
          <w14:textFill>
            <w14:solidFill>
              <w14:schemeClr w14:val="tx1"/>
            </w14:solidFill>
          </w14:textFill>
        </w:rPr>
        <w:t>拟定农业畜牧业和农村经济发展战略、中长期发展规划、经批准后组织实施。</w:t>
      </w:r>
    </w:p>
    <w:p>
      <w:pPr>
        <w:adjustRightInd w:val="0"/>
        <w:snapToGrid w:val="0"/>
        <w:spacing w:line="360" w:lineRule="auto"/>
        <w:ind w:firstLine="640" w:firstLineChars="200"/>
        <w:outlineLvl w:val="0"/>
        <w:rPr>
          <w:rFonts w:eastAsia="仿宋_GB2312" w:asciiTheme="minorHAnsi" w:hAnsiTheme="minorHAnsi"/>
          <w:b w:val="0"/>
          <w:bCs w:val="0"/>
          <w:color w:val="000000" w:themeColor="text1"/>
          <w:sz w:val="32"/>
          <w:szCs w:val="32"/>
          <w:lang w:val="en-GB"/>
          <w14:textFill>
            <w14:solidFill>
              <w14:schemeClr w14:val="tx1"/>
            </w14:solidFill>
          </w14:textFill>
        </w:rPr>
      </w:pPr>
      <w:r>
        <w:rPr>
          <w:rFonts w:hint="eastAsia" w:ascii="仿宋_GB2312" w:eastAsia="仿宋_GB2312"/>
          <w:b w:val="0"/>
          <w:bCs w:val="0"/>
          <w:color w:val="000000" w:themeColor="text1"/>
          <w:sz w:val="32"/>
          <w:szCs w:val="32"/>
          <w:lang w:val="en-US" w:eastAsia="zh-CN"/>
          <w14:textFill>
            <w14:solidFill>
              <w14:schemeClr w14:val="tx1"/>
            </w14:solidFill>
          </w14:textFill>
        </w:rPr>
        <w:t>2、</w:t>
      </w:r>
      <w:r>
        <w:rPr>
          <w:rFonts w:hint="eastAsia" w:ascii="仿宋_GB2312" w:eastAsia="仿宋_GB2312"/>
          <w:b w:val="0"/>
          <w:bCs w:val="0"/>
          <w:color w:val="000000" w:themeColor="text1"/>
          <w:sz w:val="32"/>
          <w:szCs w:val="32"/>
          <w14:textFill>
            <w14:solidFill>
              <w14:schemeClr w14:val="tx1"/>
            </w14:solidFill>
          </w14:textFill>
        </w:rPr>
        <w:t>拟定农业畜牧业的产业政策，引导农业畜牧业产业结构的调整、农业资源的合理配置和农产品品质的改善；指导全县农业畜牧业法制体系建设。</w:t>
      </w:r>
    </w:p>
    <w:p>
      <w:pPr>
        <w:adjustRightInd w:val="0"/>
        <w:snapToGrid w:val="0"/>
        <w:spacing w:line="360" w:lineRule="auto"/>
        <w:ind w:firstLine="640" w:firstLineChars="200"/>
        <w:outlineLvl w:val="0"/>
        <w:rPr>
          <w:rFonts w:hint="eastAsia" w:ascii="仿宋_GB2312" w:eastAsia="仿宋_GB2312"/>
          <w:b w:val="0"/>
          <w:bCs w:val="0"/>
          <w:color w:val="000000" w:themeColor="text1"/>
          <w:sz w:val="32"/>
          <w:szCs w:val="32"/>
          <w14:textFill>
            <w14:solidFill>
              <w14:schemeClr w14:val="tx1"/>
            </w14:solidFill>
          </w14:textFill>
        </w:rPr>
      </w:pPr>
      <w:r>
        <w:rPr>
          <w:rFonts w:hint="eastAsia" w:ascii="仿宋_GB2312" w:eastAsia="仿宋_GB2312"/>
          <w:b w:val="0"/>
          <w:bCs w:val="0"/>
          <w:color w:val="000000" w:themeColor="text1"/>
          <w:sz w:val="32"/>
          <w:szCs w:val="32"/>
          <w:lang w:val="en-US" w:eastAsia="zh-CN"/>
          <w14:textFill>
            <w14:solidFill>
              <w14:schemeClr w14:val="tx1"/>
            </w14:solidFill>
          </w14:textFill>
        </w:rPr>
        <w:t>3</w:t>
      </w:r>
      <w:r>
        <w:rPr>
          <w:rFonts w:hint="eastAsia" w:ascii="仿宋_GB2312" w:eastAsia="仿宋_GB2312"/>
          <w:b w:val="0"/>
          <w:bCs w:val="0"/>
          <w:color w:val="000000" w:themeColor="text1"/>
          <w:sz w:val="32"/>
          <w:szCs w:val="32"/>
          <w14:textFill>
            <w14:solidFill>
              <w14:schemeClr w14:val="tx1"/>
            </w14:solidFill>
          </w14:textFill>
        </w:rPr>
        <w:t>、执行国家《动物防疫法》、《畜牧法》、《重大动物疫情应急条例》、《兽药管理条例》、《种畜禽管理条例》和《词料和词料添加剂管理条例》等法律法规及省、市、县有关畜牧业发展的规章制度并组织实施。</w:t>
      </w:r>
    </w:p>
    <w:p>
      <w:pPr>
        <w:adjustRightInd w:val="0"/>
        <w:snapToGrid w:val="0"/>
        <w:spacing w:line="360" w:lineRule="auto"/>
        <w:ind w:firstLine="640" w:firstLineChars="200"/>
        <w:outlineLvl w:val="0"/>
        <w:rPr>
          <w:rFonts w:eastAsia="仿宋_GB2312" w:asciiTheme="minorHAnsi" w:hAnsiTheme="minorHAnsi"/>
          <w:b w:val="0"/>
          <w:bCs w:val="0"/>
          <w:color w:val="000000" w:themeColor="text1"/>
          <w:sz w:val="32"/>
          <w:szCs w:val="32"/>
          <w:lang w:val="en-GB"/>
          <w14:textFill>
            <w14:solidFill>
              <w14:schemeClr w14:val="tx1"/>
            </w14:solidFill>
          </w14:textFill>
        </w:rPr>
      </w:pPr>
      <w:r>
        <w:rPr>
          <w:rFonts w:hint="eastAsia" w:ascii="仿宋_GB2312" w:eastAsia="仿宋_GB2312"/>
          <w:b w:val="0"/>
          <w:bCs w:val="0"/>
          <w:color w:val="000000" w:themeColor="text1"/>
          <w:sz w:val="32"/>
          <w:szCs w:val="32"/>
          <w:lang w:val="en-US" w:eastAsia="zh-CN"/>
          <w14:textFill>
            <w14:solidFill>
              <w14:schemeClr w14:val="tx1"/>
            </w14:solidFill>
          </w14:textFill>
        </w:rPr>
        <w:t>4</w:t>
      </w:r>
      <w:r>
        <w:rPr>
          <w:rFonts w:hint="eastAsia" w:ascii="仿宋_GB2312" w:eastAsia="仿宋_GB2312"/>
          <w:b w:val="0"/>
          <w:bCs w:val="0"/>
          <w:color w:val="000000" w:themeColor="text1"/>
          <w:sz w:val="32"/>
          <w:szCs w:val="32"/>
          <w14:textFill>
            <w14:solidFill>
              <w14:schemeClr w14:val="tx1"/>
            </w14:solidFill>
          </w14:textFill>
        </w:rPr>
        <w:t>、负责畜禽改良、动物防疫、动物及其产品检验检疫、动物防疫监督、检测、兽医医政、兽药药政及畜牧兽医行政执法，以及全县畜禽生产经营管理工作。</w:t>
      </w:r>
    </w:p>
    <w:p>
      <w:pPr>
        <w:adjustRightInd w:val="0"/>
        <w:snapToGrid w:val="0"/>
        <w:spacing w:line="360" w:lineRule="auto"/>
        <w:ind w:firstLine="640" w:firstLineChars="200"/>
        <w:outlineLvl w:val="0"/>
        <w:rPr>
          <w:rFonts w:hint="eastAsia" w:ascii="仿宋_GB2312" w:eastAsia="仿宋_GB2312"/>
          <w:b w:val="0"/>
          <w:bCs w:val="0"/>
          <w:color w:val="000000" w:themeColor="text1"/>
          <w:sz w:val="32"/>
          <w:szCs w:val="32"/>
          <w14:textFill>
            <w14:solidFill>
              <w14:schemeClr w14:val="tx1"/>
            </w14:solidFill>
          </w14:textFill>
        </w:rPr>
      </w:pPr>
      <w:r>
        <w:rPr>
          <w:rFonts w:hint="eastAsia" w:ascii="仿宋_GB2312" w:eastAsia="仿宋_GB2312"/>
          <w:b w:val="0"/>
          <w:bCs w:val="0"/>
          <w:color w:val="000000" w:themeColor="text1"/>
          <w:sz w:val="32"/>
          <w:szCs w:val="32"/>
          <w:lang w:val="en-US" w:eastAsia="zh-CN"/>
          <w14:textFill>
            <w14:solidFill>
              <w14:schemeClr w14:val="tx1"/>
            </w14:solidFill>
          </w14:textFill>
        </w:rPr>
        <w:t>5</w:t>
      </w:r>
      <w:r>
        <w:rPr>
          <w:rFonts w:hint="eastAsia" w:ascii="仿宋_GB2312" w:eastAsia="仿宋_GB2312"/>
          <w:b w:val="0"/>
          <w:bCs w:val="0"/>
          <w:color w:val="000000" w:themeColor="text1"/>
          <w:sz w:val="32"/>
          <w:szCs w:val="32"/>
          <w14:textFill>
            <w14:solidFill>
              <w14:schemeClr w14:val="tx1"/>
            </w14:solidFill>
          </w14:textFill>
        </w:rPr>
        <w:t>、按照审批权限，负责绿色农产品基地、畜牧业基地的认定、论证、申报、实施和监督管理工作。</w:t>
      </w:r>
    </w:p>
    <w:p>
      <w:pPr>
        <w:pStyle w:val="3"/>
        <w:tabs>
          <w:tab w:val="left" w:pos="880"/>
        </w:tabs>
        <w:kinsoku w:val="0"/>
        <w:overflowPunct w:val="0"/>
        <w:spacing w:before="0"/>
        <w:ind w:left="420" w:leftChars="200" w:firstLine="320" w:firstLineChars="100"/>
        <w:jc w:val="left"/>
        <w:rPr>
          <w:rFonts w:ascii="仿宋_GB2312" w:hAnsi="仿宋_GB2312" w:eastAsia="仿宋_GB2312" w:cs="仿宋_GB2312"/>
          <w:bCs/>
          <w:szCs w:val="32"/>
        </w:rPr>
      </w:pPr>
      <w:r>
        <w:rPr>
          <w:rFonts w:hint="eastAsia" w:ascii="仿宋_GB2312" w:eastAsia="仿宋_GB2312"/>
          <w:b w:val="0"/>
          <w:bCs w:val="0"/>
          <w:color w:val="000000" w:themeColor="text1"/>
          <w:sz w:val="32"/>
          <w:szCs w:val="32"/>
          <w:lang w:val="en-US" w:eastAsia="zh-CN"/>
          <w14:textFill>
            <w14:solidFill>
              <w14:schemeClr w14:val="tx1"/>
            </w14:solidFill>
          </w14:textFill>
        </w:rPr>
        <w:t>6</w:t>
      </w:r>
      <w:r>
        <w:rPr>
          <w:rFonts w:hint="eastAsia" w:ascii="仿宋_GB2312" w:eastAsia="仿宋_GB2312"/>
          <w:b w:val="0"/>
          <w:bCs w:val="0"/>
          <w:color w:val="000000" w:themeColor="text1"/>
          <w:sz w:val="32"/>
          <w:szCs w:val="32"/>
          <w14:textFill>
            <w14:solidFill>
              <w14:schemeClr w14:val="tx1"/>
            </w14:solidFill>
          </w14:textFill>
        </w:rPr>
        <w:t>、承办县政府交办的其他事项。</w:t>
      </w:r>
    </w:p>
    <w:p>
      <w:pPr>
        <w:pStyle w:val="3"/>
        <w:tabs>
          <w:tab w:val="left" w:pos="880"/>
        </w:tabs>
        <w:kinsoku w:val="0"/>
        <w:overflowPunct w:val="0"/>
        <w:spacing w:before="0"/>
        <w:ind w:left="420" w:leftChars="200" w:firstLine="320" w:firstLineChars="100"/>
        <w:jc w:val="left"/>
        <w:rPr>
          <w:rFonts w:ascii="仿宋_GB2312" w:hAnsi="仿宋_GB2312" w:eastAsia="仿宋_GB2312" w:cs="仿宋_GB2312"/>
          <w:bCs/>
          <w:szCs w:val="32"/>
        </w:rPr>
      </w:pPr>
    </w:p>
    <w:p>
      <w:pPr>
        <w:pStyle w:val="3"/>
        <w:tabs>
          <w:tab w:val="left" w:pos="880"/>
        </w:tabs>
        <w:kinsoku w:val="0"/>
        <w:overflowPunct w:val="0"/>
        <w:spacing w:before="0"/>
        <w:ind w:left="420" w:leftChars="200" w:firstLine="320" w:firstLineChars="100"/>
        <w:jc w:val="left"/>
        <w:rPr>
          <w:rFonts w:hint="default" w:ascii="仿宋_GB2312" w:hAnsi="仿宋_GB2312" w:eastAsia="仿宋_GB2312" w:cs="仿宋_GB2312"/>
          <w:bCs/>
          <w:szCs w:val="32"/>
        </w:rPr>
      </w:pP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hint="eastAsia" w:ascii="黑体" w:hAnsi="黑体" w:eastAsia="黑体" w:cs="黑体"/>
          <w:bCs/>
          <w:szCs w:val="32"/>
        </w:rPr>
        <w:t>淮滨县动物卫生监督所</w:t>
      </w:r>
      <w:r>
        <w:rPr>
          <w:rFonts w:hint="eastAsia" w:ascii="黑体" w:hAnsi="黑体" w:eastAsia="黑体" w:cs="黑体"/>
          <w:bCs/>
          <w:szCs w:val="32"/>
          <w:lang w:eastAsia="zh-CN"/>
        </w:rPr>
        <w:t>内设机构设置</w:t>
      </w:r>
      <w:r>
        <w:rPr>
          <w:rFonts w:ascii="黑体" w:hAnsi="黑体" w:eastAsia="黑体" w:cs="黑体"/>
          <w:bCs/>
          <w:szCs w:val="32"/>
        </w:rPr>
        <w:t>情况</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淮滨县动物卫生监督所</w:t>
      </w:r>
      <w:r>
        <w:rPr>
          <w:rFonts w:hint="eastAsia" w:ascii="仿宋_GB2312" w:hAnsi="仿宋_GB2312" w:eastAsia="仿宋_GB2312" w:cs="仿宋_GB2312"/>
          <w:bCs/>
          <w:sz w:val="32"/>
          <w:szCs w:val="32"/>
          <w:lang w:eastAsia="zh-CN"/>
        </w:rPr>
        <w:t>为二级事业单位，现有：</w:t>
      </w:r>
      <w:r>
        <w:rPr>
          <w:rFonts w:hint="eastAsia" w:ascii="仿宋_GB2312" w:hAnsi="仿宋_GB2312" w:eastAsia="仿宋_GB2312" w:cs="仿宋_GB2312"/>
          <w:bCs/>
          <w:sz w:val="32"/>
          <w:szCs w:val="32"/>
        </w:rPr>
        <w:t>办公室</w:t>
      </w:r>
      <w:r>
        <w:rPr>
          <w:rFonts w:hint="eastAsia" w:ascii="仿宋_GB2312" w:hAnsi="仿宋_GB2312" w:eastAsia="仿宋_GB2312" w:cs="仿宋_GB2312"/>
          <w:bCs/>
          <w:sz w:val="32"/>
          <w:szCs w:val="32"/>
          <w:lang w:eastAsia="zh-CN"/>
        </w:rPr>
        <w:t>等</w:t>
      </w:r>
      <w:r>
        <w:rPr>
          <w:rFonts w:hint="eastAsia" w:ascii="仿宋_GB2312" w:hAnsi="仿宋_GB2312" w:eastAsia="仿宋_GB2312" w:cs="仿宋_GB2312"/>
          <w:bCs/>
          <w:sz w:val="32"/>
          <w:szCs w:val="32"/>
          <w:lang w:val="en-US" w:eastAsia="zh-CN"/>
        </w:rPr>
        <w:t>1个</w:t>
      </w:r>
      <w:r>
        <w:rPr>
          <w:rFonts w:hint="eastAsia" w:ascii="仿宋_GB2312" w:hAnsi="仿宋_GB2312" w:eastAsia="仿宋_GB2312" w:cs="仿宋_GB2312"/>
          <w:bCs/>
          <w:sz w:val="32"/>
          <w:szCs w:val="32"/>
          <w:lang w:eastAsia="zh-CN"/>
        </w:rPr>
        <w:t>内设科室</w:t>
      </w:r>
      <w:r>
        <w:rPr>
          <w:rFonts w:hint="eastAsia" w:ascii="仿宋_GB2312" w:hAnsi="仿宋_GB2312" w:eastAsia="仿宋_GB2312" w:cs="仿宋_GB2312"/>
          <w:bCs/>
          <w:sz w:val="32"/>
          <w:szCs w:val="32"/>
        </w:rPr>
        <w:t>。</w:t>
      </w: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hint="eastAsia" w:ascii="黑体" w:hAnsi="黑体" w:eastAsia="黑体" w:cs="黑体"/>
          <w:bCs/>
          <w:szCs w:val="32"/>
        </w:rPr>
        <w:t>淮滨县动物卫生监督所</w:t>
      </w:r>
      <w:r>
        <w:rPr>
          <w:rFonts w:ascii="黑体" w:hAnsi="黑体" w:eastAsia="黑体" w:cs="黑体"/>
          <w:bCs/>
          <w:szCs w:val="32"/>
        </w:rPr>
        <w:t>预算单位构成情况</w:t>
      </w:r>
    </w:p>
    <w:p>
      <w:pPr>
        <w:ind w:firstLine="640" w:firstLineChars="200"/>
        <w:jc w:val="lef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淮滨县动物卫生监督所202</w:t>
      </w:r>
      <w:r>
        <w:rPr>
          <w:rFonts w:hint="eastAsia" w:ascii="仿宋_GB2312" w:hAnsi="仿宋_GB2312" w:eastAsia="仿宋_GB2312" w:cs="仿宋_GB2312"/>
          <w:bCs/>
          <w:sz w:val="32"/>
          <w:szCs w:val="32"/>
          <w:lang w:val="en-US" w:eastAsia="zh-CN"/>
        </w:rPr>
        <w:t>3</w:t>
      </w:r>
      <w:r>
        <w:rPr>
          <w:rFonts w:hint="eastAsia" w:ascii="仿宋_GB2312" w:hAnsi="仿宋_GB2312" w:eastAsia="仿宋_GB2312" w:cs="仿宋_GB2312"/>
          <w:bCs/>
          <w:sz w:val="32"/>
          <w:szCs w:val="32"/>
        </w:rPr>
        <w:t>年部门预算包括本级预算</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本单位无所属二级机构预算。</w:t>
      </w:r>
    </w:p>
    <w:p>
      <w:pPr>
        <w:ind w:firstLine="640" w:firstLineChars="200"/>
        <w:jc w:val="left"/>
        <w:rPr>
          <w:rFonts w:ascii="仿宋_GB2312" w:hAnsi="仿宋_GB2312" w:eastAsia="仿宋_GB2312" w:cs="仿宋_GB2312"/>
          <w:bCs/>
          <w:sz w:val="32"/>
          <w:szCs w:val="32"/>
        </w:rPr>
      </w:pPr>
    </w:p>
    <w:p>
      <w:pPr>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jc w:val="center"/>
        <w:rPr>
          <w:rFonts w:ascii="黑体" w:hAnsi="黑体" w:eastAsia="黑体" w:cs="黑体"/>
          <w:b/>
          <w:bCs/>
          <w:sz w:val="36"/>
          <w:szCs w:val="36"/>
        </w:rPr>
      </w:pPr>
      <w:r>
        <w:rPr>
          <w:rFonts w:hint="eastAsia" w:ascii="黑体" w:hAnsi="黑体" w:eastAsia="黑体" w:cs="黑体"/>
          <w:b/>
          <w:bCs/>
          <w:sz w:val="36"/>
          <w:szCs w:val="36"/>
        </w:rPr>
        <w:t>第二部分</w:t>
      </w:r>
    </w:p>
    <w:p>
      <w:pPr>
        <w:jc w:val="center"/>
        <w:rPr>
          <w:rFonts w:ascii="黑体" w:hAnsi="黑体" w:eastAsia="黑体" w:cs="黑体"/>
          <w:b/>
          <w:bCs/>
          <w:sz w:val="36"/>
          <w:szCs w:val="36"/>
        </w:rPr>
      </w:pPr>
      <w:r>
        <w:rPr>
          <w:rFonts w:hint="eastAsia" w:ascii="黑体" w:hAnsi="黑体" w:eastAsia="黑体" w:cs="黑体"/>
          <w:b/>
          <w:bCs/>
          <w:sz w:val="36"/>
          <w:szCs w:val="36"/>
        </w:rPr>
        <w:t>淮滨县动物卫生监督所</w:t>
      </w:r>
      <w:r>
        <w:rPr>
          <w:rFonts w:hint="eastAsia" w:ascii="黑体" w:hAnsi="黑体" w:eastAsia="黑体" w:cs="黑体"/>
          <w:b/>
          <w:bCs/>
          <w:sz w:val="36"/>
          <w:szCs w:val="36"/>
          <w:lang w:eastAsia="zh-CN"/>
        </w:rPr>
        <w:t>2023年</w:t>
      </w:r>
      <w:r>
        <w:rPr>
          <w:rFonts w:hint="eastAsia" w:ascii="黑体" w:hAnsi="黑体" w:eastAsia="黑体" w:cs="黑体"/>
          <w:b/>
          <w:bCs/>
          <w:sz w:val="36"/>
          <w:szCs w:val="36"/>
        </w:rPr>
        <w:t>度部门预算情况说明</w:t>
      </w:r>
    </w:p>
    <w:p>
      <w:pPr>
        <w:jc w:val="center"/>
        <w:rPr>
          <w:rFonts w:ascii="黑体" w:hAnsi="黑体" w:eastAsia="黑体" w:cs="黑体"/>
          <w:b/>
          <w:bCs/>
          <w:sz w:val="36"/>
          <w:szCs w:val="36"/>
        </w:rPr>
      </w:pPr>
    </w:p>
    <w:p>
      <w:pPr>
        <w:numPr>
          <w:ilvl w:val="0"/>
          <w:numId w:val="5"/>
        </w:numPr>
        <w:ind w:firstLine="640"/>
        <w:jc w:val="left"/>
        <w:rPr>
          <w:rFonts w:ascii="黑体" w:hAnsi="黑体" w:eastAsia="黑体" w:cs="黑体"/>
          <w:sz w:val="32"/>
          <w:szCs w:val="32"/>
        </w:rPr>
      </w:pPr>
      <w:r>
        <w:rPr>
          <w:rFonts w:hint="eastAsia" w:ascii="黑体" w:hAnsi="黑体" w:eastAsia="黑体" w:cs="黑体"/>
          <w:sz w:val="32"/>
          <w:szCs w:val="32"/>
        </w:rPr>
        <w:t>收入支出预算总体情况说明</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淮滨县动物卫生监督所</w:t>
      </w:r>
      <w:r>
        <w:rPr>
          <w:rFonts w:hint="eastAsia" w:ascii="仿宋" w:hAnsi="仿宋" w:eastAsia="仿宋" w:cs="仿宋"/>
          <w:sz w:val="32"/>
          <w:szCs w:val="32"/>
          <w:lang w:eastAsia="zh-CN"/>
        </w:rPr>
        <w:t>2023年</w:t>
      </w:r>
      <w:r>
        <w:rPr>
          <w:rFonts w:hint="eastAsia" w:ascii="仿宋" w:hAnsi="仿宋" w:eastAsia="仿宋" w:cs="仿宋"/>
          <w:sz w:val="32"/>
          <w:szCs w:val="32"/>
        </w:rPr>
        <w:t>收入总计</w:t>
      </w:r>
      <w:r>
        <w:rPr>
          <w:rFonts w:hint="eastAsia" w:ascii="仿宋" w:hAnsi="仿宋" w:eastAsia="仿宋" w:cs="仿宋"/>
          <w:sz w:val="32"/>
          <w:szCs w:val="32"/>
          <w:lang w:val="en-US" w:eastAsia="zh-CN"/>
        </w:rPr>
        <w:t>262.18</w:t>
      </w:r>
      <w:r>
        <w:rPr>
          <w:rFonts w:hint="eastAsia" w:ascii="仿宋" w:hAnsi="仿宋" w:eastAsia="仿宋" w:cs="仿宋"/>
          <w:sz w:val="32"/>
          <w:szCs w:val="32"/>
        </w:rPr>
        <w:t>万元，支出总计</w:t>
      </w:r>
      <w:r>
        <w:rPr>
          <w:rFonts w:hint="eastAsia" w:ascii="仿宋" w:hAnsi="仿宋" w:eastAsia="仿宋" w:cs="仿宋"/>
          <w:sz w:val="32"/>
          <w:szCs w:val="32"/>
          <w:lang w:val="en-US" w:eastAsia="zh-CN"/>
        </w:rPr>
        <w:t>262.18</w:t>
      </w:r>
      <w:r>
        <w:rPr>
          <w:rFonts w:hint="eastAsia" w:ascii="仿宋" w:hAnsi="仿宋" w:eastAsia="仿宋" w:cs="仿宋"/>
          <w:sz w:val="32"/>
          <w:szCs w:val="32"/>
        </w:rPr>
        <w:t>万元,与202</w:t>
      </w:r>
      <w:r>
        <w:rPr>
          <w:rFonts w:hint="eastAsia" w:ascii="仿宋" w:hAnsi="仿宋" w:eastAsia="仿宋" w:cs="仿宋"/>
          <w:sz w:val="32"/>
          <w:szCs w:val="32"/>
          <w:lang w:val="en-US" w:eastAsia="zh-CN"/>
        </w:rPr>
        <w:t>2</w:t>
      </w:r>
      <w:r>
        <w:rPr>
          <w:rFonts w:hint="eastAsia" w:ascii="仿宋" w:hAnsi="仿宋" w:eastAsia="仿宋" w:cs="仿宋"/>
          <w:sz w:val="32"/>
          <w:szCs w:val="32"/>
        </w:rPr>
        <w:t>年相比，收、支总计各增加</w:t>
      </w:r>
      <w:r>
        <w:rPr>
          <w:rFonts w:hint="eastAsia" w:ascii="仿宋" w:hAnsi="仿宋" w:eastAsia="仿宋" w:cs="仿宋"/>
          <w:sz w:val="32"/>
          <w:szCs w:val="32"/>
          <w:lang w:val="en-US" w:eastAsia="zh-CN"/>
        </w:rPr>
        <w:t>3.8</w:t>
      </w:r>
      <w:r>
        <w:rPr>
          <w:rFonts w:hint="eastAsia" w:ascii="仿宋" w:hAnsi="仿宋" w:eastAsia="仿宋" w:cs="仿宋"/>
          <w:sz w:val="32"/>
          <w:szCs w:val="32"/>
        </w:rPr>
        <w:t>万元，增长</w:t>
      </w:r>
      <w:r>
        <w:rPr>
          <w:rFonts w:hint="eastAsia" w:ascii="仿宋" w:hAnsi="仿宋" w:eastAsia="仿宋" w:cs="仿宋"/>
          <w:sz w:val="32"/>
          <w:szCs w:val="32"/>
          <w:lang w:val="en-US" w:eastAsia="zh-CN"/>
        </w:rPr>
        <w:t>1.47</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调整人员薪资，人员经费增加</w:t>
      </w:r>
      <w:r>
        <w:rPr>
          <w:rFonts w:hint="eastAsia" w:ascii="仿宋" w:hAnsi="仿宋" w:eastAsia="仿宋" w:cs="仿宋"/>
          <w:sz w:val="32"/>
          <w:szCs w:val="32"/>
        </w:rPr>
        <w:t>。</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drawing>
          <wp:inline distT="0" distB="0" distL="0" distR="0">
            <wp:extent cx="5340350" cy="3567430"/>
            <wp:effectExtent l="4445" t="4445" r="14605" b="95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jc w:val="left"/>
        <w:rPr>
          <w:rFonts w:ascii="仿宋" w:hAnsi="仿宋" w:eastAsia="仿宋" w:cs="仿宋"/>
          <w:sz w:val="32"/>
          <w:szCs w:val="32"/>
        </w:rPr>
      </w:pPr>
    </w:p>
    <w:p>
      <w:pPr>
        <w:numPr>
          <w:ilvl w:val="0"/>
          <w:numId w:val="5"/>
        </w:numPr>
        <w:ind w:firstLine="640"/>
        <w:jc w:val="left"/>
        <w:rPr>
          <w:rFonts w:ascii="黑体" w:hAnsi="黑体" w:eastAsia="黑体"/>
          <w:sz w:val="32"/>
        </w:rPr>
      </w:pPr>
      <w:r>
        <w:rPr>
          <w:rFonts w:hint="eastAsia" w:ascii="黑体" w:hAnsi="黑体" w:eastAsia="黑体"/>
          <w:sz w:val="32"/>
        </w:rPr>
        <w:t>收入预算总体情况说明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淮滨县动物卫生监督所</w:t>
      </w:r>
      <w:r>
        <w:rPr>
          <w:rFonts w:hint="eastAsia" w:ascii="仿宋" w:hAnsi="仿宋" w:eastAsia="仿宋" w:cs="仿宋"/>
          <w:sz w:val="32"/>
          <w:lang w:eastAsia="zh-CN"/>
        </w:rPr>
        <w:t>2023年</w:t>
      </w:r>
      <w:r>
        <w:rPr>
          <w:rFonts w:hint="eastAsia" w:ascii="仿宋" w:hAnsi="仿宋" w:eastAsia="仿宋" w:cs="仿宋"/>
          <w:sz w:val="32"/>
        </w:rPr>
        <w:t>收入合计</w:t>
      </w:r>
      <w:r>
        <w:rPr>
          <w:rFonts w:hint="eastAsia" w:ascii="仿宋" w:hAnsi="仿宋" w:eastAsia="仿宋" w:cs="仿宋"/>
          <w:sz w:val="32"/>
          <w:szCs w:val="32"/>
          <w:lang w:val="en-US" w:eastAsia="zh-CN"/>
        </w:rPr>
        <w:t>262.18</w:t>
      </w:r>
      <w:r>
        <w:rPr>
          <w:rFonts w:hint="eastAsia" w:ascii="仿宋" w:hAnsi="仿宋" w:eastAsia="仿宋" w:cs="仿宋"/>
          <w:sz w:val="32"/>
        </w:rPr>
        <w:t>万元，其中：一般公共预算收入</w:t>
      </w:r>
      <w:r>
        <w:rPr>
          <w:rFonts w:hint="eastAsia" w:ascii="仿宋" w:hAnsi="仿宋" w:eastAsia="仿宋" w:cs="仿宋"/>
          <w:sz w:val="32"/>
          <w:szCs w:val="32"/>
          <w:lang w:val="en-US" w:eastAsia="zh-CN"/>
        </w:rPr>
        <w:t>262.18</w:t>
      </w:r>
      <w:r>
        <w:rPr>
          <w:rFonts w:hint="eastAsia" w:ascii="仿宋" w:hAnsi="仿宋" w:eastAsia="仿宋" w:cs="仿宋"/>
          <w:sz w:val="32"/>
        </w:rPr>
        <w:t>万元，上年结转结余</w:t>
      </w:r>
      <w:r>
        <w:rPr>
          <w:rFonts w:hint="eastAsia" w:ascii="仿宋" w:hAnsi="仿宋" w:eastAsia="仿宋" w:cs="仿宋"/>
          <w:sz w:val="32"/>
          <w:lang w:val="en-US" w:eastAsia="zh-CN"/>
        </w:rPr>
        <w:t>0</w:t>
      </w:r>
      <w:r>
        <w:rPr>
          <w:rFonts w:hint="eastAsia" w:ascii="仿宋" w:hAnsi="仿宋" w:eastAsia="仿宋" w:cs="仿宋"/>
          <w:sz w:val="32"/>
        </w:rPr>
        <w:t>万元。</w:t>
      </w:r>
    </w:p>
    <w:p>
      <w:pPr>
        <w:jc w:val="left"/>
        <w:rPr>
          <w:rFonts w:ascii="仿宋" w:hAnsi="仿宋" w:eastAsia="仿宋" w:cs="仿宋"/>
          <w:sz w:val="32"/>
        </w:rPr>
      </w:pPr>
      <w:r>
        <w:rPr>
          <w:rFonts w:hint="eastAsia" w:ascii="仿宋" w:hAnsi="仿宋" w:eastAsia="仿宋" w:cs="仿宋"/>
          <w:sz w:val="32"/>
        </w:rPr>
        <w:drawing>
          <wp:inline distT="0" distB="0" distL="0" distR="0">
            <wp:extent cx="5359400" cy="3141980"/>
            <wp:effectExtent l="4445" t="4445" r="8255" b="1587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numPr>
          <w:ilvl w:val="0"/>
          <w:numId w:val="5"/>
        </w:numPr>
        <w:ind w:firstLine="640"/>
        <w:jc w:val="left"/>
        <w:rPr>
          <w:rFonts w:ascii="黑体" w:hAnsi="黑体" w:eastAsia="黑体"/>
          <w:sz w:val="32"/>
        </w:rPr>
      </w:pPr>
      <w:r>
        <w:rPr>
          <w:rFonts w:hint="eastAsia" w:ascii="黑体" w:hAnsi="黑体" w:eastAsia="黑体"/>
          <w:sz w:val="32"/>
        </w:rPr>
        <w:t>支出预算总体情况说明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淮滨县动物卫生监督所</w:t>
      </w:r>
      <w:r>
        <w:rPr>
          <w:rFonts w:hint="eastAsia" w:ascii="仿宋" w:hAnsi="仿宋" w:eastAsia="仿宋" w:cs="仿宋"/>
          <w:sz w:val="32"/>
          <w:lang w:eastAsia="zh-CN"/>
        </w:rPr>
        <w:t>2023年</w:t>
      </w:r>
      <w:r>
        <w:rPr>
          <w:rFonts w:hint="eastAsia" w:ascii="仿宋" w:hAnsi="仿宋" w:eastAsia="仿宋" w:cs="仿宋"/>
          <w:sz w:val="32"/>
        </w:rPr>
        <w:t>支出合计</w:t>
      </w:r>
      <w:r>
        <w:rPr>
          <w:rFonts w:hint="eastAsia" w:ascii="仿宋" w:hAnsi="仿宋" w:eastAsia="仿宋" w:cs="仿宋"/>
          <w:sz w:val="32"/>
          <w:szCs w:val="32"/>
          <w:lang w:val="en-US" w:eastAsia="zh-CN"/>
        </w:rPr>
        <w:t>262.18</w:t>
      </w:r>
      <w:r>
        <w:rPr>
          <w:rFonts w:hint="eastAsia" w:ascii="仿宋" w:hAnsi="仿宋" w:eastAsia="仿宋" w:cs="仿宋"/>
          <w:sz w:val="32"/>
        </w:rPr>
        <w:t>万元，其中：基本支出</w:t>
      </w:r>
      <w:r>
        <w:rPr>
          <w:rFonts w:hint="eastAsia" w:ascii="仿宋" w:hAnsi="仿宋" w:eastAsia="仿宋" w:cs="仿宋"/>
          <w:sz w:val="32"/>
          <w:lang w:val="en-US" w:eastAsia="zh-CN"/>
        </w:rPr>
        <w:t>252.18</w:t>
      </w:r>
      <w:r>
        <w:rPr>
          <w:rFonts w:hint="eastAsia" w:ascii="仿宋" w:hAnsi="仿宋" w:eastAsia="仿宋" w:cs="仿宋"/>
          <w:sz w:val="32"/>
        </w:rPr>
        <w:t>万元，占</w:t>
      </w:r>
      <w:r>
        <w:rPr>
          <w:rFonts w:hint="eastAsia" w:ascii="仿宋" w:hAnsi="仿宋" w:eastAsia="仿宋" w:cs="仿宋"/>
          <w:sz w:val="32"/>
          <w:lang w:val="en-US" w:eastAsia="zh-CN"/>
        </w:rPr>
        <w:t>96</w:t>
      </w:r>
      <w:r>
        <w:rPr>
          <w:rFonts w:hint="eastAsia" w:ascii="仿宋" w:hAnsi="仿宋" w:eastAsia="仿宋" w:cs="仿宋"/>
          <w:sz w:val="32"/>
        </w:rPr>
        <w:t>%；项目支出</w:t>
      </w:r>
      <w:r>
        <w:rPr>
          <w:rFonts w:hint="eastAsia" w:ascii="仿宋" w:hAnsi="仿宋" w:eastAsia="仿宋" w:cs="仿宋"/>
          <w:sz w:val="32"/>
          <w:lang w:val="en-US" w:eastAsia="zh-CN"/>
        </w:rPr>
        <w:t>10</w:t>
      </w:r>
      <w:r>
        <w:rPr>
          <w:rFonts w:hint="eastAsia" w:ascii="仿宋" w:hAnsi="仿宋" w:eastAsia="仿宋" w:cs="仿宋"/>
          <w:sz w:val="32"/>
        </w:rPr>
        <w:t>万元，占</w:t>
      </w:r>
      <w:r>
        <w:rPr>
          <w:rFonts w:hint="eastAsia" w:ascii="仿宋" w:hAnsi="仿宋" w:eastAsia="仿宋" w:cs="仿宋"/>
          <w:sz w:val="32"/>
          <w:lang w:val="en-US" w:eastAsia="zh-CN"/>
        </w:rPr>
        <w:t>4</w:t>
      </w:r>
      <w:r>
        <w:rPr>
          <w:rFonts w:hint="eastAsia" w:ascii="仿宋" w:hAnsi="仿宋" w:eastAsia="仿宋" w:cs="仿宋"/>
          <w:sz w:val="32"/>
        </w:rPr>
        <w:t>%。</w:t>
      </w:r>
    </w:p>
    <w:p>
      <w:pPr>
        <w:jc w:val="left"/>
        <w:rPr>
          <w:rFonts w:ascii="仿宋" w:hAnsi="仿宋" w:eastAsia="仿宋" w:cs="仿宋"/>
          <w:sz w:val="32"/>
        </w:rPr>
      </w:pPr>
      <w:r>
        <w:rPr>
          <w:rFonts w:hint="eastAsia" w:ascii="仿宋" w:hAnsi="仿宋" w:eastAsia="仿宋" w:cs="仿宋"/>
          <w:sz w:val="32"/>
        </w:rPr>
        <w:drawing>
          <wp:inline distT="0" distB="0" distL="0" distR="0">
            <wp:extent cx="5233035" cy="3181350"/>
            <wp:effectExtent l="5080" t="4445" r="6985" b="1460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numPr>
          <w:ilvl w:val="0"/>
          <w:numId w:val="5"/>
        </w:numPr>
        <w:ind w:firstLine="640"/>
        <w:jc w:val="left"/>
        <w:rPr>
          <w:rFonts w:ascii="黑体" w:hAnsi="黑体" w:eastAsia="黑体" w:cs="黑体"/>
          <w:sz w:val="32"/>
        </w:rPr>
      </w:pPr>
      <w:r>
        <w:rPr>
          <w:rFonts w:hint="eastAsia" w:ascii="黑体" w:hAnsi="黑体" w:eastAsia="黑体" w:cs="黑体"/>
          <w:sz w:val="32"/>
        </w:rPr>
        <w:t>财政拨款收支预算总体情况说明</w:t>
      </w:r>
    </w:p>
    <w:p>
      <w:pPr>
        <w:ind w:firstLine="640" w:firstLineChars="200"/>
        <w:jc w:val="left"/>
        <w:rPr>
          <w:rFonts w:hint="eastAsia" w:ascii="仿宋" w:hAnsi="仿宋" w:eastAsia="仿宋" w:cs="仿宋"/>
          <w:sz w:val="32"/>
          <w:szCs w:val="32"/>
        </w:rPr>
      </w:pPr>
      <w:r>
        <w:rPr>
          <w:rFonts w:hint="eastAsia" w:ascii="仿宋" w:hAnsi="仿宋" w:eastAsia="仿宋" w:cs="仿宋"/>
          <w:sz w:val="32"/>
        </w:rPr>
        <w:t>淮滨县动物卫生监督所</w:t>
      </w:r>
      <w:r>
        <w:rPr>
          <w:rFonts w:hint="eastAsia" w:ascii="仿宋" w:hAnsi="仿宋" w:eastAsia="仿宋" w:cs="仿宋"/>
          <w:sz w:val="32"/>
          <w:lang w:eastAsia="zh-CN"/>
        </w:rPr>
        <w:t>2023年</w:t>
      </w:r>
      <w:r>
        <w:rPr>
          <w:rFonts w:hint="eastAsia" w:ascii="仿宋" w:hAnsi="仿宋" w:eastAsia="仿宋" w:cs="仿宋"/>
          <w:sz w:val="32"/>
        </w:rPr>
        <w:t>一般公共预算收支预算</w:t>
      </w:r>
      <w:r>
        <w:rPr>
          <w:rFonts w:hint="eastAsia" w:ascii="仿宋" w:hAnsi="仿宋" w:eastAsia="仿宋" w:cs="仿宋"/>
          <w:sz w:val="32"/>
          <w:lang w:val="en-US" w:eastAsia="zh-CN"/>
        </w:rPr>
        <w:t>262.18</w:t>
      </w:r>
      <w:r>
        <w:rPr>
          <w:rFonts w:hint="eastAsia" w:ascii="仿宋" w:hAnsi="仿宋" w:eastAsia="仿宋" w:cs="仿宋"/>
          <w:sz w:val="32"/>
        </w:rPr>
        <w:t>万元，无政府性基金预算和国有资本经营预算。与</w:t>
      </w:r>
      <w:r>
        <w:rPr>
          <w:rFonts w:hint="eastAsia" w:ascii="仿宋" w:hAnsi="仿宋" w:eastAsia="仿宋" w:cs="仿宋"/>
          <w:sz w:val="32"/>
          <w:lang w:eastAsia="zh-CN"/>
        </w:rPr>
        <w:t>2022年</w:t>
      </w:r>
      <w:r>
        <w:rPr>
          <w:rFonts w:hint="eastAsia" w:ascii="仿宋" w:hAnsi="仿宋" w:eastAsia="仿宋" w:cs="仿宋"/>
          <w:sz w:val="32"/>
        </w:rPr>
        <w:t>相比，一般公共预算收支预算增加</w:t>
      </w:r>
      <w:r>
        <w:rPr>
          <w:rFonts w:hint="eastAsia" w:ascii="仿宋" w:hAnsi="仿宋" w:eastAsia="仿宋" w:cs="仿宋"/>
          <w:sz w:val="32"/>
          <w:szCs w:val="32"/>
          <w:lang w:val="en-US" w:eastAsia="zh-CN"/>
        </w:rPr>
        <w:t>3.8</w:t>
      </w:r>
      <w:r>
        <w:rPr>
          <w:rFonts w:hint="eastAsia" w:ascii="仿宋" w:hAnsi="仿宋" w:eastAsia="仿宋" w:cs="仿宋"/>
          <w:sz w:val="32"/>
          <w:szCs w:val="32"/>
        </w:rPr>
        <w:t>万元，增长</w:t>
      </w:r>
      <w:r>
        <w:rPr>
          <w:rFonts w:hint="eastAsia" w:ascii="仿宋" w:hAnsi="仿宋" w:eastAsia="仿宋" w:cs="仿宋"/>
          <w:sz w:val="32"/>
          <w:szCs w:val="32"/>
          <w:lang w:val="en-US" w:eastAsia="zh-CN"/>
        </w:rPr>
        <w:t>1.47</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调整人员薪资，人员经费增加</w:t>
      </w:r>
      <w:r>
        <w:rPr>
          <w:rFonts w:hint="eastAsia" w:ascii="仿宋" w:hAnsi="仿宋" w:eastAsia="仿宋" w:cs="仿宋"/>
          <w:sz w:val="32"/>
          <w:szCs w:val="32"/>
        </w:rPr>
        <w:t>。</w:t>
      </w:r>
    </w:p>
    <w:p>
      <w:pPr>
        <w:ind w:firstLine="640" w:firstLineChars="200"/>
        <w:jc w:val="left"/>
        <w:rPr>
          <w:rFonts w:ascii="仿宋" w:hAnsi="仿宋" w:eastAsia="仿宋" w:cs="仿宋"/>
          <w:sz w:val="32"/>
        </w:rPr>
      </w:pPr>
    </w:p>
    <w:p>
      <w:pPr>
        <w:jc w:val="left"/>
        <w:rPr>
          <w:rFonts w:ascii="仿宋" w:hAnsi="仿宋" w:eastAsia="仿宋" w:cs="仿宋"/>
          <w:sz w:val="32"/>
        </w:rPr>
      </w:pPr>
      <w:r>
        <w:rPr>
          <w:rFonts w:hint="eastAsia" w:ascii="仿宋" w:hAnsi="仿宋" w:eastAsia="仿宋" w:cs="仿宋"/>
          <w:sz w:val="32"/>
          <w:szCs w:val="32"/>
        </w:rPr>
        <w:drawing>
          <wp:inline distT="0" distB="0" distL="0" distR="0">
            <wp:extent cx="5274310" cy="3526790"/>
            <wp:effectExtent l="4445" t="4445" r="17145" b="1206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numPr>
          <w:ilvl w:val="0"/>
          <w:numId w:val="5"/>
        </w:numPr>
        <w:ind w:firstLine="640"/>
        <w:jc w:val="left"/>
        <w:rPr>
          <w:rFonts w:ascii="黑体" w:hAnsi="黑体" w:eastAsia="黑体"/>
          <w:sz w:val="32"/>
        </w:rPr>
      </w:pPr>
      <w:r>
        <w:rPr>
          <w:rFonts w:hint="eastAsia" w:ascii="黑体" w:hAnsi="黑体" w:eastAsia="黑体"/>
          <w:sz w:val="32"/>
        </w:rPr>
        <w:t>一般公共预算支出预算情况说明</w:t>
      </w:r>
    </w:p>
    <w:p>
      <w:pPr>
        <w:ind w:firstLine="640" w:firstLineChars="200"/>
        <w:jc w:val="left"/>
        <w:rPr>
          <w:rFonts w:ascii="仿宋" w:hAnsi="仿宋" w:eastAsia="仿宋" w:cs="仿宋"/>
          <w:sz w:val="32"/>
        </w:rPr>
      </w:pPr>
      <w:r>
        <w:rPr>
          <w:rFonts w:hint="eastAsia" w:ascii="仿宋" w:hAnsi="仿宋" w:eastAsia="仿宋" w:cs="仿宋"/>
          <w:sz w:val="32"/>
        </w:rPr>
        <w:t>淮滨县动物卫生监督所</w:t>
      </w:r>
      <w:r>
        <w:rPr>
          <w:rFonts w:hint="eastAsia" w:ascii="仿宋" w:hAnsi="仿宋" w:eastAsia="仿宋" w:cs="仿宋"/>
          <w:sz w:val="32"/>
          <w:lang w:eastAsia="zh-CN"/>
        </w:rPr>
        <w:t>2023年</w:t>
      </w:r>
      <w:r>
        <w:rPr>
          <w:rFonts w:hint="eastAsia" w:ascii="仿宋" w:hAnsi="仿宋" w:eastAsia="仿宋" w:cs="仿宋"/>
          <w:sz w:val="32"/>
        </w:rPr>
        <w:t>一般公共预算支出年初预算为</w:t>
      </w:r>
      <w:r>
        <w:rPr>
          <w:rFonts w:hint="eastAsia" w:ascii="仿宋" w:hAnsi="仿宋" w:eastAsia="仿宋" w:cs="仿宋"/>
          <w:sz w:val="32"/>
          <w:lang w:val="en-US" w:eastAsia="zh-CN"/>
        </w:rPr>
        <w:t>262.18</w:t>
      </w:r>
      <w:r>
        <w:rPr>
          <w:rFonts w:hint="eastAsia" w:ascii="仿宋" w:hAnsi="仿宋" w:eastAsia="仿宋" w:cs="仿宋"/>
          <w:sz w:val="32"/>
        </w:rPr>
        <w:t>万元。其中：基本支出</w:t>
      </w:r>
      <w:r>
        <w:rPr>
          <w:rFonts w:hint="eastAsia" w:ascii="仿宋" w:hAnsi="仿宋" w:eastAsia="仿宋" w:cs="仿宋"/>
          <w:sz w:val="32"/>
          <w:lang w:val="en-US" w:eastAsia="zh-CN"/>
        </w:rPr>
        <w:t>252.18</w:t>
      </w:r>
      <w:r>
        <w:rPr>
          <w:rFonts w:hint="eastAsia" w:ascii="仿宋" w:hAnsi="仿宋" w:eastAsia="仿宋" w:cs="仿宋"/>
          <w:sz w:val="32"/>
        </w:rPr>
        <w:t>万元，占</w:t>
      </w:r>
      <w:r>
        <w:rPr>
          <w:rFonts w:hint="eastAsia" w:ascii="仿宋" w:hAnsi="仿宋" w:eastAsia="仿宋" w:cs="仿宋"/>
          <w:sz w:val="32"/>
          <w:lang w:val="en-US" w:eastAsia="zh-CN"/>
        </w:rPr>
        <w:t>96</w:t>
      </w:r>
      <w:r>
        <w:rPr>
          <w:rFonts w:hint="eastAsia" w:ascii="仿宋" w:hAnsi="仿宋" w:eastAsia="仿宋" w:cs="仿宋"/>
          <w:sz w:val="32"/>
        </w:rPr>
        <w:t>%;项目支出</w:t>
      </w:r>
      <w:r>
        <w:rPr>
          <w:rFonts w:hint="eastAsia" w:ascii="仿宋" w:hAnsi="仿宋" w:eastAsia="仿宋" w:cs="仿宋"/>
          <w:sz w:val="32"/>
          <w:lang w:val="en-US" w:eastAsia="zh-CN"/>
        </w:rPr>
        <w:t>10</w:t>
      </w:r>
      <w:r>
        <w:rPr>
          <w:rFonts w:hint="eastAsia" w:ascii="仿宋" w:hAnsi="仿宋" w:eastAsia="仿宋" w:cs="仿宋"/>
          <w:sz w:val="32"/>
        </w:rPr>
        <w:t>万元，占</w:t>
      </w:r>
      <w:r>
        <w:rPr>
          <w:rFonts w:hint="eastAsia" w:ascii="仿宋" w:hAnsi="仿宋" w:eastAsia="仿宋" w:cs="仿宋"/>
          <w:sz w:val="32"/>
          <w:lang w:val="en-US" w:eastAsia="zh-CN"/>
        </w:rPr>
        <w:t>4</w:t>
      </w:r>
      <w:r>
        <w:rPr>
          <w:rFonts w:hint="eastAsia" w:ascii="仿宋" w:hAnsi="仿宋" w:eastAsia="仿宋" w:cs="仿宋"/>
          <w:sz w:val="32"/>
        </w:rPr>
        <w:t>%。</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numPr>
          <w:ilvl w:val="0"/>
          <w:numId w:val="5"/>
        </w:numPr>
        <w:ind w:firstLine="640"/>
        <w:jc w:val="left"/>
        <w:rPr>
          <w:rFonts w:ascii="黑体" w:hAnsi="黑体" w:eastAsia="黑体" w:cs="黑体"/>
          <w:color w:val="000000"/>
          <w:sz w:val="32"/>
          <w:szCs w:val="32"/>
        </w:rPr>
      </w:pPr>
      <w:r>
        <w:rPr>
          <w:rFonts w:hint="eastAsia" w:ascii="黑体" w:hAnsi="黑体" w:eastAsia="黑体" w:cs="黑体"/>
          <w:color w:val="000000"/>
          <w:sz w:val="32"/>
          <w:szCs w:val="32"/>
        </w:rPr>
        <w:t>一般公共预算基本支出预算情况说明</w:t>
      </w:r>
    </w:p>
    <w:p>
      <w:pPr>
        <w:ind w:firstLine="640" w:firstLineChars="200"/>
        <w:jc w:val="left"/>
        <w:rPr>
          <w:rFonts w:ascii="仿宋" w:hAnsi="仿宋" w:eastAsia="仿宋" w:cs="仿宋"/>
          <w:color w:val="000000"/>
          <w:sz w:val="32"/>
          <w:szCs w:val="32"/>
        </w:rPr>
      </w:pPr>
      <w:r>
        <w:rPr>
          <w:rFonts w:hint="eastAsia" w:ascii="仿宋" w:hAnsi="仿宋" w:eastAsia="仿宋" w:cs="仿宋"/>
          <w:color w:val="000000"/>
          <w:sz w:val="32"/>
          <w:szCs w:val="32"/>
        </w:rPr>
        <w:t>淮滨县动物卫生监督所</w:t>
      </w:r>
      <w:r>
        <w:rPr>
          <w:rFonts w:hint="eastAsia" w:ascii="仿宋" w:hAnsi="仿宋" w:eastAsia="仿宋" w:cs="仿宋"/>
          <w:color w:val="000000"/>
          <w:sz w:val="32"/>
          <w:szCs w:val="32"/>
          <w:lang w:eastAsia="zh-CN"/>
        </w:rPr>
        <w:t>2023年</w:t>
      </w:r>
      <w:r>
        <w:rPr>
          <w:rFonts w:hint="eastAsia" w:ascii="仿宋" w:hAnsi="仿宋" w:eastAsia="仿宋" w:cs="仿宋"/>
          <w:color w:val="000000"/>
          <w:sz w:val="32"/>
          <w:szCs w:val="32"/>
        </w:rPr>
        <w:t xml:space="preserve">一般公共预算基本支出年初预算为 </w:t>
      </w:r>
      <w:r>
        <w:rPr>
          <w:rFonts w:hint="eastAsia" w:ascii="仿宋" w:hAnsi="仿宋" w:eastAsia="仿宋" w:cs="仿宋"/>
          <w:color w:val="000000"/>
          <w:sz w:val="32"/>
          <w:szCs w:val="32"/>
          <w:lang w:val="en-US" w:eastAsia="zh-CN"/>
        </w:rPr>
        <w:t>252.18</w:t>
      </w:r>
      <w:r>
        <w:rPr>
          <w:rFonts w:hint="eastAsia" w:ascii="仿宋" w:hAnsi="仿宋" w:eastAsia="仿宋" w:cs="仿宋"/>
          <w:color w:val="000000"/>
          <w:sz w:val="32"/>
          <w:szCs w:val="32"/>
        </w:rPr>
        <w:t>万元。其中：人员经费支出</w:t>
      </w:r>
      <w:r>
        <w:rPr>
          <w:rFonts w:hint="eastAsia" w:ascii="仿宋" w:hAnsi="仿宋" w:eastAsia="仿宋" w:cs="仿宋"/>
          <w:color w:val="000000"/>
          <w:sz w:val="32"/>
          <w:szCs w:val="32"/>
          <w:lang w:val="en-US" w:eastAsia="zh-CN"/>
        </w:rPr>
        <w:t>246.57</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98</w:t>
      </w:r>
      <w:r>
        <w:rPr>
          <w:rFonts w:hint="eastAsia" w:ascii="仿宋" w:hAnsi="仿宋" w:eastAsia="仿宋" w:cs="仿宋"/>
          <w:color w:val="000000"/>
          <w:sz w:val="32"/>
          <w:szCs w:val="32"/>
        </w:rPr>
        <w:t>%；公用经费支出</w:t>
      </w:r>
      <w:r>
        <w:rPr>
          <w:rFonts w:hint="eastAsia" w:ascii="仿宋" w:hAnsi="仿宋" w:eastAsia="仿宋" w:cs="仿宋"/>
          <w:color w:val="000000"/>
          <w:sz w:val="32"/>
          <w:szCs w:val="32"/>
          <w:lang w:val="en-US" w:eastAsia="zh-CN"/>
        </w:rPr>
        <w:t>5.61</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w:t>
      </w:r>
    </w:p>
    <w:p>
      <w:pPr>
        <w:jc w:val="left"/>
        <w:rPr>
          <w:rFonts w:ascii="仿宋" w:hAnsi="仿宋" w:eastAsia="仿宋" w:cs="仿宋"/>
          <w:color w:val="000000"/>
          <w:sz w:val="32"/>
          <w:szCs w:val="32"/>
        </w:rPr>
      </w:pPr>
      <w:r>
        <w:rPr>
          <w:rFonts w:hint="eastAsia" w:ascii="仿宋" w:hAnsi="仿宋" w:eastAsia="仿宋" w:cs="仿宋"/>
          <w:sz w:val="32"/>
          <w:szCs w:val="32"/>
        </w:rPr>
        <w:drawing>
          <wp:inline distT="0" distB="0" distL="0" distR="0">
            <wp:extent cx="5274310" cy="3076575"/>
            <wp:effectExtent l="5080" t="4445" r="16510" b="508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numPr>
          <w:ilvl w:val="0"/>
          <w:numId w:val="5"/>
        </w:numPr>
        <w:ind w:firstLine="640"/>
        <w:jc w:val="left"/>
        <w:rPr>
          <w:rFonts w:ascii="黑体" w:hAnsi="黑体" w:eastAsia="黑体" w:cs="黑体"/>
          <w:sz w:val="32"/>
          <w:szCs w:val="32"/>
        </w:rPr>
      </w:pPr>
      <w:r>
        <w:rPr>
          <w:rFonts w:hint="eastAsia" w:ascii="黑体" w:hAnsi="黑体" w:eastAsia="黑体" w:cs="黑体"/>
          <w:color w:val="000000"/>
          <w:sz w:val="32"/>
          <w:szCs w:val="32"/>
        </w:rPr>
        <w:t>一般公共预算</w:t>
      </w:r>
      <w:r>
        <w:rPr>
          <w:rFonts w:hint="eastAsia" w:ascii="黑体" w:hAnsi="黑体" w:eastAsia="黑体" w:cs="黑体"/>
          <w:sz w:val="32"/>
          <w:szCs w:val="32"/>
        </w:rPr>
        <w:t>“三公”经费支出预算情况说明</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淮滨县动物卫生监督所</w:t>
      </w:r>
      <w:r>
        <w:rPr>
          <w:rFonts w:hint="eastAsia" w:ascii="仿宋" w:hAnsi="仿宋" w:eastAsia="仿宋" w:cs="仿宋"/>
          <w:sz w:val="32"/>
          <w:szCs w:val="32"/>
          <w:lang w:eastAsia="zh-CN"/>
        </w:rPr>
        <w:t>2023年</w:t>
      </w:r>
      <w:r>
        <w:rPr>
          <w:rFonts w:hint="eastAsia" w:ascii="仿宋" w:hAnsi="仿宋" w:eastAsia="仿宋" w:cs="仿宋"/>
          <w:sz w:val="32"/>
          <w:szCs w:val="32"/>
        </w:rPr>
        <w:t>“三公”经费支出预算为</w:t>
      </w:r>
      <w:r>
        <w:rPr>
          <w:rFonts w:hint="eastAsia" w:ascii="仿宋" w:hAnsi="仿宋" w:eastAsia="仿宋" w:cs="仿宋"/>
          <w:sz w:val="32"/>
          <w:szCs w:val="32"/>
          <w:lang w:val="en-US" w:eastAsia="zh-CN"/>
        </w:rPr>
        <w:t>0</w:t>
      </w:r>
      <w:r>
        <w:rPr>
          <w:rFonts w:hint="eastAsia" w:ascii="仿宋" w:hAnsi="仿宋" w:eastAsia="仿宋" w:cs="仿宋"/>
          <w:sz w:val="32"/>
          <w:szCs w:val="32"/>
        </w:rPr>
        <w:t>万元,预算数与</w:t>
      </w:r>
      <w:r>
        <w:rPr>
          <w:rFonts w:hint="eastAsia" w:ascii="仿宋" w:hAnsi="仿宋" w:eastAsia="仿宋" w:cs="仿宋"/>
          <w:sz w:val="32"/>
          <w:szCs w:val="32"/>
          <w:lang w:eastAsia="zh-CN"/>
        </w:rPr>
        <w:t>2022年</w:t>
      </w:r>
      <w:r>
        <w:rPr>
          <w:rFonts w:hint="eastAsia" w:ascii="仿宋" w:hAnsi="仿宋" w:eastAsia="仿宋" w:cs="仿宋"/>
          <w:sz w:val="32"/>
          <w:szCs w:val="32"/>
        </w:rPr>
        <w:t>保持一致。</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具体支出情况如下：</w:t>
      </w:r>
    </w:p>
    <w:p>
      <w:pPr>
        <w:ind w:firstLine="640" w:firstLineChars="200"/>
        <w:jc w:val="left"/>
        <w:rPr>
          <w:rFonts w:ascii="仿宋" w:hAnsi="仿宋" w:eastAsia="仿宋" w:cs="仿宋"/>
          <w:sz w:val="32"/>
          <w:szCs w:val="32"/>
        </w:rPr>
      </w:pPr>
      <w:r>
        <w:rPr>
          <w:rFonts w:hint="eastAsia" w:ascii="仿宋" w:hAnsi="仿宋" w:eastAsia="仿宋" w:cs="仿宋"/>
          <w:b/>
          <w:bCs/>
          <w:sz w:val="32"/>
          <w:szCs w:val="32"/>
        </w:rPr>
        <w:t>（一）因公出国（境）费用</w:t>
      </w:r>
      <w:r>
        <w:rPr>
          <w:rFonts w:hint="eastAsia" w:ascii="仿宋" w:hAnsi="仿宋" w:eastAsia="仿宋" w:cs="仿宋"/>
          <w:sz w:val="32"/>
          <w:szCs w:val="32"/>
        </w:rPr>
        <w:t>0万元，预算数与</w:t>
      </w:r>
      <w:r>
        <w:rPr>
          <w:rFonts w:hint="eastAsia" w:ascii="仿宋" w:hAnsi="仿宋" w:eastAsia="仿宋" w:cs="仿宋"/>
          <w:sz w:val="32"/>
          <w:szCs w:val="32"/>
          <w:lang w:eastAsia="zh-CN"/>
        </w:rPr>
        <w:t>2022年</w:t>
      </w:r>
      <w:r>
        <w:rPr>
          <w:rFonts w:hint="eastAsia" w:ascii="仿宋" w:hAnsi="仿宋" w:eastAsia="仿宋" w:cs="仿宋"/>
          <w:sz w:val="32"/>
          <w:szCs w:val="32"/>
        </w:rPr>
        <w:t>保持一致。</w:t>
      </w:r>
    </w:p>
    <w:p>
      <w:pPr>
        <w:ind w:firstLine="640" w:firstLineChars="200"/>
        <w:jc w:val="left"/>
        <w:rPr>
          <w:rFonts w:ascii="仿宋" w:hAnsi="仿宋" w:eastAsia="仿宋" w:cs="仿宋"/>
          <w:sz w:val="32"/>
          <w:szCs w:val="32"/>
        </w:rPr>
      </w:pPr>
      <w:r>
        <w:rPr>
          <w:rFonts w:hint="eastAsia" w:ascii="仿宋" w:hAnsi="仿宋" w:eastAsia="仿宋" w:cs="仿宋"/>
          <w:b/>
          <w:bCs/>
          <w:sz w:val="32"/>
          <w:szCs w:val="32"/>
        </w:rPr>
        <w:t>（二）公务接待费</w:t>
      </w:r>
      <w:r>
        <w:rPr>
          <w:rFonts w:hint="eastAsia" w:ascii="仿宋" w:hAnsi="仿宋" w:eastAsia="仿宋" w:cs="仿宋"/>
          <w:sz w:val="32"/>
          <w:szCs w:val="32"/>
          <w:lang w:val="en-US" w:eastAsia="zh-CN"/>
        </w:rPr>
        <w:t>0</w:t>
      </w:r>
      <w:r>
        <w:rPr>
          <w:rFonts w:hint="eastAsia" w:ascii="仿宋" w:hAnsi="仿宋" w:eastAsia="仿宋" w:cs="仿宋"/>
          <w:sz w:val="32"/>
          <w:szCs w:val="32"/>
        </w:rPr>
        <w:t>万元。主要用于按规定开支的各类公务接待支出。预算数与</w:t>
      </w:r>
      <w:r>
        <w:rPr>
          <w:rFonts w:hint="eastAsia" w:ascii="仿宋" w:hAnsi="仿宋" w:eastAsia="仿宋" w:cs="仿宋"/>
          <w:sz w:val="32"/>
          <w:szCs w:val="32"/>
          <w:lang w:eastAsia="zh-CN"/>
        </w:rPr>
        <w:t>2022年</w:t>
      </w:r>
      <w:r>
        <w:rPr>
          <w:rFonts w:hint="eastAsia" w:ascii="仿宋" w:hAnsi="仿宋" w:eastAsia="仿宋" w:cs="仿宋"/>
          <w:sz w:val="32"/>
          <w:szCs w:val="32"/>
        </w:rPr>
        <w:t>保持一致。</w:t>
      </w:r>
    </w:p>
    <w:p>
      <w:pPr>
        <w:ind w:firstLine="640" w:firstLineChars="200"/>
        <w:jc w:val="left"/>
        <w:rPr>
          <w:rFonts w:ascii="仿宋" w:hAnsi="仿宋" w:eastAsia="仿宋" w:cs="仿宋"/>
          <w:sz w:val="32"/>
          <w:szCs w:val="32"/>
        </w:rPr>
      </w:pPr>
      <w:r>
        <w:rPr>
          <w:rFonts w:hint="eastAsia" w:ascii="仿宋" w:hAnsi="仿宋" w:eastAsia="仿宋" w:cs="仿宋"/>
          <w:b/>
          <w:bCs/>
          <w:sz w:val="32"/>
          <w:szCs w:val="32"/>
        </w:rPr>
        <w:t>（三）公务用车购置及运行费</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万元，其中：公务用车运行维护费</w:t>
      </w:r>
      <w:r>
        <w:rPr>
          <w:rFonts w:hint="eastAsia" w:ascii="仿宋" w:hAnsi="仿宋" w:eastAsia="仿宋" w:cs="仿宋"/>
          <w:sz w:val="32"/>
          <w:szCs w:val="32"/>
          <w:lang w:val="en-US" w:eastAsia="zh-CN"/>
        </w:rPr>
        <w:t>0</w:t>
      </w:r>
      <w:r>
        <w:rPr>
          <w:rFonts w:hint="eastAsia" w:ascii="仿宋" w:hAnsi="仿宋" w:eastAsia="仿宋" w:cs="仿宋"/>
          <w:sz w:val="32"/>
          <w:szCs w:val="32"/>
        </w:rPr>
        <w:t>万元，公务用车购置</w:t>
      </w:r>
      <w:r>
        <w:rPr>
          <w:rFonts w:hint="eastAsia" w:ascii="仿宋" w:hAnsi="仿宋" w:eastAsia="仿宋" w:cs="仿宋"/>
          <w:sz w:val="32"/>
          <w:szCs w:val="32"/>
          <w:lang w:val="en-US" w:eastAsia="zh-CN"/>
        </w:rPr>
        <w:t>0</w:t>
      </w:r>
      <w:r>
        <w:rPr>
          <w:rFonts w:hint="eastAsia" w:ascii="仿宋" w:hAnsi="仿宋" w:eastAsia="仿宋" w:cs="仿宋"/>
          <w:sz w:val="32"/>
          <w:szCs w:val="32"/>
        </w:rPr>
        <w:t>万元。预算数与</w:t>
      </w:r>
      <w:r>
        <w:rPr>
          <w:rFonts w:hint="eastAsia" w:ascii="仿宋" w:hAnsi="仿宋" w:eastAsia="仿宋" w:cs="仿宋"/>
          <w:sz w:val="32"/>
          <w:szCs w:val="32"/>
          <w:lang w:eastAsia="zh-CN"/>
        </w:rPr>
        <w:t>2022年</w:t>
      </w:r>
      <w:r>
        <w:rPr>
          <w:rFonts w:hint="eastAsia" w:ascii="仿宋" w:hAnsi="仿宋" w:eastAsia="仿宋" w:cs="仿宋"/>
          <w:sz w:val="32"/>
          <w:szCs w:val="32"/>
        </w:rPr>
        <w:t>保持一致。</w:t>
      </w:r>
    </w:p>
    <w:p>
      <w:pPr>
        <w:ind w:firstLine="640" w:firstLineChars="200"/>
        <w:jc w:val="left"/>
        <w:rPr>
          <w:rFonts w:ascii="仿宋" w:hAnsi="仿宋" w:eastAsia="仿宋" w:cs="仿宋"/>
          <w:sz w:val="32"/>
          <w:szCs w:val="32"/>
        </w:rPr>
      </w:pP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ind w:firstLine="640" w:firstLineChars="200"/>
        <w:jc w:val="left"/>
        <w:rPr>
          <w:rFonts w:hint="eastAsia" w:ascii="黑体" w:hAnsi="黑体" w:eastAsia="黑体"/>
          <w:sz w:val="32"/>
        </w:rPr>
      </w:pPr>
      <w:r>
        <w:rPr>
          <w:rFonts w:hint="eastAsia" w:ascii="黑体" w:hAnsi="黑体" w:eastAsia="黑体"/>
          <w:sz w:val="32"/>
          <w:lang w:eastAsia="zh-CN"/>
        </w:rPr>
        <w:t>八、</w:t>
      </w:r>
      <w:r>
        <w:rPr>
          <w:rFonts w:hint="eastAsia" w:ascii="黑体" w:hAnsi="黑体" w:eastAsia="黑体"/>
          <w:sz w:val="32"/>
        </w:rPr>
        <w:t>政府性基金预算支出预算情况说明</w:t>
      </w:r>
    </w:p>
    <w:p>
      <w:pPr>
        <w:ind w:firstLine="640" w:firstLineChars="200"/>
        <w:jc w:val="left"/>
        <w:rPr>
          <w:rFonts w:hint="eastAsia" w:ascii="仿宋" w:hAnsi="仿宋" w:eastAsia="仿宋_GB2312" w:cs="仿宋"/>
          <w:sz w:val="32"/>
          <w:lang w:eastAsia="zh-CN"/>
        </w:rPr>
      </w:pPr>
      <w:r>
        <w:rPr>
          <w:rFonts w:hint="eastAsia" w:ascii="仿宋_GB2312" w:hAnsi="仿宋_GB2312" w:eastAsia="仿宋_GB2312" w:cs="仿宋_GB2312"/>
          <w:sz w:val="32"/>
        </w:rPr>
        <w:t>我单位2023年</w:t>
      </w:r>
      <w:r>
        <w:rPr>
          <w:rFonts w:hint="eastAsia" w:ascii="仿宋_GB2312" w:eastAsia="仿宋_GB2312"/>
          <w:sz w:val="32"/>
          <w:szCs w:val="32"/>
        </w:rPr>
        <w:t>没有政府性基金预算拨款收入，也没有政府性基金预算安排的支出</w:t>
      </w:r>
      <w:r>
        <w:rPr>
          <w:rFonts w:hint="eastAsia" w:ascii="仿宋_GB2312" w:eastAsia="仿宋_GB2312"/>
          <w:sz w:val="32"/>
          <w:szCs w:val="32"/>
          <w:lang w:eastAsia="zh-CN"/>
        </w:rPr>
        <w:t>。</w:t>
      </w:r>
    </w:p>
    <w:p>
      <w:pPr>
        <w:numPr>
          <w:numId w:val="0"/>
        </w:numPr>
        <w:ind w:left="630" w:leftChars="0"/>
        <w:jc w:val="left"/>
        <w:rPr>
          <w:rFonts w:ascii="黑体" w:hAnsi="黑体" w:eastAsia="黑体"/>
          <w:sz w:val="32"/>
        </w:rPr>
      </w:pPr>
    </w:p>
    <w:p>
      <w:pPr>
        <w:numPr>
          <w:numId w:val="0"/>
        </w:numPr>
        <w:ind w:firstLine="640" w:firstLineChars="200"/>
        <w:jc w:val="left"/>
        <w:rPr>
          <w:rFonts w:ascii="黑体" w:hAnsi="黑体" w:eastAsia="黑体"/>
          <w:sz w:val="32"/>
        </w:rPr>
      </w:pPr>
      <w:r>
        <w:rPr>
          <w:rFonts w:hint="eastAsia" w:ascii="黑体" w:hAnsi="黑体" w:eastAsia="黑体"/>
          <w:sz w:val="32"/>
          <w:lang w:eastAsia="zh-CN"/>
        </w:rPr>
        <w:t>九、</w:t>
      </w:r>
      <w:r>
        <w:rPr>
          <w:rFonts w:hint="eastAsia" w:ascii="黑体" w:hAnsi="黑体" w:eastAsia="黑体"/>
          <w:sz w:val="32"/>
        </w:rPr>
        <w:t>其他重要事项的情况说明</w:t>
      </w:r>
    </w:p>
    <w:p>
      <w:pPr>
        <w:ind w:left="420" w:leftChars="200"/>
        <w:jc w:val="left"/>
        <w:rPr>
          <w:rFonts w:ascii="仿宋" w:hAnsi="仿宋" w:eastAsia="仿宋" w:cs="仿宋"/>
          <w:b/>
          <w:bCs/>
          <w:sz w:val="32"/>
        </w:rPr>
      </w:pPr>
      <w:r>
        <w:rPr>
          <w:rFonts w:hint="eastAsia" w:ascii="仿宋" w:hAnsi="仿宋" w:eastAsia="仿宋" w:cs="仿宋"/>
          <w:b/>
          <w:bCs/>
          <w:sz w:val="32"/>
        </w:rPr>
        <w:t>（一）行政（事业）单位机构运转经费</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2023年</w:t>
      </w:r>
      <w:r>
        <w:rPr>
          <w:rFonts w:hint="eastAsia" w:ascii="仿宋" w:hAnsi="仿宋" w:eastAsia="仿宋" w:cs="仿宋"/>
          <w:sz w:val="32"/>
        </w:rPr>
        <w:t>运行经费支出预算</w:t>
      </w:r>
      <w:r>
        <w:rPr>
          <w:rFonts w:hint="eastAsia" w:ascii="仿宋" w:hAnsi="仿宋" w:eastAsia="仿宋" w:cs="仿宋"/>
          <w:sz w:val="32"/>
          <w:lang w:val="en-US" w:eastAsia="zh-CN"/>
        </w:rPr>
        <w:t>5.61</w:t>
      </w:r>
      <w:r>
        <w:rPr>
          <w:rFonts w:hint="eastAsia" w:ascii="仿宋" w:hAnsi="仿宋" w:eastAsia="仿宋" w:cs="仿宋"/>
          <w:sz w:val="32"/>
        </w:rPr>
        <w:t>万元，主要保障机构正常运转及正常履职需要，用于购买货物和服务的支出。包括办公及印刷费、邮电费、差旅费、会议费、福利费、日常维修费及一般设备购置费、办公用房水电费、办公用房取暖费、办公用房物业管理费、公务用车运行维护费以及其他费用。</w:t>
      </w:r>
    </w:p>
    <w:p>
      <w:pPr>
        <w:ind w:firstLine="640" w:firstLineChars="200"/>
        <w:jc w:val="left"/>
        <w:rPr>
          <w:rFonts w:ascii="仿宋" w:hAnsi="仿宋" w:eastAsia="仿宋" w:cs="仿宋"/>
          <w:b/>
          <w:bCs/>
          <w:sz w:val="32"/>
        </w:rPr>
      </w:pPr>
      <w:r>
        <w:rPr>
          <w:rFonts w:hint="eastAsia" w:ascii="仿宋" w:hAnsi="仿宋" w:eastAsia="仿宋" w:cs="仿宋"/>
          <w:b/>
          <w:bCs/>
          <w:sz w:val="32"/>
        </w:rPr>
        <w:t>（二）政府采购支出预算情况</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2023年</w:t>
      </w:r>
      <w:r>
        <w:rPr>
          <w:rFonts w:hint="eastAsia" w:ascii="仿宋" w:hAnsi="仿宋" w:eastAsia="仿宋" w:cs="仿宋"/>
          <w:sz w:val="32"/>
        </w:rPr>
        <w:t>政府采购预算安排</w:t>
      </w:r>
      <w:r>
        <w:rPr>
          <w:rFonts w:hint="eastAsia" w:ascii="仿宋" w:hAnsi="仿宋" w:eastAsia="仿宋" w:cs="仿宋"/>
          <w:sz w:val="32"/>
          <w:lang w:val="en-US" w:eastAsia="zh-CN"/>
        </w:rPr>
        <w:t>0</w:t>
      </w:r>
      <w:r>
        <w:rPr>
          <w:rFonts w:hint="eastAsia" w:ascii="仿宋" w:hAnsi="仿宋" w:eastAsia="仿宋" w:cs="仿宋"/>
          <w:sz w:val="32"/>
        </w:rPr>
        <w:t>万元，其中：货物类采购预算</w:t>
      </w:r>
      <w:r>
        <w:rPr>
          <w:rFonts w:hint="eastAsia" w:ascii="仿宋" w:hAnsi="仿宋" w:eastAsia="仿宋" w:cs="仿宋"/>
          <w:sz w:val="32"/>
          <w:lang w:val="en-US" w:eastAsia="zh-CN"/>
        </w:rPr>
        <w:t>0</w:t>
      </w:r>
      <w:r>
        <w:rPr>
          <w:rFonts w:hint="eastAsia" w:ascii="仿宋" w:hAnsi="仿宋" w:eastAsia="仿宋" w:cs="仿宋"/>
          <w:sz w:val="32"/>
        </w:rPr>
        <w:t>万元，工程类采购预算</w:t>
      </w:r>
      <w:r>
        <w:rPr>
          <w:rFonts w:hint="eastAsia" w:ascii="仿宋" w:hAnsi="仿宋" w:eastAsia="仿宋" w:cs="仿宋"/>
          <w:sz w:val="32"/>
          <w:lang w:val="en-US" w:eastAsia="zh-CN"/>
        </w:rPr>
        <w:t>0</w:t>
      </w:r>
      <w:r>
        <w:rPr>
          <w:rFonts w:hint="eastAsia" w:ascii="仿宋" w:hAnsi="仿宋" w:eastAsia="仿宋" w:cs="仿宋"/>
          <w:sz w:val="32"/>
        </w:rPr>
        <w:t>万元，服务类采购预算</w:t>
      </w:r>
      <w:r>
        <w:rPr>
          <w:rFonts w:hint="eastAsia" w:ascii="仿宋" w:hAnsi="仿宋" w:eastAsia="仿宋" w:cs="仿宋"/>
          <w:sz w:val="32"/>
          <w:lang w:val="en-US" w:eastAsia="zh-CN"/>
        </w:rPr>
        <w:t>0</w:t>
      </w:r>
      <w:r>
        <w:rPr>
          <w:rFonts w:hint="eastAsia" w:ascii="仿宋" w:hAnsi="仿宋" w:eastAsia="仿宋" w:cs="仿宋"/>
          <w:sz w:val="32"/>
        </w:rPr>
        <w:t>万元。</w:t>
      </w:r>
    </w:p>
    <w:p>
      <w:pPr>
        <w:numPr>
          <w:ilvl w:val="0"/>
          <w:numId w:val="6"/>
        </w:numPr>
        <w:ind w:firstLine="640" w:firstLineChars="200"/>
        <w:jc w:val="left"/>
        <w:rPr>
          <w:rFonts w:ascii="仿宋" w:hAnsi="仿宋" w:eastAsia="仿宋" w:cs="仿宋"/>
          <w:b/>
          <w:bCs/>
          <w:sz w:val="32"/>
        </w:rPr>
      </w:pPr>
      <w:r>
        <w:rPr>
          <w:rFonts w:hint="eastAsia" w:ascii="仿宋" w:hAnsi="仿宋" w:eastAsia="仿宋" w:cs="仿宋"/>
          <w:b/>
          <w:bCs/>
          <w:sz w:val="32"/>
        </w:rPr>
        <w:t>绩效目标设置情况</w:t>
      </w:r>
    </w:p>
    <w:p>
      <w:pPr>
        <w:ind w:firstLine="640" w:firstLineChars="200"/>
        <w:jc w:val="left"/>
        <w:rPr>
          <w:rFonts w:hint="eastAsia"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2023年</w:t>
      </w:r>
      <w:r>
        <w:rPr>
          <w:rFonts w:hint="eastAsia" w:ascii="仿宋" w:hAnsi="仿宋" w:eastAsia="仿宋" w:cs="仿宋"/>
          <w:sz w:val="32"/>
        </w:rPr>
        <w:t>预算项目均按要求编制了绩效目标，从 项目产出、项目效益、满意度等方面设置了绩效目标，综合 反映项目预期完成的数量、实效、质量，预期达到的社会经 济效益、可持续影响以及对象满意度等情况。</w:t>
      </w:r>
    </w:p>
    <w:p>
      <w:pPr>
        <w:ind w:firstLine="640" w:firstLineChars="200"/>
        <w:jc w:val="left"/>
        <w:rPr>
          <w:rFonts w:hint="default" w:ascii="仿宋" w:hAnsi="仿宋" w:eastAsia="仿宋" w:cs="仿宋"/>
          <w:sz w:val="32"/>
          <w:lang w:val="en-US" w:eastAsia="zh-CN"/>
        </w:rPr>
      </w:pPr>
      <w:r>
        <w:rPr>
          <w:rFonts w:hint="eastAsia" w:ascii="仿宋" w:hAnsi="仿宋" w:eastAsia="仿宋" w:cs="仿宋"/>
          <w:sz w:val="32"/>
          <w:lang w:val="en-US" w:eastAsia="zh-CN"/>
        </w:rPr>
        <w:t>2023年部门预算金额共计262.18万元，其中项目共1个，金额为10万元。</w:t>
      </w:r>
    </w:p>
    <w:p>
      <w:pPr>
        <w:ind w:firstLine="640" w:firstLineChars="200"/>
        <w:jc w:val="left"/>
        <w:rPr>
          <w:rFonts w:hint="eastAsia" w:ascii="仿宋" w:hAnsi="仿宋" w:eastAsia="仿宋" w:cs="仿宋"/>
          <w:sz w:val="32"/>
        </w:rPr>
      </w:pPr>
      <w:bookmarkStart w:id="0" w:name="_GoBack"/>
      <w:bookmarkEnd w:id="0"/>
    </w:p>
    <w:p>
      <w:pPr>
        <w:numPr>
          <w:ilvl w:val="0"/>
          <w:numId w:val="6"/>
        </w:numPr>
        <w:ind w:firstLine="640" w:firstLineChars="200"/>
        <w:jc w:val="left"/>
        <w:rPr>
          <w:rFonts w:ascii="仿宋" w:hAnsi="仿宋" w:eastAsia="仿宋" w:cs="仿宋"/>
          <w:b/>
          <w:bCs/>
          <w:sz w:val="32"/>
        </w:rPr>
      </w:pPr>
      <w:r>
        <w:rPr>
          <w:rFonts w:hint="eastAsia" w:ascii="仿宋" w:hAnsi="仿宋" w:eastAsia="仿宋" w:cs="仿宋"/>
          <w:b/>
          <w:bCs/>
          <w:sz w:val="32"/>
        </w:rPr>
        <w:t>国有资产占用情况</w:t>
      </w:r>
    </w:p>
    <w:p>
      <w:pPr>
        <w:ind w:firstLine="640" w:firstLineChars="200"/>
        <w:jc w:val="left"/>
        <w:rPr>
          <w:rFonts w:ascii="仿宋" w:hAnsi="仿宋" w:eastAsia="仿宋" w:cs="仿宋"/>
          <w:sz w:val="32"/>
        </w:rPr>
      </w:pPr>
      <w:r>
        <w:rPr>
          <w:rFonts w:hint="eastAsia" w:ascii="仿宋" w:hAnsi="仿宋" w:eastAsia="仿宋" w:cs="仿宋"/>
          <w:sz w:val="32"/>
          <w:lang w:eastAsia="zh-CN"/>
        </w:rPr>
        <w:t>2022年</w:t>
      </w:r>
      <w:r>
        <w:rPr>
          <w:rFonts w:hint="eastAsia" w:ascii="仿宋" w:hAnsi="仿宋" w:eastAsia="仿宋" w:cs="仿宋"/>
          <w:sz w:val="32"/>
        </w:rPr>
        <w:t>期末，我单位共有车辆</w:t>
      </w:r>
      <w:r>
        <w:rPr>
          <w:rFonts w:hint="eastAsia" w:ascii="仿宋" w:hAnsi="仿宋" w:eastAsia="仿宋" w:cs="仿宋"/>
          <w:sz w:val="32"/>
          <w:lang w:val="en-US" w:eastAsia="zh-CN"/>
        </w:rPr>
        <w:t>0</w:t>
      </w:r>
      <w:r>
        <w:rPr>
          <w:rFonts w:hint="eastAsia" w:ascii="仿宋" w:hAnsi="仿宋" w:eastAsia="仿宋" w:cs="仿宋"/>
          <w:sz w:val="32"/>
        </w:rPr>
        <w:t>辆，其中：一般公务用车</w:t>
      </w:r>
      <w:r>
        <w:rPr>
          <w:rFonts w:hint="eastAsia" w:ascii="仿宋" w:hAnsi="仿宋" w:eastAsia="仿宋" w:cs="仿宋"/>
          <w:sz w:val="32"/>
          <w:lang w:val="en-US" w:eastAsia="zh-CN"/>
        </w:rPr>
        <w:t>0</w:t>
      </w:r>
      <w:r>
        <w:rPr>
          <w:rFonts w:hint="eastAsia" w:ascii="仿宋" w:hAnsi="仿宋" w:eastAsia="仿宋" w:cs="仿宋"/>
          <w:sz w:val="32"/>
        </w:rPr>
        <w:t>辆、一般执法执勤用车</w:t>
      </w:r>
      <w:r>
        <w:rPr>
          <w:rFonts w:hint="eastAsia" w:ascii="仿宋" w:hAnsi="仿宋" w:eastAsia="仿宋" w:cs="仿宋"/>
          <w:sz w:val="32"/>
          <w:lang w:val="en-US" w:eastAsia="zh-CN"/>
        </w:rPr>
        <w:t>0</w:t>
      </w:r>
      <w:r>
        <w:rPr>
          <w:rFonts w:hint="eastAsia" w:ascii="仿宋" w:hAnsi="仿宋" w:eastAsia="仿宋" w:cs="仿宋"/>
          <w:sz w:val="32"/>
        </w:rPr>
        <w:t>辆、其他用车</w:t>
      </w:r>
      <w:r>
        <w:rPr>
          <w:rFonts w:hint="eastAsia" w:ascii="仿宋" w:hAnsi="仿宋" w:eastAsia="仿宋" w:cs="仿宋"/>
          <w:sz w:val="32"/>
          <w:lang w:val="en-US" w:eastAsia="zh-CN"/>
        </w:rPr>
        <w:t>0</w:t>
      </w:r>
      <w:r>
        <w:rPr>
          <w:rFonts w:hint="eastAsia" w:ascii="仿宋" w:hAnsi="仿宋" w:eastAsia="仿宋" w:cs="仿宋"/>
          <w:sz w:val="32"/>
        </w:rPr>
        <w:t>辆；单价50万元以上通用设备</w:t>
      </w:r>
      <w:r>
        <w:rPr>
          <w:rFonts w:hint="eastAsia" w:ascii="仿宋" w:hAnsi="仿宋" w:eastAsia="仿宋" w:cs="仿宋"/>
          <w:sz w:val="32"/>
          <w:lang w:val="en-US" w:eastAsia="zh-CN"/>
        </w:rPr>
        <w:t>0</w:t>
      </w:r>
      <w:r>
        <w:rPr>
          <w:rFonts w:hint="eastAsia" w:ascii="仿宋" w:hAnsi="仿宋" w:eastAsia="仿宋" w:cs="仿宋"/>
          <w:sz w:val="32"/>
        </w:rPr>
        <w:t>套，单位价值100万元以上专用设备</w:t>
      </w:r>
      <w:r>
        <w:rPr>
          <w:rFonts w:hint="eastAsia" w:ascii="仿宋" w:hAnsi="仿宋" w:eastAsia="仿宋" w:cs="仿宋"/>
          <w:sz w:val="32"/>
          <w:lang w:val="en-US" w:eastAsia="zh-CN"/>
        </w:rPr>
        <w:t>0</w:t>
      </w:r>
      <w:r>
        <w:rPr>
          <w:rFonts w:hint="eastAsia" w:ascii="仿宋" w:hAnsi="仿宋" w:eastAsia="仿宋" w:cs="仿宋"/>
          <w:sz w:val="32"/>
        </w:rPr>
        <w:t>套。</w:t>
      </w:r>
    </w:p>
    <w:p>
      <w:pPr>
        <w:ind w:firstLine="640" w:firstLineChars="200"/>
        <w:jc w:val="left"/>
        <w:rPr>
          <w:rFonts w:ascii="黑体" w:hAnsi="黑体" w:eastAsia="黑体"/>
          <w:b/>
          <w:bCs/>
          <w:sz w:val="32"/>
        </w:rPr>
      </w:pPr>
      <w:r>
        <w:rPr>
          <w:rFonts w:hint="eastAsia" w:ascii="仿宋" w:hAnsi="仿宋" w:eastAsia="仿宋" w:cs="仿宋"/>
          <w:b/>
          <w:bCs/>
          <w:sz w:val="32"/>
        </w:rPr>
        <w:t>（五）专项转移支付项目情况</w:t>
      </w:r>
    </w:p>
    <w:p>
      <w:pPr>
        <w:ind w:firstLine="640" w:firstLineChars="200"/>
        <w:jc w:val="left"/>
        <w:rPr>
          <w:rFonts w:ascii="仿宋" w:hAnsi="仿宋" w:eastAsia="仿宋" w:cs="仿宋"/>
          <w:sz w:val="32"/>
        </w:rPr>
      </w:pPr>
      <w:r>
        <w:rPr>
          <w:rFonts w:hint="eastAsia" w:ascii="仿宋" w:hAnsi="仿宋" w:eastAsia="仿宋" w:cs="仿宋"/>
          <w:sz w:val="32"/>
        </w:rPr>
        <w:t>我单位负责管理的专项转移支付项目共有</w:t>
      </w:r>
      <w:r>
        <w:rPr>
          <w:rFonts w:hint="eastAsia" w:ascii="仿宋" w:hAnsi="仿宋" w:eastAsia="仿宋" w:cs="仿宋"/>
          <w:sz w:val="32"/>
          <w:lang w:val="en-US" w:eastAsia="zh-CN"/>
        </w:rPr>
        <w:t>0</w:t>
      </w:r>
      <w:r>
        <w:rPr>
          <w:rFonts w:hint="eastAsia" w:ascii="仿宋" w:hAnsi="仿宋" w:eastAsia="仿宋" w:cs="仿宋"/>
          <w:sz w:val="32"/>
        </w:rPr>
        <w:t>项。主要是:</w:t>
      </w:r>
      <w:r>
        <w:rPr>
          <w:rFonts w:hint="eastAsia" w:ascii="仿宋" w:hAnsi="仿宋" w:eastAsia="仿宋" w:cs="仿宋"/>
          <w:sz w:val="32"/>
          <w:lang w:val="en-US" w:eastAsia="zh-CN"/>
        </w:rPr>
        <w:t>无</w:t>
      </w:r>
      <w:r>
        <w:rPr>
          <w:rFonts w:hint="eastAsia" w:ascii="仿宋" w:hAnsi="仿宋" w:eastAsia="仿宋" w:cs="仿宋"/>
          <w:sz w:val="32"/>
        </w:rPr>
        <w:t>专项资金。我单位将按照《预算法》等有关规定， 积极做好项目分配前期准备工作，在规定的时间内向财政部门提出资金分配意见，根据有关要求做好项目申报公开等相关工作。</w:t>
      </w: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jc w:val="center"/>
        <w:rPr>
          <w:rFonts w:ascii="黑体" w:hAnsi="黑体" w:eastAsia="黑体"/>
          <w:b/>
          <w:bCs/>
          <w:sz w:val="36"/>
          <w:szCs w:val="36"/>
        </w:rPr>
      </w:pPr>
    </w:p>
    <w:p>
      <w:pPr>
        <w:jc w:val="center"/>
        <w:rPr>
          <w:rFonts w:ascii="黑体" w:hAnsi="黑体" w:eastAsia="黑体"/>
          <w:b/>
          <w:bCs/>
          <w:sz w:val="36"/>
          <w:szCs w:val="36"/>
        </w:rPr>
      </w:pPr>
      <w:r>
        <w:rPr>
          <w:rFonts w:hint="eastAsia" w:ascii="黑体" w:hAnsi="黑体" w:eastAsia="黑体"/>
          <w:b/>
          <w:bCs/>
          <w:sz w:val="36"/>
          <w:szCs w:val="36"/>
        </w:rPr>
        <w:t xml:space="preserve">第三部分 </w:t>
      </w:r>
    </w:p>
    <w:p>
      <w:pPr>
        <w:jc w:val="center"/>
        <w:rPr>
          <w:rFonts w:ascii="黑体" w:hAnsi="黑体" w:eastAsia="黑体"/>
          <w:b/>
          <w:bCs/>
          <w:sz w:val="36"/>
          <w:szCs w:val="36"/>
        </w:rPr>
      </w:pPr>
      <w:r>
        <w:rPr>
          <w:rFonts w:hint="eastAsia" w:ascii="黑体" w:hAnsi="黑体" w:eastAsia="黑体"/>
          <w:b/>
          <w:bCs/>
          <w:sz w:val="36"/>
          <w:szCs w:val="36"/>
        </w:rPr>
        <w:t>名词解释</w:t>
      </w:r>
    </w:p>
    <w:p>
      <w:pPr>
        <w:jc w:val="left"/>
        <w:rPr>
          <w:rFonts w:ascii="黑体" w:hAnsi="黑体" w:eastAsia="黑体"/>
          <w:sz w:val="32"/>
        </w:rPr>
      </w:pP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 xml:space="preserve">财政拨款收入：是指县级财政当年拨付的资金。 </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事业收入：是指事业单位开展专业活动及辅助活动</w:t>
      </w:r>
    </w:p>
    <w:p>
      <w:pPr>
        <w:jc w:val="left"/>
        <w:rPr>
          <w:rFonts w:ascii="仿宋" w:hAnsi="仿宋" w:eastAsia="仿宋" w:cs="仿宋"/>
          <w:sz w:val="32"/>
        </w:rPr>
      </w:pPr>
      <w:r>
        <w:rPr>
          <w:rFonts w:hint="eastAsia" w:ascii="仿宋" w:hAnsi="仿宋" w:eastAsia="仿宋" w:cs="仿宋"/>
          <w:sz w:val="32"/>
        </w:rPr>
        <w:t>所取得的收入。</w:t>
      </w:r>
    </w:p>
    <w:p>
      <w:pPr>
        <w:numPr>
          <w:ilvl w:val="0"/>
          <w:numId w:val="7"/>
        </w:numPr>
        <w:ind w:firstLine="640" w:firstLineChars="200"/>
        <w:jc w:val="left"/>
        <w:rPr>
          <w:rFonts w:ascii="宋体" w:hAnsi="宋体" w:eastAsia="宋体" w:cs="宋体"/>
          <w:color w:val="333333"/>
          <w:sz w:val="24"/>
        </w:rPr>
      </w:pPr>
      <w:r>
        <w:rPr>
          <w:rFonts w:hint="eastAsia" w:ascii="仿宋" w:hAnsi="仿宋" w:eastAsia="仿宋" w:cs="仿宋"/>
          <w:sz w:val="32"/>
        </w:rPr>
        <w:t>其他收入：是指部门取得的除“财政拨款”、“事 业收入”、“事业单位经营收入”等以外的收入。</w:t>
      </w:r>
    </w:p>
    <w:p>
      <w:pPr>
        <w:numPr>
          <w:ilvl w:val="0"/>
          <w:numId w:val="7"/>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上年结转：</w:t>
      </w:r>
      <w:r>
        <w:rPr>
          <w:rFonts w:hint="eastAsia" w:ascii="仿宋" w:hAnsi="仿宋" w:eastAsia="仿宋" w:cs="仿宋"/>
          <w:color w:val="333333"/>
          <w:sz w:val="32"/>
          <w:szCs w:val="32"/>
          <w:shd w:val="clear" w:color="auto" w:fill="FFFFFF"/>
        </w:rPr>
        <w:t>指以前年度安排、结转到本年仍按原用途继续使用的资金。</w:t>
      </w:r>
    </w:p>
    <w:p>
      <w:pPr>
        <w:numPr>
          <w:ilvl w:val="0"/>
          <w:numId w:val="7"/>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结转下年：</w:t>
      </w:r>
      <w:r>
        <w:rPr>
          <w:rFonts w:hint="eastAsia" w:ascii="仿宋" w:hAnsi="仿宋" w:eastAsia="仿宋" w:cs="仿宋"/>
          <w:color w:val="333333"/>
          <w:sz w:val="32"/>
          <w:szCs w:val="32"/>
          <w:shd w:val="clear" w:color="auto" w:fill="FFFFFF"/>
        </w:rPr>
        <w:t>指以前年度预算安排、因客观条件发生变化无法按原计划实施，需以后年度按原用途继续使用的资金。</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用事业基金弥补收支差额：是指事业单位在当年的 “财政拨款收入”、“事业收入”、“经营收入”和“其他 收入”不足以安排当年支出的情况下，使用以前年度积累的 事业基金（即事业单位以前各年度收支相抵后，按国家规定 提取、用于弥补以后年度收支差额的基金）弥补当年收支 缺口的资金。</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基本支出：是指为保障机构正常运转、完成日常工 作任务所必需的开支，其内容包括人员经费和日常公用经费 两部分。</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项目支出：是指在基本支出之外，为完成特定的行政工作任务或事业发展目标所发生的支出。</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“三公”经费：是指纳入市级财政预算管理，部门 使用财政拨款安排的因公出国（境）费、公务用车购置及运 行费和公务接待费。其中，因公出国（境）费反映单位公务 出国（境）的住宿费、旅费、伙食补助费、杂费、培训费等 支出；公务用车购置及运行费反映单位公务用车购置费及租 用费、燃料费、维修费、过路过桥费、保险费、安全奖励费 用等支出；公务接待费反映单位按规定开支的各类公务接待</w:t>
      </w:r>
    </w:p>
    <w:p>
      <w:pPr>
        <w:jc w:val="left"/>
        <w:rPr>
          <w:rFonts w:ascii="仿宋" w:hAnsi="仿宋" w:eastAsia="仿宋" w:cs="仿宋"/>
          <w:sz w:val="32"/>
        </w:rPr>
      </w:pPr>
      <w:r>
        <w:rPr>
          <w:rFonts w:hint="eastAsia" w:ascii="仿宋" w:hAnsi="仿宋" w:eastAsia="仿宋" w:cs="仿宋"/>
          <w:sz w:val="32"/>
        </w:rPr>
        <w:t>（含外宾接待）支出。</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lang w:eastAsia="zh-CN"/>
        </w:rPr>
        <w:t>行政（事业）单位机构运转</w:t>
      </w:r>
      <w:r>
        <w:rPr>
          <w:rFonts w:hint="eastAsia" w:ascii="仿宋" w:hAnsi="仿宋" w:eastAsia="仿宋" w:cs="仿宋"/>
          <w:sz w:val="32"/>
        </w:rPr>
        <w:t>经费：是指为保障行政单位（含参照公务员法管理的事业单位）运行用于购买货物和服务的各项资 金，包括办公及印刷费、邮电费、差旅费、会议费、福利费、 日常维修费及一般设备购置费、办公用房水电费、办公用房 取暖费、办公用房物业管理费、公务用车运行维护费以及其 他费用。</w:t>
      </w:r>
    </w:p>
    <w:p>
      <w:pPr>
        <w:numPr>
          <w:ilvl w:val="0"/>
          <w:numId w:val="7"/>
        </w:numPr>
        <w:ind w:firstLine="620" w:firstLineChars="200"/>
        <w:jc w:val="left"/>
        <w:rPr>
          <w:rFonts w:ascii="仿宋" w:hAnsi="仿宋" w:eastAsia="仿宋" w:cs="仿宋"/>
          <w:sz w:val="32"/>
        </w:rPr>
      </w:pPr>
      <w:r>
        <w:rPr>
          <w:rFonts w:ascii="仿宋_GB2312" w:hAnsi="宋体" w:eastAsia="仿宋_GB2312" w:cs="仿宋_GB2312"/>
          <w:color w:val="000000"/>
          <w:sz w:val="31"/>
          <w:szCs w:val="31"/>
          <w:shd w:val="clear" w:color="auto" w:fill="FFFFFF"/>
        </w:rPr>
        <w:t>专项转移支付：</w:t>
      </w:r>
      <w:r>
        <w:rPr>
          <w:rFonts w:hint="eastAsia" w:ascii="仿宋_GB2312" w:hAnsi="宋体" w:eastAsia="仿宋_GB2312" w:cs="仿宋_GB2312"/>
          <w:color w:val="000000"/>
          <w:sz w:val="31"/>
          <w:szCs w:val="31"/>
          <w:shd w:val="clear" w:color="auto" w:fill="FFFFFF"/>
        </w:rPr>
        <w:t>是指上级政府(在我国一般指中央、省、市级政府)为实现特定的宏观政策目标，以及对委托下级政府代理的一些事务进行补偿而设立的专项补助资金。资金接受者需按规定用途使用资金。</w:t>
      </w:r>
    </w:p>
    <w:p>
      <w:pPr>
        <w:tabs>
          <w:tab w:val="left" w:pos="7506"/>
        </w:tabs>
        <w:ind w:firstLine="640" w:firstLineChars="200"/>
        <w:jc w:val="left"/>
        <w:rPr>
          <w:rFonts w:ascii="黑体" w:hAnsi="黑体" w:eastAsia="黑体" w:cs="黑体"/>
          <w:sz w:val="32"/>
        </w:rPr>
      </w:pPr>
      <w:r>
        <w:rPr>
          <w:rFonts w:hint="eastAsia" w:ascii="黑体" w:hAnsi="黑体" w:eastAsia="黑体" w:cs="黑体"/>
          <w:sz w:val="32"/>
        </w:rPr>
        <w:t>附件：淮滨县动物卫生监督所</w:t>
      </w:r>
      <w:r>
        <w:rPr>
          <w:rFonts w:hint="eastAsia" w:ascii="黑体" w:hAnsi="黑体" w:eastAsia="黑体" w:cs="黑体"/>
          <w:sz w:val="32"/>
          <w:lang w:eastAsia="zh-CN"/>
        </w:rPr>
        <w:t>2023年</w:t>
      </w:r>
      <w:r>
        <w:rPr>
          <w:rFonts w:hint="eastAsia" w:ascii="黑体" w:hAnsi="黑体" w:eastAsia="黑体" w:cs="黑体"/>
          <w:sz w:val="32"/>
        </w:rPr>
        <w:t>部门预算表</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0F3C52" w:usb2="00000016" w:usb3="00000000" w:csb0="0004001F" w:csb1="00000000"/>
  </w:font>
  <w:font w:name="Tahoma">
    <w:panose1 w:val="020B0604030504040204"/>
    <w:charset w:val="00"/>
    <w:family w:val="auto"/>
    <w:pitch w:val="default"/>
    <w:sig w:usb0="61007A87" w:usb1="80000000" w:usb2="00000008" w:usb3="00000000" w:csb0="200101FF" w:csb1="20280000"/>
  </w:font>
  <w:font w:name="仿宋">
    <w:altName w:val="Arial Unicode MS"/>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963280D"/>
    <w:multiLevelType w:val="singleLevel"/>
    <w:tmpl w:val="C963280D"/>
    <w:lvl w:ilvl="0" w:tentative="0">
      <w:start w:val="1"/>
      <w:numFmt w:val="decimal"/>
      <w:suff w:val="nothing"/>
      <w:lvlText w:val="%1、"/>
      <w:lvlJc w:val="left"/>
    </w:lvl>
  </w:abstractNum>
  <w:abstractNum w:abstractNumId="1">
    <w:nsid w:val="CC8B0532"/>
    <w:multiLevelType w:val="singleLevel"/>
    <w:tmpl w:val="CC8B0532"/>
    <w:lvl w:ilvl="0" w:tentative="0">
      <w:start w:val="1"/>
      <w:numFmt w:val="chineseCounting"/>
      <w:suff w:val="space"/>
      <w:lvlText w:val="第%1部分"/>
      <w:lvlJc w:val="left"/>
      <w:rPr>
        <w:rFonts w:hint="eastAsia"/>
      </w:rPr>
    </w:lvl>
  </w:abstractNum>
  <w:abstractNum w:abstractNumId="2">
    <w:nsid w:val="DECAE212"/>
    <w:multiLevelType w:val="singleLevel"/>
    <w:tmpl w:val="DECAE212"/>
    <w:lvl w:ilvl="0" w:tentative="0">
      <w:start w:val="1"/>
      <w:numFmt w:val="chineseCounting"/>
      <w:suff w:val="nothing"/>
      <w:lvlText w:val="%1、"/>
      <w:lvlJc w:val="left"/>
      <w:pPr>
        <w:ind w:left="-10"/>
      </w:pPr>
      <w:rPr>
        <w:rFonts w:hint="eastAsia"/>
      </w:rPr>
    </w:lvl>
  </w:abstractNum>
  <w:abstractNum w:abstractNumId="3">
    <w:nsid w:val="E1D7C83E"/>
    <w:multiLevelType w:val="singleLevel"/>
    <w:tmpl w:val="E1D7C83E"/>
    <w:lvl w:ilvl="0" w:tentative="0">
      <w:start w:val="1"/>
      <w:numFmt w:val="chineseCounting"/>
      <w:suff w:val="nothing"/>
      <w:lvlText w:val="%1、"/>
      <w:lvlJc w:val="left"/>
      <w:rPr>
        <w:rFonts w:hint="eastAsia" w:ascii="仿宋" w:hAnsi="仿宋" w:eastAsia="仿宋" w:cs="仿宋"/>
        <w:b w:val="0"/>
        <w:bCs w:val="0"/>
        <w:sz w:val="32"/>
        <w:szCs w:val="32"/>
      </w:rPr>
    </w:lvl>
  </w:abstractNum>
  <w:abstractNum w:abstractNumId="4">
    <w:nsid w:val="1DBE515B"/>
    <w:multiLevelType w:val="singleLevel"/>
    <w:tmpl w:val="1DBE515B"/>
    <w:lvl w:ilvl="0" w:tentative="0">
      <w:start w:val="1"/>
      <w:numFmt w:val="chineseCounting"/>
      <w:suff w:val="nothing"/>
      <w:lvlText w:val="%1、"/>
      <w:lvlJc w:val="left"/>
      <w:rPr>
        <w:rFonts w:hint="eastAsia"/>
      </w:rPr>
    </w:lvl>
  </w:abstractNum>
  <w:abstractNum w:abstractNumId="5">
    <w:nsid w:val="6EC1A300"/>
    <w:multiLevelType w:val="singleLevel"/>
    <w:tmpl w:val="6EC1A300"/>
    <w:lvl w:ilvl="0" w:tentative="0">
      <w:start w:val="1"/>
      <w:numFmt w:val="chineseCounting"/>
      <w:suff w:val="nothing"/>
      <w:lvlText w:val="%1、"/>
      <w:lvlJc w:val="left"/>
      <w:rPr>
        <w:rFonts w:hint="eastAsia"/>
      </w:rPr>
    </w:lvl>
  </w:abstractNum>
  <w:abstractNum w:abstractNumId="6">
    <w:nsid w:val="73A1052D"/>
    <w:multiLevelType w:val="singleLevel"/>
    <w:tmpl w:val="73A1052D"/>
    <w:lvl w:ilvl="0" w:tentative="0">
      <w:start w:val="3"/>
      <w:numFmt w:val="chineseCounting"/>
      <w:suff w:val="nothing"/>
      <w:lvlText w:val="（%1）"/>
      <w:lvlJc w:val="left"/>
      <w:rPr>
        <w:rFonts w:hint="eastAsia"/>
      </w:rPr>
    </w:lvl>
  </w:abstractNum>
  <w:num w:numId="1">
    <w:abstractNumId w:val="4"/>
  </w:num>
  <w:num w:numId="2">
    <w:abstractNumId w:val="1"/>
  </w:num>
  <w:num w:numId="3">
    <w:abstractNumId w:val="5"/>
  </w:num>
  <w:num w:numId="4">
    <w:abstractNumId w:val="0"/>
  </w:num>
  <w:num w:numId="5">
    <w:abstractNumId w:val="2"/>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FhMjhjMjNjOTM1YWNhMWIzZjU0NWRkZTEzMTAyZTIifQ=="/>
    <w:docVar w:name="KSO_WPS_MARK_KEY" w:val="841a7cc2-c802-4f50-8d4b-19657e8c4c18"/>
  </w:docVars>
  <w:rsids>
    <w:rsidRoot w:val="3E5A6C85"/>
    <w:rsid w:val="00077C0D"/>
    <w:rsid w:val="000A6609"/>
    <w:rsid w:val="000D60B2"/>
    <w:rsid w:val="00143DF7"/>
    <w:rsid w:val="001742A7"/>
    <w:rsid w:val="00174CFC"/>
    <w:rsid w:val="001B17CE"/>
    <w:rsid w:val="001C1C18"/>
    <w:rsid w:val="001F4C06"/>
    <w:rsid w:val="00490CAA"/>
    <w:rsid w:val="004B7307"/>
    <w:rsid w:val="004C7D32"/>
    <w:rsid w:val="005128CE"/>
    <w:rsid w:val="005A553F"/>
    <w:rsid w:val="005A78FC"/>
    <w:rsid w:val="005C5D65"/>
    <w:rsid w:val="00647F85"/>
    <w:rsid w:val="006D14AB"/>
    <w:rsid w:val="0091161C"/>
    <w:rsid w:val="009238E3"/>
    <w:rsid w:val="00937FE5"/>
    <w:rsid w:val="009412CA"/>
    <w:rsid w:val="00997E16"/>
    <w:rsid w:val="00AA7872"/>
    <w:rsid w:val="00AD7827"/>
    <w:rsid w:val="00B44F53"/>
    <w:rsid w:val="00BD1004"/>
    <w:rsid w:val="00C40E6C"/>
    <w:rsid w:val="00C9610D"/>
    <w:rsid w:val="00CB1918"/>
    <w:rsid w:val="00CF0B03"/>
    <w:rsid w:val="00D1451C"/>
    <w:rsid w:val="00D67A39"/>
    <w:rsid w:val="00D84F17"/>
    <w:rsid w:val="00EA37A7"/>
    <w:rsid w:val="00FB5B8C"/>
    <w:rsid w:val="037B79F7"/>
    <w:rsid w:val="041D2A27"/>
    <w:rsid w:val="05377B18"/>
    <w:rsid w:val="06440A7A"/>
    <w:rsid w:val="071D4AEC"/>
    <w:rsid w:val="084542FA"/>
    <w:rsid w:val="0A6251B2"/>
    <w:rsid w:val="0D0F4ED6"/>
    <w:rsid w:val="0D513137"/>
    <w:rsid w:val="10602789"/>
    <w:rsid w:val="123258EF"/>
    <w:rsid w:val="12EF1A32"/>
    <w:rsid w:val="144A1E7D"/>
    <w:rsid w:val="15F07B94"/>
    <w:rsid w:val="173B6758"/>
    <w:rsid w:val="191C5F4B"/>
    <w:rsid w:val="1B351FAC"/>
    <w:rsid w:val="1CA53161"/>
    <w:rsid w:val="1D0460DA"/>
    <w:rsid w:val="1D2E3157"/>
    <w:rsid w:val="1F046865"/>
    <w:rsid w:val="1FE67D19"/>
    <w:rsid w:val="20C53DD2"/>
    <w:rsid w:val="228003BD"/>
    <w:rsid w:val="228C104B"/>
    <w:rsid w:val="246B28E3"/>
    <w:rsid w:val="24DA1A42"/>
    <w:rsid w:val="27041B63"/>
    <w:rsid w:val="274F7F6E"/>
    <w:rsid w:val="279A1B15"/>
    <w:rsid w:val="27A42993"/>
    <w:rsid w:val="28196722"/>
    <w:rsid w:val="28447CD2"/>
    <w:rsid w:val="2A07545B"/>
    <w:rsid w:val="2AA67AA4"/>
    <w:rsid w:val="2AA72B5A"/>
    <w:rsid w:val="2AA8279A"/>
    <w:rsid w:val="2ACE5F14"/>
    <w:rsid w:val="2C081B10"/>
    <w:rsid w:val="2D4A0B6E"/>
    <w:rsid w:val="2F072B71"/>
    <w:rsid w:val="2F8530AA"/>
    <w:rsid w:val="32476D3D"/>
    <w:rsid w:val="33ED121E"/>
    <w:rsid w:val="3402116D"/>
    <w:rsid w:val="34030A42"/>
    <w:rsid w:val="34E010E6"/>
    <w:rsid w:val="358856A2"/>
    <w:rsid w:val="3699743B"/>
    <w:rsid w:val="38237904"/>
    <w:rsid w:val="3872263A"/>
    <w:rsid w:val="39D84127"/>
    <w:rsid w:val="3A2B0CF2"/>
    <w:rsid w:val="3A865F28"/>
    <w:rsid w:val="3C1F6635"/>
    <w:rsid w:val="3D3D4FC4"/>
    <w:rsid w:val="3E5A6C85"/>
    <w:rsid w:val="3FB6105E"/>
    <w:rsid w:val="404E74E8"/>
    <w:rsid w:val="419D0727"/>
    <w:rsid w:val="41FF59D4"/>
    <w:rsid w:val="42660F2F"/>
    <w:rsid w:val="43572B58"/>
    <w:rsid w:val="45554E75"/>
    <w:rsid w:val="456A4DC4"/>
    <w:rsid w:val="469D4D26"/>
    <w:rsid w:val="46D01A4F"/>
    <w:rsid w:val="474973FF"/>
    <w:rsid w:val="483D40CA"/>
    <w:rsid w:val="4B86222C"/>
    <w:rsid w:val="4BBC3BEF"/>
    <w:rsid w:val="4CC72AFC"/>
    <w:rsid w:val="4E10402F"/>
    <w:rsid w:val="4E4639BA"/>
    <w:rsid w:val="519E1D35"/>
    <w:rsid w:val="55855303"/>
    <w:rsid w:val="567E1F8B"/>
    <w:rsid w:val="56CE6835"/>
    <w:rsid w:val="56E7105D"/>
    <w:rsid w:val="57F873A0"/>
    <w:rsid w:val="5B5558DD"/>
    <w:rsid w:val="5EFA28BD"/>
    <w:rsid w:val="5F625217"/>
    <w:rsid w:val="5FB94CDF"/>
    <w:rsid w:val="61F061FA"/>
    <w:rsid w:val="62724E61"/>
    <w:rsid w:val="63514A76"/>
    <w:rsid w:val="647F6552"/>
    <w:rsid w:val="64BB489D"/>
    <w:rsid w:val="65884A49"/>
    <w:rsid w:val="65921CF6"/>
    <w:rsid w:val="65B732B6"/>
    <w:rsid w:val="65DB5214"/>
    <w:rsid w:val="66A82BFF"/>
    <w:rsid w:val="66D841F4"/>
    <w:rsid w:val="67AE693B"/>
    <w:rsid w:val="67F105D6"/>
    <w:rsid w:val="69F65D89"/>
    <w:rsid w:val="6AAD2EDA"/>
    <w:rsid w:val="6C715A72"/>
    <w:rsid w:val="6D0B08CD"/>
    <w:rsid w:val="6EEF1D13"/>
    <w:rsid w:val="71BD526D"/>
    <w:rsid w:val="72AE7D36"/>
    <w:rsid w:val="746F63D8"/>
    <w:rsid w:val="747B790C"/>
    <w:rsid w:val="74CA0098"/>
    <w:rsid w:val="75A37A3E"/>
    <w:rsid w:val="75E31EA6"/>
    <w:rsid w:val="768A2321"/>
    <w:rsid w:val="76D0242A"/>
    <w:rsid w:val="791401EC"/>
    <w:rsid w:val="792702FB"/>
    <w:rsid w:val="7B6C0247"/>
    <w:rsid w:val="7EE527EB"/>
    <w:rsid w:val="7F5636E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ody Text"/>
    <w:basedOn w:val="1"/>
    <w:unhideWhenUsed/>
    <w:qFormat/>
    <w:uiPriority w:val="1"/>
    <w:pPr>
      <w:spacing w:before="140"/>
      <w:ind w:left="120"/>
    </w:pPr>
    <w:rPr>
      <w:rFonts w:hint="eastAsia" w:ascii="仿宋" w:hAnsi="仿宋" w:eastAsia="仿宋"/>
      <w:sz w:val="32"/>
    </w:rPr>
  </w:style>
  <w:style w:type="paragraph" w:styleId="4">
    <w:name w:val="Balloon Text"/>
    <w:basedOn w:val="1"/>
    <w:link w:val="12"/>
    <w:qFormat/>
    <w:uiPriority w:val="0"/>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paragraph" w:styleId="6">
    <w:name w:val="annotation subject"/>
    <w:basedOn w:val="2"/>
    <w:next w:val="2"/>
    <w:link w:val="13"/>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character" w:customStyle="1" w:styleId="11">
    <w:name w:val="批注文字 字符"/>
    <w:basedOn w:val="9"/>
    <w:link w:val="2"/>
    <w:qFormat/>
    <w:uiPriority w:val="0"/>
    <w:rPr>
      <w:rFonts w:ascii="Calibri" w:hAnsi="Calibri" w:eastAsia="宋体" w:cs="Times New Roman"/>
      <w:kern w:val="2"/>
      <w:sz w:val="21"/>
      <w:szCs w:val="24"/>
    </w:rPr>
  </w:style>
  <w:style w:type="character" w:customStyle="1" w:styleId="12">
    <w:name w:val="批注框文本 字符"/>
    <w:basedOn w:val="9"/>
    <w:link w:val="4"/>
    <w:qFormat/>
    <w:uiPriority w:val="0"/>
    <w:rPr>
      <w:rFonts w:ascii="Calibri" w:hAnsi="Calibri" w:eastAsia="宋体" w:cs="Times New Roman"/>
      <w:kern w:val="2"/>
      <w:sz w:val="18"/>
      <w:szCs w:val="18"/>
    </w:rPr>
  </w:style>
  <w:style w:type="character" w:customStyle="1" w:styleId="13">
    <w:name w:val="批注主题 字符"/>
    <w:basedOn w:val="11"/>
    <w:link w:val="6"/>
    <w:qFormat/>
    <w:uiPriority w:val="0"/>
    <w:rPr>
      <w:rFonts w:ascii="Calibri" w:hAnsi="Calibri"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hart" Target="charts/chart6.xml"/><Relationship Id="rId8" Type="http://schemas.openxmlformats.org/officeDocument/2006/relationships/chart" Target="charts/chart5.xml"/><Relationship Id="rId7" Type="http://schemas.openxmlformats.org/officeDocument/2006/relationships/chart" Target="charts/chart4.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chart" Target="charts/chart7.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2" Type="http://schemas.openxmlformats.org/officeDocument/2006/relationships/themeOverride" Target="../theme/themeOverride5.xml"/><Relationship Id="rId1" Type="http://schemas.openxmlformats.org/officeDocument/2006/relationships/package" Target="../embeddings/Workbook5.xlsx"/></Relationships>
</file>

<file path=word/charts/_rels/chart3.xml.rels><?xml version="1.0" encoding="UTF-8" standalone="yes"?>
<Relationships xmlns="http://schemas.openxmlformats.org/package/2006/relationships"><Relationship Id="rId2" Type="http://schemas.openxmlformats.org/officeDocument/2006/relationships/themeOverride" Target="../theme/themeOverride7.xml"/><Relationship Id="rId1" Type="http://schemas.openxmlformats.org/officeDocument/2006/relationships/package" Target="../embeddings/Workbook7.xlsx"/></Relationships>
</file>

<file path=word/charts/_rels/chart4.xml.rels><?xml version="1.0" encoding="UTF-8" standalone="yes"?>
<Relationships xmlns="http://schemas.openxmlformats.org/package/2006/relationships"><Relationship Id="rId4" Type="http://schemas.microsoft.com/office/2011/relationships/chartColorStyle" Target="colors5.xml"/><Relationship Id="rId3" Type="http://schemas.microsoft.com/office/2011/relationships/chartStyle" Target="style5.xml"/><Relationship Id="rId2" Type="http://schemas.openxmlformats.org/officeDocument/2006/relationships/themeOverride" Target="../theme/themeOverride6.xml"/><Relationship Id="rId1" Type="http://schemas.openxmlformats.org/officeDocument/2006/relationships/package" Target="../embeddings/Workbook6.xlsx"/></Relationships>
</file>

<file path=word/charts/_rels/chart5.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2.xml"/><Relationship Id="rId1" Type="http://schemas.openxmlformats.org/officeDocument/2006/relationships/package" Target="../embeddings/Workbook2.xlsx"/></Relationships>
</file>

<file path=word/charts/_rels/chart6.xml.rels><?xml version="1.0" encoding="UTF-8" standalone="yes"?>
<Relationships xmlns="http://schemas.openxmlformats.org/package/2006/relationships"><Relationship Id="rId4" Type="http://schemas.microsoft.com/office/2011/relationships/chartColorStyle" Target="colors3.xml"/><Relationship Id="rId3" Type="http://schemas.microsoft.com/office/2011/relationships/chartStyle" Target="style3.xml"/><Relationship Id="rId2" Type="http://schemas.openxmlformats.org/officeDocument/2006/relationships/themeOverride" Target="../theme/themeOverride3.xml"/><Relationship Id="rId1" Type="http://schemas.openxmlformats.org/officeDocument/2006/relationships/package" Target="../embeddings/Workbook3.xlsx"/></Relationships>
</file>

<file path=word/charts/_rels/chart7.xml.rels><?xml version="1.0" encoding="UTF-8" standalone="yes"?>
<Relationships xmlns="http://schemas.openxmlformats.org/package/2006/relationships"><Relationship Id="rId4" Type="http://schemas.microsoft.com/office/2011/relationships/chartColorStyle" Target="colors4.xml"/><Relationship Id="rId3" Type="http://schemas.microsoft.com/office/2011/relationships/chartStyle" Target="style4.xml"/><Relationship Id="rId2" Type="http://schemas.openxmlformats.org/officeDocument/2006/relationships/themeOverride" Target="../theme/themeOverride4.xml"/><Relationship Id="rId1" Type="http://schemas.openxmlformats.org/officeDocument/2006/relationships/package" Target="../embeddings/Workbook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l">
              <a:defRPr lang="zh-CN" sz="1400" b="1" i="0" u="none" strike="noStrike" kern="1200" spc="0" baseline="0">
                <a:solidFill>
                  <a:sysClr val="windowText" lastClr="000000">
                    <a:lumMod val="65000"/>
                    <a:lumOff val="35000"/>
                  </a:sysClr>
                </a:solidFill>
                <a:latin typeface="+mj-ea"/>
                <a:ea typeface="+mj-ea"/>
                <a:cs typeface="+mn-cs"/>
              </a:defRPr>
            </a:pPr>
            <a:r>
              <a:rPr lang="zh-CN" altLang="en-US" b="1">
                <a:latin typeface="+mj-ea"/>
                <a:ea typeface="+mj-ea"/>
              </a:rPr>
              <a:t>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rgbClr val="5B9BD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258.38</c:v>
                </c:pt>
                <c:pt idx="1">
                  <c:v>262.18</c:v>
                </c:pt>
              </c:numCache>
            </c:numRef>
          </c:val>
        </c:ser>
        <c:ser>
          <c:idx val="1"/>
          <c:order val="1"/>
          <c:tx>
            <c:strRef>
              <c:f>'2022年部门收支预算表'!$C$1</c:f>
              <c:strCache>
                <c:ptCount val="1"/>
                <c:pt idx="0">
                  <c:v>支出</c:v>
                </c:pt>
              </c:strCache>
            </c:strRef>
          </c:tx>
          <c:spPr>
            <a:solidFill>
              <a:srgbClr val="ED7D3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258.38</c:v>
                </c:pt>
                <c:pt idx="1">
                  <c:v>262.18</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ysClr val="windowText" lastClr="000000">
                  <a:lumMod val="15000"/>
                  <a:lumOff val="85000"/>
                </a:sys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1" i="0" u="none" strike="noStrike" kern="1200" spc="0" baseline="0">
                <a:solidFill>
                  <a:sysClr val="windowText" lastClr="000000">
                    <a:lumMod val="65000"/>
                    <a:lumOff val="35000"/>
                  </a:sysClr>
                </a:solidFill>
                <a:latin typeface="+mn-lt"/>
                <a:ea typeface="+mn-ea"/>
                <a:cs typeface="+mn-cs"/>
              </a:defRPr>
            </a:pPr>
            <a:r>
              <a:rPr lang="zh-CN" altLang="en-US" b="1"/>
              <a:t>收入预算总体情况</a:t>
            </a:r>
            <a:endParaRPr lang="zh-CN" altLang="en-US" b="1"/>
          </a:p>
        </c:rich>
      </c:tx>
      <c:layout/>
      <c:overlay val="0"/>
      <c:spPr>
        <a:noFill/>
        <a:ln>
          <a:noFill/>
        </a:ln>
        <a:effectLst/>
      </c:spPr>
    </c:title>
    <c:autoTitleDeleted val="0"/>
    <c:plotArea>
      <c:layout/>
      <c:barChart>
        <c:barDir val="bar"/>
        <c:grouping val="clustered"/>
        <c:varyColors val="0"/>
        <c:ser>
          <c:idx val="0"/>
          <c:order val="0"/>
          <c:tx>
            <c:strRef>
              <c:f>Sheet1!$B$1</c:f>
              <c:strCache>
                <c:ptCount val="1"/>
                <c:pt idx="0">
                  <c:v>收入预算</c:v>
                </c:pt>
              </c:strCache>
            </c:strRef>
          </c:tx>
          <c:invertIfNegative val="0"/>
          <c:dPt>
            <c:idx val="0"/>
            <c:invertIfNegative val="0"/>
            <c:bubble3D val="0"/>
            <c:spPr>
              <a:solidFill>
                <a:srgbClr val="5B9BD5"/>
              </a:solidFill>
              <a:ln w="19050">
                <a:solidFill>
                  <a:sysClr val="window" lastClr="FFFFFF"/>
                </a:solidFill>
              </a:ln>
              <a:effectLst/>
            </c:spPr>
          </c:dPt>
          <c:dPt>
            <c:idx val="1"/>
            <c:invertIfNegative val="0"/>
            <c:bubble3D val="0"/>
            <c:spPr>
              <a:solidFill>
                <a:srgbClr val="ED7D31"/>
              </a:solidFill>
              <a:ln w="19050">
                <a:solidFill>
                  <a:sysClr val="window" lastClr="FFFFFF"/>
                </a:solidFill>
              </a:ln>
              <a:effectLst/>
            </c:spPr>
          </c:dPt>
          <c:dPt>
            <c:idx val="2"/>
            <c:invertIfNegative val="0"/>
            <c:bubble3D val="0"/>
            <c:spPr>
              <a:solidFill>
                <a:srgbClr val="A5A5A5"/>
              </a:solidFill>
              <a:ln w="19050">
                <a:solidFill>
                  <a:sysClr val="window" lastClr="FFFFFF"/>
                </a:solidFill>
              </a:ln>
              <a:effectLst/>
            </c:spPr>
          </c:dPt>
          <c:dPt>
            <c:idx val="3"/>
            <c:invertIfNegative val="0"/>
            <c:bubble3D val="0"/>
            <c:spPr>
              <a:solidFill>
                <a:srgbClr val="FFC000"/>
              </a:solidFill>
              <a:ln w="19050">
                <a:solidFill>
                  <a:sysClr val="window" lastClr="FFFFFF"/>
                </a:solidFill>
              </a:ln>
              <a:effectLst/>
            </c:spPr>
          </c:dPt>
          <c:dPt>
            <c:idx val="4"/>
            <c:invertIfNegative val="0"/>
            <c:bubble3D val="0"/>
            <c:spPr>
              <a:solidFill>
                <a:srgbClr val="4472C4"/>
              </a:solidFill>
              <a:ln w="19050">
                <a:solidFill>
                  <a:sysClr val="window" lastClr="FFFFFF"/>
                </a:solidFill>
              </a:ln>
              <a:effectLst/>
            </c:spPr>
          </c:dPt>
          <c:dPt>
            <c:idx val="5"/>
            <c:invertIfNegative val="0"/>
            <c:bubble3D val="0"/>
            <c:spPr>
              <a:solidFill>
                <a:srgbClr val="70AD47"/>
              </a:solidFill>
              <a:ln w="19050">
                <a:solidFill>
                  <a:sysClr val="window" lastClr="FFFFFF"/>
                </a:solidFill>
              </a:ln>
              <a:effectLst/>
            </c:spPr>
          </c:dPt>
          <c:dPt>
            <c:idx val="6"/>
            <c:invertIfNegative val="0"/>
            <c:bubble3D val="0"/>
            <c:spPr>
              <a:solidFill>
                <a:srgbClr val="5B9BD5">
                  <a:lumMod val="60000"/>
                </a:srgbClr>
              </a:solidFill>
              <a:ln w="19050">
                <a:solidFill>
                  <a:sysClr val="window" lastClr="FFFFFF"/>
                </a:solidFill>
              </a:ln>
              <a:effectLst/>
            </c:spPr>
          </c:dPt>
          <c:dPt>
            <c:idx val="7"/>
            <c:invertIfNegative val="0"/>
            <c:bubble3D val="0"/>
            <c:spPr>
              <a:solidFill>
                <a:srgbClr val="ED7D31">
                  <a:lumMod val="60000"/>
                </a:srgbClr>
              </a:solidFill>
              <a:ln w="19050">
                <a:solidFill>
                  <a:sysClr val="window" lastClr="FFFFFF"/>
                </a:solidFill>
              </a:ln>
              <a:effectLst/>
            </c:spPr>
          </c:dPt>
          <c:dPt>
            <c:idx val="8"/>
            <c:invertIfNegative val="0"/>
            <c:bubble3D val="0"/>
            <c:spPr>
              <a:solidFill>
                <a:srgbClr val="A5A5A5">
                  <a:lumMod val="60000"/>
                </a:srgbClr>
              </a:solidFill>
              <a:ln w="19050">
                <a:solidFill>
                  <a:sysClr val="window" lastClr="FFFFFF"/>
                </a:solidFill>
              </a:ln>
              <a:effectLst/>
            </c:spPr>
          </c:dPt>
          <c:dPt>
            <c:idx val="9"/>
            <c:invertIfNegative val="0"/>
            <c:bubble3D val="0"/>
            <c:spPr>
              <a:solidFill>
                <a:srgbClr val="FFC000">
                  <a:lumMod val="60000"/>
                </a:srgbClr>
              </a:solidFill>
              <a:ln w="19050">
                <a:solidFill>
                  <a:sysClr val="window" lastClr="FFFFFF"/>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Sheet1!$A$2:$A$11</c:f>
              <c:strCache>
                <c:ptCount val="10"/>
                <c:pt idx="0">
                  <c:v>一般公共预算收入</c:v>
                </c:pt>
                <c:pt idx="1">
                  <c:v>政府性基金收入</c:v>
                </c:pt>
                <c:pt idx="2">
                  <c:v>国有资本经营收入</c:v>
                </c:pt>
                <c:pt idx="3">
                  <c:v>财政专户管理资金收入</c:v>
                </c:pt>
                <c:pt idx="4">
                  <c:v>事业收入</c:v>
                </c:pt>
                <c:pt idx="5">
                  <c:v>事业单位经营收入</c:v>
                </c:pt>
                <c:pt idx="6">
                  <c:v>上级补助收入</c:v>
                </c:pt>
                <c:pt idx="7">
                  <c:v>附属单位上缴收入</c:v>
                </c:pt>
                <c:pt idx="8">
                  <c:v>其他收入</c:v>
                </c:pt>
                <c:pt idx="9">
                  <c:v>上年结转结余</c:v>
                </c:pt>
              </c:strCache>
            </c:strRef>
          </c:cat>
          <c:val>
            <c:numRef>
              <c:f>Sheet1!$B$2:$B$11</c:f>
              <c:numCache>
                <c:formatCode>General</c:formatCode>
                <c:ptCount val="10"/>
                <c:pt idx="0">
                  <c:v>120</c:v>
                </c:pt>
              </c:numCache>
            </c:numRef>
          </c:val>
        </c:ser>
        <c:dLbls>
          <c:showLegendKey val="0"/>
          <c:showVal val="0"/>
          <c:showCatName val="0"/>
          <c:showSerName val="0"/>
          <c:showPercent val="0"/>
          <c:showBubbleSize val="0"/>
        </c:dLbls>
        <c:gapWidth val="100"/>
        <c:axId val="2127909856"/>
        <c:axId val="2127920256"/>
      </c:barChart>
      <c:catAx>
        <c:axId val="2127909856"/>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ysClr val="windowText" lastClr="000000"/>
                </a:solidFill>
                <a:latin typeface="+mn-lt"/>
                <a:ea typeface="+mn-ea"/>
                <a:cs typeface="+mn-cs"/>
              </a:defRPr>
            </a:pPr>
          </a:p>
        </c:txPr>
        <c:crossAx val="2127920256"/>
        <c:crosses val="autoZero"/>
        <c:auto val="1"/>
        <c:lblAlgn val="ctr"/>
        <c:lblOffset val="100"/>
        <c:noMultiLvlLbl val="0"/>
      </c:catAx>
      <c:valAx>
        <c:axId val="2127920256"/>
        <c:scaling>
          <c:orientation val="minMax"/>
        </c:scaling>
        <c:delete val="0"/>
        <c:axPos val="b"/>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ysClr val="windowText" lastClr="000000"/>
                </a:solidFill>
                <a:latin typeface="+mn-lt"/>
                <a:ea typeface="+mn-ea"/>
                <a:cs typeface="+mn-cs"/>
              </a:defRPr>
            </a:pPr>
          </a:p>
        </c:txPr>
        <c:crossAx val="2127909856"/>
        <c:crosses val="autoZero"/>
        <c:crossBetween val="between"/>
      </c:valAx>
      <c:spPr>
        <a:noFill/>
        <a:ln>
          <a:noFill/>
        </a:ln>
        <a:effectLst/>
      </c:spPr>
    </c:plotArea>
    <c:plotVisOnly val="1"/>
    <c:dispBlanksAs val="gap"/>
    <c:showDLblsOverMax val="0"/>
  </c:chart>
  <c:spPr>
    <a:solidFill>
      <a:sysClr val="window" lastClr="FFFFFF"/>
    </a:solidFill>
    <a:ln w="9525" cap="flat" cmpd="sng" algn="ctr">
      <a:solidFill>
        <a:sysClr val="windowText" lastClr="000000">
          <a:lumMod val="15000"/>
          <a:lumOff val="85000"/>
        </a:sys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1" i="0" u="none" strike="noStrike" kern="1200" spc="0" baseline="0">
                <a:solidFill>
                  <a:sysClr val="windowText" lastClr="000000">
                    <a:lumMod val="65000"/>
                    <a:lumOff val="35000"/>
                  </a:sysClr>
                </a:solidFill>
                <a:latin typeface="+mn-lt"/>
                <a:ea typeface="+mn-ea"/>
                <a:cs typeface="+mn-cs"/>
              </a:defRPr>
            </a:pPr>
            <a:r>
              <a:rPr lang="zh-CN" altLang="en-US" b="1"/>
              <a:t>支出预算总体情况</a:t>
            </a:r>
            <a:endParaRPr lang="zh-CN" altLang="en-US" b="1"/>
          </a:p>
        </c:rich>
      </c:tx>
      <c:layout/>
      <c:overlay val="0"/>
      <c:spPr>
        <a:noFill/>
        <a:ln>
          <a:noFill/>
        </a:ln>
        <a:effectLst/>
      </c:spPr>
    </c:title>
    <c:autoTitleDeleted val="0"/>
    <c:plotArea>
      <c:layout/>
      <c:pieChart>
        <c:varyColors val="1"/>
        <c:ser>
          <c:idx val="0"/>
          <c:order val="0"/>
          <c:tx>
            <c:strRef>
              <c:f>Sheet1!$B$1</c:f>
              <c:strCache>
                <c:ptCount val="1"/>
                <c:pt idx="0">
                  <c:v>支出预算</c:v>
                </c:pt>
              </c:strCache>
            </c:strRef>
          </c:tx>
          <c:explosion val="0"/>
          <c:dPt>
            <c:idx val="0"/>
            <c:bubble3D val="0"/>
            <c:spPr>
              <a:solidFill>
                <a:srgbClr val="5B9BD5"/>
              </a:solidFill>
              <a:ln w="19050">
                <a:solidFill>
                  <a:sysClr val="window" lastClr="FFFFFF"/>
                </a:solidFill>
              </a:ln>
              <a:effectLst/>
            </c:spPr>
          </c:dPt>
          <c:dPt>
            <c:idx val="1"/>
            <c:bubble3D val="0"/>
            <c:spPr>
              <a:solidFill>
                <a:srgbClr val="ED7D31"/>
              </a:solidFill>
              <a:ln w="19050">
                <a:solidFill>
                  <a:sysClr val="window" lastClr="FFFFFF"/>
                </a:solidFill>
              </a:ln>
              <a:effectLst/>
            </c:spPr>
          </c:dPt>
          <c:dLbls>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Sheet1!$A$2:$A$3</c:f>
              <c:strCache>
                <c:ptCount val="2"/>
                <c:pt idx="0">
                  <c:v>基本支出</c:v>
                </c:pt>
                <c:pt idx="1">
                  <c:v>项目支出</c:v>
                </c:pt>
              </c:strCache>
            </c:strRef>
          </c:cat>
          <c:val>
            <c:numRef>
              <c:f>Sheet1!$B$2:$B$3</c:f>
              <c:numCache>
                <c:formatCode>General</c:formatCode>
                <c:ptCount val="2"/>
                <c:pt idx="0">
                  <c:v>252.18</c:v>
                </c:pt>
                <c:pt idx="1">
                  <c:v>10</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ctr">
              <a:defRPr lang="zh-CN" sz="1400" b="1" i="0" u="none" strike="noStrike" kern="1200" spc="0" baseline="0">
                <a:solidFill>
                  <a:sysClr val="windowText" lastClr="000000">
                    <a:lumMod val="65000"/>
                    <a:lumOff val="35000"/>
                  </a:sysClr>
                </a:solidFill>
                <a:latin typeface="+mj-ea"/>
                <a:ea typeface="+mj-ea"/>
                <a:cs typeface="+mn-cs"/>
              </a:defRPr>
            </a:pPr>
            <a:r>
              <a:rPr lang="zh-CN" altLang="en-US" b="1">
                <a:latin typeface="+mj-ea"/>
                <a:ea typeface="+mj-ea"/>
              </a:rPr>
              <a:t>财政拨款收支预算总体情况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rgbClr val="5B9BD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258.38</c:v>
                </c:pt>
                <c:pt idx="1">
                  <c:v>262.18</c:v>
                </c:pt>
              </c:numCache>
            </c:numRef>
          </c:val>
        </c:ser>
        <c:ser>
          <c:idx val="1"/>
          <c:order val="1"/>
          <c:tx>
            <c:strRef>
              <c:f>'2022年部门收支预算表'!$C$1</c:f>
              <c:strCache>
                <c:ptCount val="1"/>
                <c:pt idx="0">
                  <c:v>支出</c:v>
                </c:pt>
              </c:strCache>
            </c:strRef>
          </c:tx>
          <c:spPr>
            <a:solidFill>
              <a:srgbClr val="ED7D3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258.38</c:v>
                </c:pt>
                <c:pt idx="1">
                  <c:v>262.18</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ysClr val="windowText" lastClr="000000">
                  <a:lumMod val="15000"/>
                  <a:lumOff val="85000"/>
                </a:sys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defTabSz="914400">
              <a:defRPr lang="zh-CN" sz="1400" b="1" i="0" u="none" strike="noStrike" kern="1200" spc="0" baseline="0">
                <a:solidFill>
                  <a:sysClr val="windowText" lastClr="000000">
                    <a:lumMod val="65000"/>
                    <a:lumOff val="35000"/>
                  </a:sysClr>
                </a:solidFill>
                <a:latin typeface="+mn-lt"/>
                <a:ea typeface="+mn-ea"/>
                <a:cs typeface="+mn-cs"/>
              </a:defRPr>
            </a:pPr>
            <a:r>
              <a:rPr lang="zh-CN" altLang="en-US" sz="1400"/>
              <a:t>一般公共预算支出预算情况</a:t>
            </a:r>
            <a:endParaRPr lang="zh-CN" altLang="en-US" sz="1400"/>
          </a:p>
        </c:rich>
      </c:tx>
      <c:layout/>
      <c:overlay val="0"/>
      <c:spPr>
        <a:noFill/>
        <a:ln>
          <a:noFill/>
        </a:ln>
        <a:effectLst/>
      </c:spPr>
    </c:title>
    <c:autoTitleDeleted val="0"/>
    <c:plotArea>
      <c:layout/>
      <c:pieChart>
        <c:varyColors val="1"/>
        <c:ser>
          <c:idx val="0"/>
          <c:order val="0"/>
          <c:tx>
            <c:strRef>
              <c:f>Sheet1!$B$1</c:f>
              <c:strCache>
                <c:ptCount val="1"/>
                <c:pt idx="0">
                  <c:v>列1</c:v>
                </c:pt>
              </c:strCache>
            </c:strRef>
          </c:tx>
          <c:spPr/>
          <c:explosion val="0"/>
          <c:dPt>
            <c:idx val="0"/>
            <c:bubble3D val="0"/>
            <c:spPr>
              <a:solidFill>
                <a:srgbClr val="5B9BD5"/>
              </a:solidFill>
              <a:ln w="19050">
                <a:solidFill>
                  <a:sysClr val="window" lastClr="FFFFFF"/>
                </a:solidFill>
              </a:ln>
              <a:effectLst/>
            </c:spPr>
          </c:dPt>
          <c:dPt>
            <c:idx val="1"/>
            <c:bubble3D val="0"/>
            <c:spPr>
              <a:solidFill>
                <a:srgbClr val="ED7D31"/>
              </a:solidFill>
              <a:ln w="19050">
                <a:solidFill>
                  <a:sysClr val="window" lastClr="FFFFFF"/>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ysClr val="windowText" lastClr="000000">
                        <a:lumMod val="65000"/>
                        <a:lumOff val="35000"/>
                      </a:sys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ysClr val="windowText" lastClr="000000">
                          <a:lumMod val="35000"/>
                          <a:lumOff val="65000"/>
                        </a:sys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252.18</c:v>
                </c:pt>
                <c:pt idx="1">
                  <c:v>10</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1" i="0" u="none" strike="noStrike" kern="1200" spc="0" baseline="0">
                <a:solidFill>
                  <a:sysClr val="windowText" lastClr="000000">
                    <a:lumMod val="65000"/>
                    <a:lumOff val="35000"/>
                  </a:sysClr>
                </a:solidFill>
                <a:latin typeface="+mn-lt"/>
                <a:ea typeface="+mn-ea"/>
                <a:cs typeface="+mn-cs"/>
              </a:defRPr>
            </a:pPr>
            <a:r>
              <a:rPr lang="zh-CN" altLang="en-US"/>
              <a:t>一般公共预算基本支出预算情况</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一般公共预算支出预算情况</c:v>
                </c:pt>
              </c:strCache>
            </c:strRef>
          </c:tx>
          <c:spPr/>
          <c:explosion val="0"/>
          <c:dPt>
            <c:idx val="0"/>
            <c:bubble3D val="0"/>
            <c:spPr>
              <a:solidFill>
                <a:srgbClr val="5B9BD5"/>
              </a:solidFill>
              <a:ln w="19050">
                <a:solidFill>
                  <a:sysClr val="window" lastClr="FFFFFF"/>
                </a:solidFill>
              </a:ln>
              <a:effectLst/>
            </c:spPr>
          </c:dPt>
          <c:dPt>
            <c:idx val="1"/>
            <c:bubble3D val="0"/>
            <c:spPr>
              <a:solidFill>
                <a:srgbClr val="ED7D31"/>
              </a:solidFill>
              <a:ln w="19050">
                <a:solidFill>
                  <a:sysClr val="window" lastClr="FFFFFF"/>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ysClr val="windowText" lastClr="000000">
                        <a:lumMod val="65000"/>
                        <a:lumOff val="35000"/>
                      </a:sys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ysClr val="windowText" lastClr="000000">
                          <a:lumMod val="35000"/>
                          <a:lumOff val="65000"/>
                        </a:sysClr>
                      </a:solidFill>
                      <a:round/>
                    </a:ln>
                    <a:effectLst/>
                  </c:spPr>
                </c15:leaderLines>
              </c:ext>
            </c:extLst>
          </c:dLbls>
          <c:cat>
            <c:strRef>
              <c:f>Sheet1!$A$2:$A$3</c:f>
              <c:strCache>
                <c:ptCount val="2"/>
                <c:pt idx="0">
                  <c:v>人员经费</c:v>
                </c:pt>
                <c:pt idx="1">
                  <c:v>公用经费</c:v>
                </c:pt>
              </c:strCache>
            </c:strRef>
          </c:cat>
          <c:val>
            <c:numRef>
              <c:f>Sheet1!$B$2:$B$3</c:f>
              <c:numCache>
                <c:formatCode>General</c:formatCode>
                <c:ptCount val="2"/>
                <c:pt idx="0">
                  <c:v>246.57</c:v>
                </c:pt>
                <c:pt idx="1">
                  <c:v>5.61</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l">
              <a:defRPr lang="zh-CN" sz="1400" b="0" i="0" u="none" strike="noStrike" kern="1200" spc="0" baseline="0">
                <a:solidFill>
                  <a:sysClr val="windowText" lastClr="000000">
                    <a:lumMod val="65000"/>
                    <a:lumOff val="35000"/>
                  </a:sysClr>
                </a:solidFill>
                <a:latin typeface="+mn-lt"/>
                <a:ea typeface="+mn-ea"/>
                <a:cs typeface="+mn-cs"/>
              </a:defRPr>
            </a:pPr>
            <a:r>
              <a:rPr lang="zh-CN" altLang="zh-CN" sz="1400" b="1" i="0" u="none" strike="noStrike" baseline="0">
                <a:effectLst/>
              </a:rPr>
              <a:t>一般公共预算“三公”经费支出预算情况</a:t>
            </a:r>
            <a:endParaRPr lang="zh-CN" altLang="en-US" sz="1400" b="1"/>
          </a:p>
        </c:rich>
      </c:tx>
      <c:layout>
        <c:manualLayout>
          <c:xMode val="edge"/>
          <c:yMode val="edge"/>
          <c:x val="0.188538405971587"/>
          <c:y val="0.0371517027863777"/>
        </c:manualLayout>
      </c:layout>
      <c:overlay val="0"/>
      <c:spPr>
        <a:noFill/>
        <a:ln>
          <a:noFill/>
        </a:ln>
        <a:effectLst/>
      </c:spPr>
    </c:title>
    <c:autoTitleDeleted val="0"/>
    <c:plotArea>
      <c:layout>
        <c:manualLayout>
          <c:layoutTarget val="inner"/>
          <c:xMode val="edge"/>
          <c:yMode val="edge"/>
          <c:x val="0.0992776306284614"/>
          <c:y val="0.152115583075335"/>
          <c:w val="0.876041415843968"/>
          <c:h val="0.649411764705882"/>
        </c:manualLayout>
      </c:layout>
      <c:barChart>
        <c:barDir val="bar"/>
        <c:grouping val="clustered"/>
        <c:varyColors val="0"/>
        <c:ser>
          <c:idx val="0"/>
          <c:order val="0"/>
          <c:tx>
            <c:strRef>
              <c:f>Sheet1!$B$1</c:f>
              <c:strCache>
                <c:ptCount val="1"/>
                <c:pt idx="0">
                  <c:v>因公出国（境）费用</c:v>
                </c:pt>
              </c:strCache>
            </c:strRef>
          </c:tx>
          <c:spPr>
            <a:solidFill>
              <a:srgbClr val="5B9BD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0</c:v>
                </c:pt>
                <c:pt idx="1">
                  <c:v>0</c:v>
                </c:pt>
              </c:numCache>
            </c:numRef>
          </c:val>
        </c:ser>
        <c:ser>
          <c:idx val="1"/>
          <c:order val="1"/>
          <c:tx>
            <c:strRef>
              <c:f>Sheet1!$C$1</c:f>
              <c:strCache>
                <c:ptCount val="1"/>
                <c:pt idx="0">
                  <c:v>公务接待费</c:v>
                </c:pt>
              </c:strCache>
            </c:strRef>
          </c:tx>
          <c:spPr>
            <a:solidFill>
              <a:srgbClr val="ED7D3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Sheet1!$A$2:$A$3</c:f>
              <c:strCache>
                <c:ptCount val="2"/>
                <c:pt idx="0">
                  <c:v>2022年</c:v>
                </c:pt>
                <c:pt idx="1">
                  <c:v>2023年</c:v>
                </c:pt>
              </c:strCache>
            </c:strRef>
          </c:cat>
          <c:val>
            <c:numRef>
              <c:f>Sheet1!$C$2:$C$3</c:f>
              <c:numCache>
                <c:formatCode>General</c:formatCode>
                <c:ptCount val="2"/>
                <c:pt idx="0">
                  <c:v>0</c:v>
                </c:pt>
                <c:pt idx="1">
                  <c:v>0</c:v>
                </c:pt>
              </c:numCache>
            </c:numRef>
          </c:val>
        </c:ser>
        <c:ser>
          <c:idx val="2"/>
          <c:order val="2"/>
          <c:tx>
            <c:strRef>
              <c:f>Sheet1!$D$1</c:f>
              <c:strCache>
                <c:ptCount val="1"/>
                <c:pt idx="0">
                  <c:v>公务用车购置及运行费</c:v>
                </c:pt>
              </c:strCache>
            </c:strRef>
          </c:tx>
          <c:spPr>
            <a:solidFill>
              <a:srgbClr val="A5A5A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Sheet1!$A$2:$A$3</c:f>
              <c:strCache>
                <c:ptCount val="2"/>
                <c:pt idx="0">
                  <c:v>2022年</c:v>
                </c:pt>
                <c:pt idx="1">
                  <c:v>2023年</c:v>
                </c:pt>
              </c:strCache>
            </c:strRef>
          </c:cat>
          <c:val>
            <c:numRef>
              <c:f>Sheet1!$D$2:$D$3</c:f>
              <c:numCache>
                <c:formatCode>General</c:formatCode>
                <c:ptCount val="2"/>
                <c:pt idx="0">
                  <c:v>0</c:v>
                </c:pt>
                <c:pt idx="1">
                  <c:v>0</c:v>
                </c:pt>
              </c:numCache>
            </c:numRef>
          </c:val>
        </c:ser>
        <c:dLbls>
          <c:showLegendKey val="0"/>
          <c:showVal val="1"/>
          <c:showCatName val="0"/>
          <c:showSerName val="0"/>
          <c:showPercent val="0"/>
          <c:showBubbleSize val="0"/>
        </c:dLbls>
        <c:gapWidth val="219"/>
        <c:axId val="408582879"/>
        <c:axId val="408594943"/>
      </c:barChart>
      <c:catAx>
        <c:axId val="408582879"/>
        <c:scaling>
          <c:orientation val="minMax"/>
        </c:scaling>
        <c:delete val="0"/>
        <c:axPos val="l"/>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408594943"/>
        <c:crosses val="autoZero"/>
        <c:auto val="1"/>
        <c:lblAlgn val="ctr"/>
        <c:lblOffset val="100"/>
        <c:noMultiLvlLbl val="0"/>
      </c:catAx>
      <c:valAx>
        <c:axId val="408594943"/>
        <c:scaling>
          <c:orientation val="minMax"/>
        </c:scaling>
        <c:delete val="0"/>
        <c:axPos val="b"/>
        <c:majorGridlines>
          <c:spPr>
            <a:ln w="9525" cap="flat" cmpd="sng" algn="ctr">
              <a:solidFill>
                <a:sysClr val="windowText" lastClr="000000">
                  <a:lumMod val="15000"/>
                  <a:lumOff val="85000"/>
                </a:sys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408582879"/>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9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spPr>
      <a:ln w="19050">
        <a:solidFill>
          <a:sysClr val="window" lastClr="FFFFFF"/>
        </a:solidFill>
      </a:ln>
    </cs:spPr>
  </cs:dataPoint>
  <cs:dataPoint3D>
    <cs:lnRef idx="0"/>
    <cs:fillRef idx="1">
      <cs:styleClr val="auto"/>
    </cs:fillRef>
    <cs:effectRef idx="0"/>
    <cs:fontRef idx="minor">
      <a:sysClr val="windowText" lastClr="000000"/>
    </cs:fontRef>
    <cs:spPr>
      <a:ln w="25400">
        <a:solidFill>
          <a:sysClr val="window" lastClr="FFFFFF"/>
        </a:solidFill>
      </a:ln>
    </cs:spPr>
  </cs:dataPoint3D>
  <cs:dataPointLine>
    <cs:lnRef idx="0">
      <cs:styleClr val="auto"/>
    </cs:lnRef>
    <cs:fillRef idx="0"/>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9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spPr>
      <a:ln w="19050">
        <a:solidFill>
          <a:sysClr val="window" lastClr="FFFFFF"/>
        </a:solidFill>
      </a:ln>
    </cs:spPr>
  </cs:dataPoint>
  <cs:dataPoint3D>
    <cs:lnRef idx="0"/>
    <cs:fillRef idx="1">
      <cs:styleClr val="auto"/>
    </cs:fillRef>
    <cs:effectRef idx="0"/>
    <cs:fontRef idx="minor">
      <a:sysClr val="windowText" lastClr="000000"/>
    </cs:fontRef>
    <cs:spPr>
      <a:ln w="25400">
        <a:solidFill>
          <a:sysClr val="window" lastClr="FFFFFF"/>
        </a:solidFill>
      </a:ln>
    </cs:spPr>
  </cs:dataPoint3D>
  <cs:dataPointLine>
    <cs:lnRef idx="0">
      <cs:styleClr val="auto"/>
    </cs:lnRef>
    <cs:fillRef idx="0"/>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5.xml><?xml version="1.0" encoding="utf-8"?>
<cs:chartStyle xmlns:cs="http://schemas.microsoft.com/office/drawing/2012/chartStyle" xmlns:a="http://schemas.openxmlformats.org/drawingml/2006/main" id="216">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2787</Words>
  <Characters>2995</Characters>
  <Lines>20</Lines>
  <Paragraphs>5</Paragraphs>
  <TotalTime>0</TotalTime>
  <ScaleCrop>false</ScaleCrop>
  <LinksUpToDate>false</LinksUpToDate>
  <CharactersWithSpaces>3027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2022-05-23T00:38:00Z</dcterms:created>
  <dc:creator>Administrator</dc:creator>
  <cp:lastModifiedBy>Administrator</cp:lastModifiedBy>
  <dcterms:modified xsi:type="dcterms:W3CDTF">2023-03-07T09:31:29Z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4EC545D752324EC7B51C1830C6704E49</vt:lpwstr>
  </property>
</Properties>
</file>