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Override PartName="/word/theme/themeOverride2.xml" ContentType="application/vnd.openxmlformats-officedocument.themeOverride+xml"/>
  <Override PartName="/word/theme/themeOverride3.xml" ContentType="application/vnd.openxmlformats-officedocument.themeOverride+xml"/>
  <Override PartName="/word/theme/themeOverride4.xml" ContentType="application/vnd.openxmlformats-officedocument.themeOverride+xml"/>
  <Override PartName="/word/theme/themeOverride5.xml" ContentType="application/vnd.openxmlformats-officedocument.themeOverride+xml"/>
  <Override PartName="/word/theme/themeOverride6.xml" ContentType="application/vnd.openxmlformats-officedocument.themeOverride+xml"/>
  <Override PartName="/word/theme/themeOverride7.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ascii="黑体" w:hAnsi="黑体" w:eastAsia="黑体" w:cs="黑体"/>
          <w:b/>
          <w:bCs/>
          <w:sz w:val="44"/>
          <w:szCs w:val="44"/>
        </w:rPr>
      </w:pPr>
    </w:p>
    <w:p>
      <w:pPr>
        <w:spacing w:line="480" w:lineRule="auto"/>
        <w:jc w:val="center"/>
        <w:rPr>
          <w:rFonts w:ascii="宋体" w:hAnsi="宋体" w:eastAsia="宋体" w:cs="宋体"/>
          <w:b/>
          <w:bCs/>
          <w:sz w:val="44"/>
          <w:szCs w:val="44"/>
        </w:rPr>
      </w:pPr>
      <w:r>
        <w:rPr>
          <w:rFonts w:hint="eastAsia" w:ascii="黑体" w:hAnsi="黑体" w:eastAsia="黑体" w:cs="黑体"/>
          <w:b/>
          <w:bCs/>
          <w:sz w:val="44"/>
          <w:szCs w:val="44"/>
          <w:lang w:eastAsia="zh-CN"/>
        </w:rPr>
        <w:t>2023年</w:t>
      </w:r>
      <w:r>
        <w:rPr>
          <w:rFonts w:hint="eastAsia" w:ascii="黑体" w:hAnsi="黑体" w:eastAsia="黑体" w:cs="黑体"/>
          <w:b/>
          <w:bCs/>
          <w:sz w:val="44"/>
          <w:szCs w:val="44"/>
        </w:rPr>
        <w:t>淮滨县自然资源局部门预算说明</w:t>
      </w:r>
    </w:p>
    <w:p>
      <w:pPr>
        <w:pStyle w:val="3"/>
        <w:tabs>
          <w:tab w:val="left" w:pos="880"/>
        </w:tabs>
        <w:kinsoku w:val="0"/>
        <w:overflowPunct w:val="0"/>
        <w:spacing w:before="0" w:line="480" w:lineRule="auto"/>
        <w:ind w:left="0"/>
        <w:jc w:val="center"/>
        <w:rPr>
          <w:rFonts w:hint="default" w:ascii="黑体" w:hAnsi="黑体" w:eastAsia="黑体" w:cs="黑体"/>
          <w:b/>
          <w:w w:val="95"/>
          <w:sz w:val="30"/>
          <w:szCs w:val="30"/>
        </w:rPr>
      </w:pPr>
    </w:p>
    <w:p>
      <w:pPr>
        <w:pStyle w:val="3"/>
        <w:tabs>
          <w:tab w:val="left" w:pos="880"/>
        </w:tabs>
        <w:kinsoku w:val="0"/>
        <w:overflowPunct w:val="0"/>
        <w:spacing w:before="0" w:line="480" w:lineRule="auto"/>
        <w:ind w:left="0"/>
        <w:jc w:val="center"/>
        <w:rPr>
          <w:rFonts w:hint="default" w:ascii="黑体" w:hAnsi="黑体" w:eastAsia="黑体" w:cs="黑体"/>
          <w:b/>
          <w:sz w:val="44"/>
          <w:szCs w:val="44"/>
        </w:rPr>
      </w:pPr>
      <w:r>
        <w:rPr>
          <w:rFonts w:ascii="黑体" w:hAnsi="黑体" w:eastAsia="黑体" w:cs="黑体"/>
          <w:b/>
          <w:w w:val="95"/>
          <w:sz w:val="44"/>
          <w:szCs w:val="44"/>
        </w:rPr>
        <w:t>目</w:t>
      </w:r>
      <w:r>
        <w:rPr>
          <w:rFonts w:ascii="黑体" w:hAnsi="黑体" w:eastAsia="黑体" w:cs="黑体"/>
          <w:b/>
          <w:w w:val="95"/>
          <w:sz w:val="44"/>
          <w:szCs w:val="44"/>
        </w:rPr>
        <w:tab/>
      </w:r>
      <w:r>
        <w:rPr>
          <w:rFonts w:ascii="黑体" w:hAnsi="黑体" w:eastAsia="黑体" w:cs="黑体"/>
          <w:b/>
          <w:sz w:val="44"/>
          <w:szCs w:val="44"/>
        </w:rPr>
        <w:t>录</w:t>
      </w:r>
    </w:p>
    <w:p>
      <w:pPr>
        <w:kinsoku w:val="0"/>
        <w:overflowPunct w:val="0"/>
        <w:autoSpaceDE w:val="0"/>
        <w:autoSpaceDN w:val="0"/>
        <w:adjustRightInd w:val="0"/>
        <w:spacing w:before="351"/>
        <w:ind w:right="126"/>
        <w:rPr>
          <w:rFonts w:ascii="黑体" w:hAnsi="黑体" w:eastAsia="黑体" w:cs="黑体"/>
          <w:sz w:val="32"/>
          <w:szCs w:val="32"/>
        </w:rPr>
      </w:pPr>
      <w:r>
        <w:rPr>
          <w:rFonts w:hint="eastAsia" w:ascii="黑体" w:hAnsi="黑体" w:eastAsia="黑体" w:cs="黑体"/>
          <w:sz w:val="32"/>
          <w:szCs w:val="32"/>
        </w:rPr>
        <w:t>第一部分</w:t>
      </w:r>
      <w:r>
        <w:rPr>
          <w:rFonts w:hint="eastAsia" w:ascii="黑体" w:hAnsi="黑体" w:eastAsia="黑体" w:cs="黑体"/>
          <w:spacing w:val="-7"/>
          <w:sz w:val="32"/>
          <w:szCs w:val="32"/>
        </w:rPr>
        <w:t>淮滨县自然资源局</w:t>
      </w:r>
      <w:r>
        <w:rPr>
          <w:rFonts w:hint="eastAsia" w:ascii="黑体" w:hAnsi="黑体" w:eastAsia="黑体" w:cs="黑体"/>
          <w:sz w:val="32"/>
          <w:szCs w:val="32"/>
        </w:rPr>
        <w:t>概况</w:t>
      </w:r>
    </w:p>
    <w:p>
      <w:pPr>
        <w:kinsoku w:val="0"/>
        <w:overflowPunct w:val="0"/>
        <w:autoSpaceDE w:val="0"/>
        <w:autoSpaceDN w:val="0"/>
        <w:adjustRightInd w:val="0"/>
        <w:spacing w:line="560" w:lineRule="exact"/>
        <w:ind w:firstLine="320" w:firstLineChars="100"/>
        <w:rPr>
          <w:rFonts w:ascii="仿宋" w:hAnsi="仿宋" w:eastAsia="仿宋" w:cs="Times New Roman"/>
          <w:w w:val="99"/>
          <w:sz w:val="32"/>
          <w:szCs w:val="32"/>
        </w:rPr>
      </w:pPr>
      <w:r>
        <w:rPr>
          <w:rFonts w:hint="eastAsia" w:ascii="仿宋" w:hAnsi="仿宋" w:eastAsia="仿宋" w:cs="Times New Roman"/>
          <w:sz w:val="32"/>
          <w:szCs w:val="32"/>
        </w:rPr>
        <w:t>一、主要职责</w:t>
      </w:r>
      <w:r>
        <w:rPr>
          <w:rFonts w:hint="eastAsia" w:ascii="仿宋" w:hAnsi="仿宋" w:eastAsia="仿宋" w:cs="Times New Roman"/>
          <w:w w:val="99"/>
          <w:sz w:val="32"/>
          <w:szCs w:val="32"/>
        </w:rPr>
        <w:t xml:space="preserve"> </w:t>
      </w:r>
    </w:p>
    <w:p>
      <w:pPr>
        <w:kinsoku w:val="0"/>
        <w:overflowPunct w:val="0"/>
        <w:autoSpaceDE w:val="0"/>
        <w:autoSpaceDN w:val="0"/>
        <w:adjustRightInd w:val="0"/>
        <w:spacing w:line="560" w:lineRule="exact"/>
        <w:ind w:firstLine="320" w:firstLineChars="100"/>
        <w:rPr>
          <w:rFonts w:hint="eastAsia" w:ascii="仿宋" w:hAnsi="仿宋" w:eastAsia="仿宋"/>
          <w:sz w:val="32"/>
          <w:szCs w:val="32"/>
        </w:rPr>
      </w:pPr>
      <w:r>
        <w:rPr>
          <w:rFonts w:hint="eastAsia" w:ascii="仿宋" w:hAnsi="仿宋" w:eastAsia="仿宋"/>
          <w:sz w:val="32"/>
          <w:szCs w:val="32"/>
        </w:rPr>
        <w:t>二、</w:t>
      </w:r>
      <w:r>
        <w:rPr>
          <w:rFonts w:hint="eastAsia" w:ascii="黑体" w:hAnsi="黑体" w:eastAsia="黑体" w:cs="黑体"/>
          <w:sz w:val="32"/>
          <w:szCs w:val="32"/>
        </w:rPr>
        <w:t>内设机构设置情况</w:t>
      </w:r>
    </w:p>
    <w:p>
      <w:pPr>
        <w:kinsoku w:val="0"/>
        <w:overflowPunct w:val="0"/>
        <w:autoSpaceDE w:val="0"/>
        <w:autoSpaceDN w:val="0"/>
        <w:adjustRightInd w:val="0"/>
        <w:spacing w:before="12" w:line="357" w:lineRule="auto"/>
        <w:ind w:right="126" w:firstLine="320" w:firstLineChars="100"/>
        <w:rPr>
          <w:rFonts w:hint="eastAsia" w:ascii="黑体" w:hAnsi="黑体" w:eastAsia="黑体" w:cs="黑体"/>
          <w:sz w:val="32"/>
          <w:szCs w:val="32"/>
        </w:rPr>
      </w:pPr>
      <w:r>
        <w:rPr>
          <w:rFonts w:hint="eastAsia" w:ascii="仿宋" w:hAnsi="仿宋" w:eastAsia="仿宋"/>
          <w:sz w:val="32"/>
          <w:szCs w:val="32"/>
          <w:lang w:eastAsia="zh-CN"/>
        </w:rPr>
        <w:t>三、</w:t>
      </w:r>
      <w:r>
        <w:rPr>
          <w:rFonts w:hint="eastAsia" w:ascii="黑体" w:hAnsi="黑体" w:eastAsia="黑体" w:cs="黑体"/>
          <w:sz w:val="32"/>
          <w:szCs w:val="32"/>
        </w:rPr>
        <w:t>部门所属预算单位构成情况</w:t>
      </w:r>
    </w:p>
    <w:p>
      <w:pPr>
        <w:kinsoku w:val="0"/>
        <w:overflowPunct w:val="0"/>
        <w:autoSpaceDE w:val="0"/>
        <w:autoSpaceDN w:val="0"/>
        <w:adjustRightInd w:val="0"/>
        <w:spacing w:before="12" w:line="357" w:lineRule="auto"/>
        <w:ind w:right="126"/>
        <w:rPr>
          <w:rFonts w:ascii="黑体" w:hAnsi="黑体" w:eastAsia="黑体" w:cs="Times New Roman"/>
          <w:w w:val="99"/>
          <w:sz w:val="32"/>
          <w:szCs w:val="32"/>
        </w:rPr>
      </w:pPr>
      <w:r>
        <w:rPr>
          <w:rFonts w:hint="eastAsia" w:ascii="黑体" w:hAnsi="黑体" w:eastAsia="黑体" w:cs="Times New Roman"/>
          <w:sz w:val="32"/>
          <w:szCs w:val="32"/>
        </w:rPr>
        <w:t>第二部分</w:t>
      </w:r>
      <w:r>
        <w:rPr>
          <w:rFonts w:hint="eastAsia" w:ascii="黑体" w:hAnsi="黑体" w:eastAsia="黑体" w:cs="Times New Roman"/>
          <w:spacing w:val="-5"/>
          <w:sz w:val="32"/>
          <w:szCs w:val="32"/>
        </w:rPr>
        <w:t xml:space="preserve"> 淮滨县自然资源局</w:t>
      </w:r>
      <w:r>
        <w:rPr>
          <w:rFonts w:hint="eastAsia" w:ascii="黑体" w:hAnsi="黑体" w:eastAsia="黑体" w:cs="Times New Roman"/>
          <w:sz w:val="32"/>
          <w:szCs w:val="32"/>
        </w:rPr>
        <w:t>202</w:t>
      </w:r>
      <w:r>
        <w:rPr>
          <w:rFonts w:hint="eastAsia" w:ascii="黑体" w:hAnsi="黑体" w:eastAsia="黑体" w:cs="Times New Roman"/>
          <w:sz w:val="32"/>
          <w:szCs w:val="32"/>
          <w:lang w:val="en-US" w:eastAsia="zh-CN"/>
        </w:rPr>
        <w:t>3</w:t>
      </w:r>
      <w:r>
        <w:rPr>
          <w:rFonts w:hint="eastAsia" w:ascii="黑体" w:hAnsi="黑体" w:eastAsia="黑体" w:cs="Times New Roman"/>
          <w:spacing w:val="-83"/>
          <w:sz w:val="32"/>
          <w:szCs w:val="32"/>
        </w:rPr>
        <w:t xml:space="preserve"> </w:t>
      </w:r>
      <w:r>
        <w:rPr>
          <w:rFonts w:hint="eastAsia" w:ascii="黑体" w:hAnsi="黑体" w:eastAsia="黑体" w:cs="Times New Roman"/>
          <w:sz w:val="32"/>
          <w:szCs w:val="32"/>
        </w:rPr>
        <w:t>年度部门预算情况说明</w:t>
      </w:r>
      <w:r>
        <w:rPr>
          <w:rFonts w:hint="eastAsia" w:ascii="黑体" w:hAnsi="黑体" w:eastAsia="黑体" w:cs="Times New Roman"/>
          <w:w w:val="99"/>
          <w:sz w:val="32"/>
          <w:szCs w:val="32"/>
        </w:rPr>
        <w:t xml:space="preserve"> </w:t>
      </w:r>
    </w:p>
    <w:p>
      <w:pPr>
        <w:kinsoku w:val="0"/>
        <w:overflowPunct w:val="0"/>
        <w:autoSpaceDE w:val="0"/>
        <w:autoSpaceDN w:val="0"/>
        <w:adjustRightInd w:val="0"/>
        <w:spacing w:before="12" w:line="357" w:lineRule="auto"/>
        <w:ind w:right="126"/>
        <w:rPr>
          <w:rFonts w:ascii="黑体" w:hAnsi="黑体" w:eastAsia="黑体" w:cs="Times New Roman"/>
          <w:sz w:val="32"/>
          <w:szCs w:val="32"/>
        </w:rPr>
      </w:pPr>
      <w:r>
        <w:rPr>
          <w:rFonts w:hint="eastAsia" w:ascii="黑体" w:hAnsi="黑体" w:eastAsia="黑体" w:cs="Times New Roman"/>
          <w:sz w:val="32"/>
          <w:szCs w:val="32"/>
        </w:rPr>
        <w:t>第三部分</w:t>
      </w:r>
      <w:r>
        <w:rPr>
          <w:rFonts w:hint="eastAsia" w:ascii="黑体" w:hAnsi="黑体" w:eastAsia="黑体" w:cs="Times New Roman"/>
          <w:spacing w:val="-3"/>
          <w:sz w:val="32"/>
          <w:szCs w:val="32"/>
        </w:rPr>
        <w:t xml:space="preserve"> </w:t>
      </w:r>
      <w:r>
        <w:rPr>
          <w:rFonts w:hint="eastAsia" w:ascii="黑体" w:hAnsi="黑体" w:eastAsia="黑体" w:cs="Times New Roman"/>
          <w:sz w:val="32"/>
          <w:szCs w:val="32"/>
        </w:rPr>
        <w:t>名词解释</w:t>
      </w:r>
    </w:p>
    <w:p>
      <w:pPr>
        <w:kinsoku w:val="0"/>
        <w:overflowPunct w:val="0"/>
        <w:autoSpaceDE w:val="0"/>
        <w:autoSpaceDN w:val="0"/>
        <w:adjustRightInd w:val="0"/>
        <w:spacing w:before="48" w:line="345" w:lineRule="auto"/>
        <w:ind w:right="766"/>
        <w:rPr>
          <w:rFonts w:ascii="黑体" w:hAnsi="黑体" w:eastAsia="黑体" w:cs="Times New Roman"/>
          <w:sz w:val="32"/>
          <w:szCs w:val="32"/>
        </w:rPr>
      </w:pPr>
      <w:r>
        <w:rPr>
          <w:rFonts w:hint="eastAsia" w:ascii="黑体" w:hAnsi="黑体" w:eastAsia="黑体" w:cs="Times New Roman"/>
          <w:sz w:val="32"/>
          <w:szCs w:val="32"/>
        </w:rPr>
        <w:t>附件：淮滨县自然资源局</w:t>
      </w:r>
      <w:r>
        <w:rPr>
          <w:rFonts w:hint="eastAsia" w:ascii="黑体" w:hAnsi="黑体" w:eastAsia="黑体" w:cs="Times New Roman"/>
          <w:sz w:val="32"/>
          <w:szCs w:val="32"/>
          <w:lang w:eastAsia="zh-CN"/>
        </w:rPr>
        <w:t>2023年</w:t>
      </w:r>
      <w:r>
        <w:rPr>
          <w:rFonts w:hint="eastAsia" w:ascii="黑体" w:hAnsi="黑体" w:eastAsia="黑体" w:cs="Times New Roman"/>
          <w:sz w:val="32"/>
          <w:szCs w:val="32"/>
        </w:rPr>
        <w:t>度部门预算表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部门收支预算表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部门收入预算表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部门支出预算表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财政拨款收支预算表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一般公共预算支出预算表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一般公共预算基本支出预算表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支出经济分类汇总表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一般公共预算“三公”经费预算表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政府性基金支出预算表</w:t>
      </w:r>
    </w:p>
    <w:p>
      <w:pPr>
        <w:numPr>
          <w:ilvl w:val="0"/>
          <w:numId w:val="1"/>
        </w:numPr>
        <w:kinsoku w:val="0"/>
        <w:overflowPunct w:val="0"/>
        <w:autoSpaceDE w:val="0"/>
        <w:autoSpaceDN w:val="0"/>
        <w:adjustRightInd w:val="0"/>
        <w:spacing w:before="48" w:line="560" w:lineRule="exact"/>
        <w:ind w:right="765" w:firstLine="28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国有资本经营支出预算表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项目支出预算表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政府采购预算表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部门(单位)整体绩效目标表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部门(单位)预算项目绩效目标表</w:t>
      </w: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pStyle w:val="3"/>
        <w:numPr>
          <w:ilvl w:val="0"/>
          <w:numId w:val="2"/>
        </w:numPr>
        <w:tabs>
          <w:tab w:val="left" w:pos="880"/>
        </w:tabs>
        <w:kinsoku w:val="0"/>
        <w:overflowPunct w:val="0"/>
        <w:spacing w:before="0"/>
        <w:jc w:val="center"/>
        <w:rPr>
          <w:rFonts w:hint="default" w:ascii="黑体" w:hAnsi="黑体" w:eastAsia="黑体" w:cs="黑体"/>
          <w:b/>
          <w:sz w:val="36"/>
          <w:szCs w:val="36"/>
        </w:rPr>
      </w:pPr>
    </w:p>
    <w:p>
      <w:pPr>
        <w:pStyle w:val="3"/>
        <w:tabs>
          <w:tab w:val="left" w:pos="880"/>
        </w:tabs>
        <w:kinsoku w:val="0"/>
        <w:overflowPunct w:val="0"/>
        <w:spacing w:before="0"/>
        <w:ind w:left="0"/>
        <w:jc w:val="center"/>
        <w:rPr>
          <w:rFonts w:hint="default" w:ascii="黑体" w:hAnsi="黑体" w:eastAsia="黑体" w:cs="黑体"/>
          <w:b/>
          <w:sz w:val="36"/>
          <w:szCs w:val="36"/>
        </w:rPr>
      </w:pPr>
      <w:r>
        <w:rPr>
          <w:rFonts w:hint="eastAsia" w:ascii="黑体" w:hAnsi="黑体" w:eastAsia="黑体" w:cs="黑体"/>
          <w:b/>
          <w:sz w:val="36"/>
          <w:szCs w:val="36"/>
        </w:rPr>
        <w:t>淮滨县自然资源局</w:t>
      </w:r>
      <w:r>
        <w:rPr>
          <w:rFonts w:ascii="黑体" w:hAnsi="黑体" w:eastAsia="黑体" w:cs="黑体"/>
          <w:b/>
          <w:sz w:val="36"/>
          <w:szCs w:val="36"/>
        </w:rPr>
        <w:t>概况</w:t>
      </w:r>
    </w:p>
    <w:p>
      <w:pPr>
        <w:pStyle w:val="3"/>
        <w:tabs>
          <w:tab w:val="left" w:pos="880"/>
        </w:tabs>
        <w:kinsoku w:val="0"/>
        <w:overflowPunct w:val="0"/>
        <w:spacing w:before="0"/>
        <w:ind w:left="0"/>
        <w:jc w:val="center"/>
        <w:rPr>
          <w:rFonts w:hint="default" w:ascii="黑体" w:hAnsi="黑体" w:eastAsia="黑体" w:cs="黑体"/>
          <w:b/>
          <w:sz w:val="36"/>
          <w:szCs w:val="36"/>
        </w:rPr>
      </w:pPr>
    </w:p>
    <w:p>
      <w:pPr>
        <w:pStyle w:val="3"/>
        <w:numPr>
          <w:ilvl w:val="0"/>
          <w:numId w:val="3"/>
        </w:numPr>
        <w:tabs>
          <w:tab w:val="left" w:pos="880"/>
        </w:tabs>
        <w:kinsoku w:val="0"/>
        <w:overflowPunct w:val="0"/>
        <w:spacing w:before="0"/>
        <w:ind w:firstLine="640" w:firstLineChars="200"/>
        <w:jc w:val="left"/>
        <w:rPr>
          <w:rFonts w:hint="default" w:ascii="黑体" w:hAnsi="黑体" w:eastAsia="黑体" w:cs="黑体"/>
          <w:bCs/>
          <w:szCs w:val="32"/>
        </w:rPr>
      </w:pPr>
      <w:r>
        <w:rPr>
          <w:rFonts w:hint="eastAsia" w:ascii="黑体" w:hAnsi="黑体" w:eastAsia="黑体" w:cs="黑体"/>
          <w:bCs/>
          <w:szCs w:val="32"/>
        </w:rPr>
        <w:t>淮滨县自然资源局</w:t>
      </w:r>
      <w:r>
        <w:rPr>
          <w:rFonts w:ascii="黑体" w:hAnsi="黑体" w:eastAsia="黑体" w:cs="黑体"/>
          <w:bCs/>
          <w:szCs w:val="32"/>
        </w:rPr>
        <w:t>主要职责</w:t>
      </w:r>
    </w:p>
    <w:p>
      <w:pPr>
        <w:pStyle w:val="3"/>
        <w:tabs>
          <w:tab w:val="left" w:pos="880"/>
        </w:tabs>
        <w:kinsoku w:val="0"/>
        <w:overflowPunct w:val="0"/>
        <w:spacing w:before="0"/>
        <w:ind w:left="420" w:leftChars="200" w:firstLine="320" w:firstLineChars="100"/>
        <w:jc w:val="left"/>
        <w:rPr>
          <w:rFonts w:hint="default" w:ascii="仿宋_GB2312" w:hAnsi="仿宋_GB2312" w:eastAsia="仿宋_GB2312" w:cs="仿宋_GB2312"/>
          <w:bCs/>
          <w:szCs w:val="32"/>
        </w:rPr>
      </w:pPr>
      <w:r>
        <w:rPr>
          <w:rFonts w:hint="eastAsia" w:ascii="仿宋_GB2312" w:hAnsi="仿宋_GB2312" w:eastAsia="仿宋_GB2312" w:cs="仿宋_GB2312"/>
          <w:bCs/>
          <w:szCs w:val="32"/>
        </w:rPr>
        <w:t>淮滨县自然资源局</w:t>
      </w:r>
      <w:r>
        <w:rPr>
          <w:rFonts w:ascii="仿宋_GB2312" w:hAnsi="仿宋_GB2312" w:eastAsia="仿宋_GB2312" w:cs="仿宋_GB2312"/>
          <w:bCs/>
          <w:szCs w:val="32"/>
        </w:rPr>
        <w:t>主要职责是：</w:t>
      </w:r>
    </w:p>
    <w:p>
      <w:pPr>
        <w:ind w:firstLine="640" w:firstLineChars="200"/>
        <w:jc w:val="left"/>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w:t>
      </w:r>
      <w:r>
        <w:rPr>
          <w:rFonts w:hint="eastAsia" w:ascii="仿宋_GB2312" w:hAnsi="仿宋_GB2312" w:eastAsia="仿宋_GB2312" w:cs="仿宋_GB2312"/>
          <w:bCs/>
          <w:sz w:val="32"/>
          <w:szCs w:val="32"/>
          <w:lang w:eastAsia="zh-CN"/>
        </w:rPr>
        <w:t>一</w:t>
      </w:r>
      <w:r>
        <w:rPr>
          <w:rFonts w:hint="eastAsia" w:ascii="仿宋_GB2312" w:hAnsi="仿宋_GB2312" w:eastAsia="仿宋_GB2312" w:cs="仿宋_GB2312"/>
          <w:bCs/>
          <w:sz w:val="32"/>
          <w:szCs w:val="32"/>
        </w:rPr>
        <w:t>)履行县内全民所有上地、矿产、森林、草原、湿地、水等自然资</w:t>
      </w:r>
      <w:r>
        <w:rPr>
          <w:rFonts w:hint="eastAsia" w:ascii="仿宋_GB2312" w:hAnsi="仿宋_GB2312" w:eastAsia="仿宋_GB2312" w:cs="仿宋_GB2312"/>
          <w:bCs/>
          <w:sz w:val="32"/>
          <w:szCs w:val="32"/>
          <w:lang w:eastAsia="zh-CN"/>
        </w:rPr>
        <w:t>源</w:t>
      </w:r>
      <w:r>
        <w:rPr>
          <w:rFonts w:hint="eastAsia" w:ascii="仿宋_GB2312" w:hAnsi="仿宋_GB2312" w:eastAsia="仿宋_GB2312" w:cs="仿宋_GB2312"/>
          <w:bCs/>
          <w:sz w:val="32"/>
          <w:szCs w:val="32"/>
        </w:rPr>
        <w:t>资产所有老职贵和所有国土空间用途管制职贲。组织实施自然资源和国土空间规划及测绘等法律法规，拟定相关管理办法并贯狈实施。监督检查自然资派和国土空间规划及测绘等法锌法规的执行情况</w:t>
      </w:r>
      <w:r>
        <w:rPr>
          <w:rFonts w:hint="eastAsia" w:ascii="仿宋_GB2312" w:hAnsi="仿宋_GB2312" w:eastAsia="仿宋_GB2312" w:cs="仿宋_GB2312"/>
          <w:bCs/>
          <w:sz w:val="32"/>
          <w:szCs w:val="32"/>
          <w:lang w:eastAsia="zh-CN"/>
        </w:rPr>
        <w:t>。</w:t>
      </w:r>
    </w:p>
    <w:p>
      <w:pPr>
        <w:ind w:firstLine="640" w:firstLineChars="200"/>
        <w:jc w:val="left"/>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二)负责全县自然资源调查监测评价，贯彻抗行国家自然资源调查监测评价的指枟体系和统计标准，建立統一规范的自然资源调查监测评价制度。实施自然资源基础调查专项调查和监浏。负贲自然资源凋查监测价成果的监督管理和信息发布。指导全县自然资源调查监测评价工作</w:t>
      </w:r>
      <w:r>
        <w:rPr>
          <w:rFonts w:hint="eastAsia" w:ascii="仿宋_GB2312" w:hAnsi="仿宋_GB2312" w:eastAsia="仿宋_GB2312" w:cs="仿宋_GB2312"/>
          <w:bCs/>
          <w:sz w:val="32"/>
          <w:szCs w:val="32"/>
          <w:lang w:eastAsia="zh-CN"/>
        </w:rPr>
        <w:t>。</w:t>
      </w:r>
    </w:p>
    <w:p>
      <w:pPr>
        <w:ind w:firstLine="640" w:firstLineChars="200"/>
        <w:jc w:val="left"/>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三)负责全县自然资源绕一确权登记工作，贯彻执行国家各类自然资源和不动产统一确权登记、权籍调查、不动产测绘、争议调处、成罘应蔗的制庋、枟准、规菹。殡立健全全县言然资源和不动产登记信息管理基础平台。负责自然资源和不动产登记资收集、整理、共享、汇交管理等，指</w:t>
      </w:r>
      <w:r>
        <w:rPr>
          <w:rFonts w:hint="eastAsia" w:ascii="仿宋_GB2312" w:hAnsi="仿宋_GB2312" w:eastAsia="仿宋_GB2312" w:cs="仿宋_GB2312"/>
          <w:bCs/>
          <w:sz w:val="32"/>
          <w:szCs w:val="32"/>
          <w:lang w:eastAsia="zh-CN"/>
        </w:rPr>
        <w:t>导</w:t>
      </w:r>
      <w:r>
        <w:rPr>
          <w:rFonts w:hint="eastAsia" w:ascii="仿宋_GB2312" w:hAnsi="仿宋_GB2312" w:eastAsia="仿宋_GB2312" w:cs="仿宋_GB2312"/>
          <w:bCs/>
          <w:sz w:val="32"/>
          <w:szCs w:val="32"/>
        </w:rPr>
        <w:t>监督全县然资源和不动产硝权登记工作</w:t>
      </w:r>
      <w:r>
        <w:rPr>
          <w:rFonts w:hint="eastAsia" w:ascii="仿宋_GB2312" w:hAnsi="仿宋_GB2312" w:eastAsia="仿宋_GB2312" w:cs="仿宋_GB2312"/>
          <w:bCs/>
          <w:sz w:val="32"/>
          <w:szCs w:val="32"/>
          <w:lang w:eastAsia="zh-CN"/>
        </w:rPr>
        <w:t>。</w:t>
      </w:r>
    </w:p>
    <w:p>
      <w:pPr>
        <w:ind w:firstLine="640" w:firstLineChars="200"/>
        <w:jc w:val="left"/>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w:t>
      </w:r>
      <w:r>
        <w:rPr>
          <w:rFonts w:hint="eastAsia" w:ascii="仿宋_GB2312" w:hAnsi="仿宋_GB2312" w:eastAsia="仿宋_GB2312" w:cs="仿宋_GB2312"/>
          <w:bCs/>
          <w:sz w:val="32"/>
          <w:szCs w:val="32"/>
          <w:lang w:eastAsia="zh-CN"/>
        </w:rPr>
        <w:t>四</w:t>
      </w:r>
      <w:r>
        <w:rPr>
          <w:rFonts w:hint="eastAsia" w:ascii="仿宋_GB2312" w:hAnsi="仿宋_GB2312" w:eastAsia="仿宋_GB2312" w:cs="仿宋_GB2312"/>
          <w:bCs/>
          <w:sz w:val="32"/>
          <w:szCs w:val="32"/>
        </w:rPr>
        <w:t>)负责全层自然资源资产有偿使用工作。执行国家全民所有自然资源资产统</w:t>
      </w:r>
      <w:r>
        <w:rPr>
          <w:rFonts w:hint="eastAsia" w:ascii="仿宋_GB2312" w:hAnsi="仿宋_GB2312" w:eastAsia="仿宋_GB2312" w:cs="仿宋_GB2312"/>
          <w:bCs/>
          <w:sz w:val="32"/>
          <w:szCs w:val="32"/>
          <w:lang w:eastAsia="zh-CN"/>
        </w:rPr>
        <w:t>计</w:t>
      </w:r>
      <w:r>
        <w:rPr>
          <w:rFonts w:hint="eastAsia" w:ascii="仿宋_GB2312" w:hAnsi="仿宋_GB2312" w:eastAsia="仿宋_GB2312" w:cs="仿宋_GB2312"/>
          <w:bCs/>
          <w:sz w:val="32"/>
          <w:szCs w:val="32"/>
        </w:rPr>
        <w:t>制度，负</w:t>
      </w:r>
      <w:r>
        <w:rPr>
          <w:rFonts w:hint="eastAsia" w:ascii="仿宋_GB2312" w:hAnsi="仿宋_GB2312" w:eastAsia="仿宋_GB2312" w:cs="仿宋_GB2312"/>
          <w:bCs/>
          <w:sz w:val="32"/>
          <w:szCs w:val="32"/>
          <w:lang w:eastAsia="zh-CN"/>
        </w:rPr>
        <w:t>责</w:t>
      </w:r>
      <w:r>
        <w:rPr>
          <w:rFonts w:hint="eastAsia" w:ascii="仿宋_GB2312" w:hAnsi="仿宋_GB2312" w:eastAsia="仿宋_GB2312" w:cs="仿宋_GB2312"/>
          <w:bCs/>
          <w:sz w:val="32"/>
          <w:szCs w:val="32"/>
        </w:rPr>
        <w:t>全民所有自然资源资产核算。负责制全民所有自然资源资产负债表，拟订考核标准。合理配置全民所有自然资源资产。负责自然资源资产价值评估管理，依法收缴资产收益</w:t>
      </w:r>
      <w:r>
        <w:rPr>
          <w:rFonts w:hint="eastAsia" w:ascii="仿宋_GB2312" w:hAnsi="仿宋_GB2312" w:eastAsia="仿宋_GB2312" w:cs="仿宋_GB2312"/>
          <w:bCs/>
          <w:sz w:val="32"/>
          <w:szCs w:val="32"/>
          <w:lang w:eastAsia="zh-CN"/>
        </w:rPr>
        <w:t>。</w:t>
      </w:r>
    </w:p>
    <w:p>
      <w:pPr>
        <w:ind w:firstLine="640" w:firstLineChars="200"/>
        <w:jc w:val="left"/>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五)负责全县自然资源的合理开发利用。组织拟订自然资源发展规划，贯彻国家自然资源开发利用标准并组织实施，建立政府公示自然资源价格体系，组织开展自然资源分等定级价格评估、自然资源利用评价考核，指导节约集约利用。负责自然资源亦场监管。组织研究自然资源管理涉及宏观调控、区域协调和城乡统筹的政策措施</w:t>
      </w:r>
      <w:r>
        <w:rPr>
          <w:rFonts w:hint="eastAsia" w:ascii="仿宋_GB2312" w:hAnsi="仿宋_GB2312" w:eastAsia="仿宋_GB2312" w:cs="仿宋_GB2312"/>
          <w:bCs/>
          <w:sz w:val="32"/>
          <w:szCs w:val="32"/>
          <w:lang w:eastAsia="zh-CN"/>
        </w:rPr>
        <w:t>。</w:t>
      </w:r>
    </w:p>
    <w:p>
      <w:pPr>
        <w:ind w:firstLine="640" w:firstLineChars="200"/>
        <w:jc w:val="left"/>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六)负责建立全县空间规划体系并监督实施。落实主体功能区战略和制度。组织编制国土空间规划和相关专项规划并监督实施。统筹衔接其他种类专项规划，会同有关部门做好城市建设行业涉及本部门的相关专业规划的编制工作和城市设计工作、建设工程规划工作。负责城市规划区范围内的各项建设工程的规划管理和监察工作，开展国土空间开发遁宜性评价，建立国土空间规划实施监测、评估和预警体系。组织划定全态俣护红线、永久基本农田、城镇开发边界等控制线，建节约资源和保护环境的生产、生活、生态空间布局。建立健全国土空间用途管制制度，研宽拟订城乡规划政策并监督实施。组织拟订并实施土地等自然资源年度利用亡划。负责土地等国土空间用途转用工作，负责土地征收紅用管理。指导全县国土空间规划的编制工作</w:t>
      </w:r>
      <w:r>
        <w:rPr>
          <w:rFonts w:hint="eastAsia" w:ascii="仿宋_GB2312" w:hAnsi="仿宋_GB2312" w:eastAsia="仿宋_GB2312" w:cs="仿宋_GB2312"/>
          <w:bCs/>
          <w:sz w:val="32"/>
          <w:szCs w:val="32"/>
          <w:lang w:eastAsia="zh-CN"/>
        </w:rPr>
        <w:t>。</w:t>
      </w:r>
    </w:p>
    <w:p>
      <w:pPr>
        <w:ind w:firstLine="640" w:firstLineChars="200"/>
        <w:jc w:val="left"/>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(七)负责统筹全县国土空间生态修复。牵头组织编制国土空间生态修复规划并实施有关生态修复重大工程，负责</w:t>
      </w:r>
      <w:r>
        <w:rPr>
          <w:rFonts w:hint="eastAsia" w:ascii="仿宋_GB2312" w:hAnsi="仿宋_GB2312" w:eastAsia="仿宋_GB2312" w:cs="仿宋_GB2312"/>
          <w:bCs/>
          <w:sz w:val="32"/>
          <w:szCs w:val="32"/>
          <w:lang w:eastAsia="zh-CN"/>
        </w:rPr>
        <w:t>国</w:t>
      </w:r>
      <w:r>
        <w:rPr>
          <w:rFonts w:hint="eastAsia" w:ascii="仿宋_GB2312" w:hAnsi="仿宋_GB2312" w:eastAsia="仿宋_GB2312" w:cs="仿宋_GB2312"/>
          <w:bCs/>
          <w:sz w:val="32"/>
          <w:szCs w:val="32"/>
        </w:rPr>
        <w:t>土空综合整治、土地整理复垦、矿山地质环境恢复治理等工作，牵头建立和实施生态保护补偿制度，制定合理利用社会资金进行生态修复的政策措施，提出重大备选项目</w:t>
      </w:r>
      <w:r>
        <w:rPr>
          <w:rFonts w:hint="eastAsia" w:ascii="仿宋_GB2312" w:hAnsi="仿宋_GB2312" w:eastAsia="仿宋_GB2312" w:cs="仿宋_GB2312"/>
          <w:bCs/>
          <w:sz w:val="32"/>
          <w:szCs w:val="32"/>
          <w:lang w:eastAsia="zh-CN"/>
        </w:rPr>
        <w:t>。</w:t>
      </w:r>
    </w:p>
    <w:p>
      <w:pPr>
        <w:ind w:firstLine="640" w:firstLineChars="200"/>
        <w:jc w:val="left"/>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八)负责组织实施最严格的耕地保护制度。落实国家耕地保护政策，负责耕地数量、质量、生态保护。组织实施耕地保护责任目标考核和永久基本农田特殊保护、完善耕地占补平衡制度，监督占用耕地补偿制度执行情况。负责用于占补平衡的新增耕地测算、认定工作</w:t>
      </w:r>
      <w:r>
        <w:rPr>
          <w:rFonts w:hint="eastAsia" w:ascii="仿宋_GB2312" w:hAnsi="仿宋_GB2312" w:eastAsia="仿宋_GB2312" w:cs="仿宋_GB2312"/>
          <w:bCs/>
          <w:sz w:val="32"/>
          <w:szCs w:val="32"/>
          <w:lang w:eastAsia="zh-CN"/>
        </w:rPr>
        <w:t>。</w:t>
      </w:r>
    </w:p>
    <w:p>
      <w:pPr>
        <w:ind w:firstLine="640" w:firstLineChars="200"/>
        <w:jc w:val="left"/>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(九)负责管理全县地质勘查行业和地质工作，编制地质拗查规划并监督检查抗行</w:t>
      </w:r>
      <w:r>
        <w:rPr>
          <w:rFonts w:hint="eastAsia" w:ascii="仿宋_GB2312" w:hAnsi="仿宋_GB2312" w:eastAsia="仿宋_GB2312" w:cs="仿宋_GB2312"/>
          <w:bCs/>
          <w:sz w:val="32"/>
          <w:szCs w:val="32"/>
          <w:lang w:eastAsia="zh-CN"/>
        </w:rPr>
        <w:t>情</w:t>
      </w:r>
      <w:r>
        <w:rPr>
          <w:rFonts w:hint="eastAsia" w:ascii="仿宋_GB2312" w:hAnsi="仿宋_GB2312" w:eastAsia="仿宋_GB2312" w:cs="仿宋_GB2312"/>
          <w:bCs/>
          <w:sz w:val="32"/>
          <w:szCs w:val="32"/>
        </w:rPr>
        <w:t>况。管</w:t>
      </w:r>
      <w:r>
        <w:rPr>
          <w:rFonts w:hint="eastAsia" w:ascii="仿宋_GB2312" w:hAnsi="仿宋_GB2312" w:eastAsia="仿宋_GB2312" w:cs="仿宋_GB2312"/>
          <w:bCs/>
          <w:sz w:val="32"/>
          <w:szCs w:val="32"/>
          <w:lang w:eastAsia="zh-CN"/>
        </w:rPr>
        <w:t>理</w:t>
      </w:r>
      <w:r>
        <w:rPr>
          <w:rFonts w:hint="eastAsia" w:ascii="仿宋_GB2312" w:hAnsi="仿宋_GB2312" w:eastAsia="仿宋_GB2312" w:cs="仿宋_GB2312"/>
          <w:bCs/>
          <w:sz w:val="32"/>
          <w:szCs w:val="32"/>
        </w:rPr>
        <w:t>县财政出资的地质勘查项日。监督管理地下水过量开采及引发的地面沉降等地质问题</w:t>
      </w:r>
      <w:r>
        <w:rPr>
          <w:rFonts w:hint="eastAsia" w:ascii="仿宋_GB2312" w:hAnsi="仿宋_GB2312" w:eastAsia="仿宋_GB2312" w:cs="仿宋_GB2312"/>
          <w:bCs/>
          <w:sz w:val="32"/>
          <w:szCs w:val="32"/>
          <w:lang w:eastAsia="zh-CN"/>
        </w:rPr>
        <w:t>。</w:t>
      </w:r>
    </w:p>
    <w:p>
      <w:pPr>
        <w:ind w:firstLine="640" w:firstLineChars="200"/>
        <w:jc w:val="left"/>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lang w:eastAsia="zh-CN"/>
        </w:rPr>
        <w:t>（十）</w:t>
      </w:r>
      <w:r>
        <w:rPr>
          <w:rFonts w:hint="eastAsia" w:ascii="仿宋_GB2312" w:hAnsi="仿宋_GB2312" w:eastAsia="仿宋_GB2312" w:cs="仿宋_GB2312"/>
          <w:bCs/>
          <w:sz w:val="32"/>
          <w:szCs w:val="32"/>
        </w:rPr>
        <w:t>承担全县</w:t>
      </w:r>
      <w:r>
        <w:rPr>
          <w:rFonts w:hint="eastAsia" w:ascii="仿宋_GB2312" w:hAnsi="仿宋_GB2312" w:eastAsia="仿宋_GB2312" w:cs="仿宋_GB2312"/>
          <w:bCs/>
          <w:sz w:val="32"/>
          <w:szCs w:val="32"/>
          <w:lang w:eastAsia="zh-CN"/>
        </w:rPr>
        <w:t>地</w:t>
      </w:r>
      <w:r>
        <w:rPr>
          <w:rFonts w:hint="eastAsia" w:ascii="仿宋_GB2312" w:hAnsi="仿宋_GB2312" w:eastAsia="仿宋_GB2312" w:cs="仿宋_GB2312"/>
          <w:bCs/>
          <w:sz w:val="32"/>
          <w:szCs w:val="32"/>
        </w:rPr>
        <w:t>质灾害</w:t>
      </w:r>
      <w:r>
        <w:rPr>
          <w:rFonts w:hint="eastAsia" w:ascii="仿宋_GB2312" w:hAnsi="仿宋_GB2312" w:eastAsia="仿宋_GB2312" w:cs="仿宋_GB2312"/>
          <w:bCs/>
          <w:sz w:val="32"/>
          <w:szCs w:val="32"/>
          <w:lang w:eastAsia="zh-CN"/>
        </w:rPr>
        <w:t>预</w:t>
      </w:r>
      <w:r>
        <w:rPr>
          <w:rFonts w:hint="eastAsia" w:ascii="仿宋_GB2312" w:hAnsi="仿宋_GB2312" w:eastAsia="仿宋_GB2312" w:cs="仿宋_GB2312"/>
          <w:bCs/>
          <w:sz w:val="32"/>
          <w:szCs w:val="32"/>
        </w:rPr>
        <w:t>防和治理。落实全县综合防灾减灾规划相关要求，编制池质灾害防治规划并指导实施管理县政出资的地质灾宫预剪和治理项百，组织指导协调和监督地质灾害调查评价及隐息的普查、详查、排查指导开晨群测辯防、专业监测和预报預警等工作。指导开展地质灾害工程治理二作，承担地质灾害应急救援的技术支撑工作</w:t>
      </w:r>
      <w:r>
        <w:rPr>
          <w:rFonts w:hint="eastAsia" w:ascii="仿宋_GB2312" w:hAnsi="仿宋_GB2312" w:eastAsia="仿宋_GB2312" w:cs="仿宋_GB2312"/>
          <w:bCs/>
          <w:sz w:val="32"/>
          <w:szCs w:val="32"/>
          <w:lang w:eastAsia="zh-CN"/>
        </w:rPr>
        <w:t>。</w:t>
      </w:r>
    </w:p>
    <w:p>
      <w:pPr>
        <w:ind w:firstLine="640" w:firstLineChars="200"/>
        <w:jc w:val="left"/>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w:t>
      </w:r>
      <w:r>
        <w:rPr>
          <w:rFonts w:hint="eastAsia" w:ascii="仿宋_GB2312" w:hAnsi="仿宋_GB2312" w:eastAsia="仿宋_GB2312" w:cs="仿宋_GB2312"/>
          <w:bCs/>
          <w:sz w:val="32"/>
          <w:szCs w:val="32"/>
          <w:lang w:eastAsia="zh-CN"/>
        </w:rPr>
        <w:t>十一）</w:t>
      </w:r>
      <w:r>
        <w:rPr>
          <w:rFonts w:hint="eastAsia" w:ascii="仿宋_GB2312" w:hAnsi="仿宋_GB2312" w:eastAsia="仿宋_GB2312" w:cs="仿宋_GB2312"/>
          <w:bCs/>
          <w:sz w:val="32"/>
          <w:szCs w:val="32"/>
        </w:rPr>
        <w:t>负责全县矿业权管理工作，负责矿业权出让及审批登记管理。指导全县矿业权审批登记工作，调处重大权隔纠纷。会同有关部仁承担保护性开采矿种的总量调控及相关管理工作</w:t>
      </w:r>
      <w:r>
        <w:rPr>
          <w:rFonts w:hint="eastAsia" w:ascii="仿宋_GB2312" w:hAnsi="仿宋_GB2312" w:eastAsia="仿宋_GB2312" w:cs="仿宋_GB2312"/>
          <w:bCs/>
          <w:sz w:val="32"/>
          <w:szCs w:val="32"/>
          <w:lang w:eastAsia="zh-CN"/>
        </w:rPr>
        <w:t>。</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(十二)负责全县矿产资源保护与监督工作，拟订全县矿产资源规划并组织实薦。负责矿产资源储量管理。监督指导矿产资源合理利用和保护。监督指导地质资料管理。负古生物化石的监督管理。</w:t>
      </w:r>
    </w:p>
    <w:p>
      <w:pPr>
        <w:ind w:firstLine="640" w:firstLineChars="200"/>
        <w:jc w:val="left"/>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十三)负责全县测绘地理信息管理工作。负贵基础测绘、测绘行业管理。负责测绘资质資格与信厍管理，监督管理地理信忘安全和市场秩序，负责地理信息公共服务管理负责测量标志俣护、会同有关部门规范和监管卫星导航定位基准站的建改及运行维</w:t>
      </w:r>
      <w:r>
        <w:rPr>
          <w:rFonts w:hint="eastAsia" w:ascii="仿宋_GB2312" w:hAnsi="仿宋_GB2312" w:eastAsia="仿宋_GB2312" w:cs="仿宋_GB2312"/>
          <w:bCs/>
          <w:sz w:val="32"/>
          <w:szCs w:val="32"/>
          <w:lang w:eastAsia="zh-CN"/>
        </w:rPr>
        <w:t>护。</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十四)推动全县自然资源和规划领域科技发展，制定并实施自然资源领域科技创新发辰、人才培养规划和计划组织实施抆板准、规程期范，组织实施重大科技工程及创新能力建设，推进自然资源和规划信恩化及信息资料的公共服务。开展全县自然资源和规划领域对外合作</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w:t>
      </w:r>
      <w:r>
        <w:rPr>
          <w:rFonts w:hint="eastAsia" w:ascii="仿宋_GB2312" w:hAnsi="仿宋_GB2312" w:eastAsia="仿宋_GB2312" w:cs="仿宋_GB2312"/>
          <w:bCs/>
          <w:sz w:val="32"/>
          <w:szCs w:val="32"/>
          <w:lang w:eastAsia="zh-CN"/>
        </w:rPr>
        <w:t>十</w:t>
      </w:r>
      <w:r>
        <w:rPr>
          <w:rFonts w:hint="eastAsia" w:ascii="仿宋_GB2312" w:hAnsi="仿宋_GB2312" w:eastAsia="仿宋_GB2312" w:cs="仿宋_GB2312"/>
          <w:bCs/>
          <w:sz w:val="32"/>
          <w:szCs w:val="32"/>
        </w:rPr>
        <w:t>五)管理淮滨县林业局。</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(十六)完委、县致府交办的其他事项。</w:t>
      </w:r>
    </w:p>
    <w:p>
      <w:pPr>
        <w:pStyle w:val="3"/>
        <w:numPr>
          <w:ilvl w:val="0"/>
          <w:numId w:val="3"/>
        </w:numPr>
        <w:tabs>
          <w:tab w:val="left" w:pos="880"/>
        </w:tabs>
        <w:kinsoku w:val="0"/>
        <w:overflowPunct w:val="0"/>
        <w:spacing w:before="0"/>
        <w:ind w:firstLine="640" w:firstLineChars="200"/>
        <w:jc w:val="left"/>
        <w:rPr>
          <w:rFonts w:hint="default" w:ascii="黑体" w:hAnsi="黑体" w:eastAsia="黑体" w:cs="黑体"/>
          <w:bCs/>
          <w:szCs w:val="32"/>
        </w:rPr>
      </w:pPr>
      <w:r>
        <w:rPr>
          <w:rFonts w:hint="eastAsia" w:ascii="黑体" w:hAnsi="黑体" w:eastAsia="黑体" w:cs="黑体"/>
          <w:bCs/>
          <w:szCs w:val="32"/>
        </w:rPr>
        <w:t>淮滨县自然资源局</w:t>
      </w:r>
      <w:r>
        <w:rPr>
          <w:rFonts w:ascii="黑体" w:hAnsi="黑体" w:eastAsia="黑体" w:cs="黑体"/>
          <w:bCs/>
          <w:szCs w:val="32"/>
        </w:rPr>
        <w:t>预算单位构成情况</w:t>
      </w:r>
    </w:p>
    <w:p>
      <w:pPr>
        <w:ind w:firstLine="640" w:firstLineChars="200"/>
        <w:jc w:val="left"/>
        <w:rPr>
          <w:rFonts w:ascii="仿宋_GB2312" w:hAnsi="仿宋_GB2312" w:eastAsia="仿宋_GB2312" w:cs="仿宋_GB2312"/>
          <w:bCs/>
          <w:sz w:val="32"/>
          <w:szCs w:val="32"/>
        </w:rPr>
      </w:pPr>
      <w:r>
        <w:rPr>
          <w:rFonts w:hint="eastAsia" w:ascii="仿宋_GB2312" w:hAnsi="仿宋_GB2312" w:eastAsia="仿宋_GB2312" w:cs="仿宋_GB2312"/>
          <w:bCs/>
          <w:sz w:val="32"/>
          <w:szCs w:val="32"/>
        </w:rPr>
        <w:t>淮滨县自然资源局</w:t>
      </w:r>
      <w:r>
        <w:rPr>
          <w:rFonts w:hint="eastAsia" w:ascii="仿宋_GB2312" w:hAnsi="仿宋_GB2312" w:eastAsia="仿宋_GB2312" w:cs="仿宋_GB2312"/>
          <w:bCs/>
          <w:sz w:val="32"/>
          <w:szCs w:val="32"/>
          <w:lang w:eastAsia="zh-CN"/>
        </w:rPr>
        <w:t>为一级单位，现有</w:t>
      </w:r>
      <w:r>
        <w:rPr>
          <w:rFonts w:hint="eastAsia" w:ascii="仿宋_GB2312" w:hAnsi="仿宋_GB2312" w:eastAsia="仿宋_GB2312" w:cs="仿宋_GB2312"/>
          <w:bCs/>
          <w:sz w:val="32"/>
          <w:szCs w:val="32"/>
        </w:rPr>
        <w:t>：办公室、</w:t>
      </w:r>
      <w:r>
        <w:rPr>
          <w:rFonts w:hint="eastAsia" w:ascii="仿宋_GB2312" w:hAnsi="仿宋_GB2312" w:eastAsia="仿宋_GB2312" w:cs="仿宋_GB2312"/>
          <w:bCs/>
          <w:sz w:val="32"/>
          <w:szCs w:val="32"/>
          <w:lang w:eastAsia="zh-CN"/>
        </w:rPr>
        <w:t>法规</w:t>
      </w:r>
      <w:r>
        <w:rPr>
          <w:rFonts w:hint="eastAsia" w:ascii="仿宋_GB2312" w:hAnsi="仿宋_GB2312" w:eastAsia="仿宋_GB2312" w:cs="仿宋_GB2312"/>
          <w:bCs/>
          <w:sz w:val="32"/>
          <w:szCs w:val="32"/>
        </w:rPr>
        <w:t>股、</w:t>
      </w:r>
      <w:r>
        <w:rPr>
          <w:rFonts w:hint="eastAsia" w:ascii="仿宋_GB2312" w:hAnsi="仿宋_GB2312" w:eastAsia="仿宋_GB2312" w:cs="仿宋_GB2312"/>
          <w:bCs/>
          <w:sz w:val="32"/>
          <w:szCs w:val="32"/>
          <w:lang w:eastAsia="zh-CN"/>
        </w:rPr>
        <w:t>自然资源调查监测股、建设用地审批管理股、国土空间规划股、建设工程规划股、耕地保护监督股</w:t>
      </w:r>
      <w:r>
        <w:rPr>
          <w:rFonts w:hint="eastAsia" w:ascii="仿宋_GB2312" w:hAnsi="仿宋_GB2312" w:eastAsia="仿宋_GB2312" w:cs="仿宋_GB2312"/>
          <w:bCs/>
          <w:sz w:val="32"/>
          <w:szCs w:val="32"/>
        </w:rPr>
        <w:t>等</w:t>
      </w:r>
      <w:r>
        <w:rPr>
          <w:rFonts w:hint="eastAsia" w:ascii="仿宋_GB2312" w:hAnsi="仿宋_GB2312" w:eastAsia="仿宋_GB2312" w:cs="仿宋_GB2312"/>
          <w:bCs/>
          <w:sz w:val="32"/>
          <w:szCs w:val="32"/>
          <w:lang w:eastAsia="zh-CN"/>
        </w:rPr>
        <w:t>内设科室</w:t>
      </w:r>
      <w:r>
        <w:rPr>
          <w:rFonts w:hint="eastAsia" w:ascii="仿宋_GB2312" w:hAnsi="仿宋_GB2312" w:eastAsia="仿宋_GB2312" w:cs="仿宋_GB2312"/>
          <w:bCs/>
          <w:sz w:val="32"/>
          <w:szCs w:val="32"/>
        </w:rPr>
        <w:t>股室。</w:t>
      </w:r>
    </w:p>
    <w:p>
      <w:pPr>
        <w:pStyle w:val="3"/>
        <w:numPr>
          <w:ilvl w:val="0"/>
          <w:numId w:val="3"/>
        </w:numPr>
        <w:tabs>
          <w:tab w:val="left" w:pos="880"/>
        </w:tabs>
        <w:kinsoku w:val="0"/>
        <w:overflowPunct w:val="0"/>
        <w:spacing w:before="0"/>
        <w:ind w:firstLine="640" w:firstLineChars="200"/>
        <w:jc w:val="left"/>
        <w:rPr>
          <w:rFonts w:hint="default" w:ascii="黑体" w:hAnsi="黑体" w:eastAsia="黑体" w:cs="黑体"/>
          <w:bCs/>
          <w:szCs w:val="32"/>
        </w:rPr>
      </w:pPr>
      <w:r>
        <w:rPr>
          <w:rFonts w:hint="eastAsia" w:ascii="黑体" w:hAnsi="黑体" w:eastAsia="黑体" w:cs="黑体"/>
          <w:bCs/>
          <w:szCs w:val="32"/>
        </w:rPr>
        <w:t>淮滨县自然资源局</w:t>
      </w:r>
      <w:r>
        <w:rPr>
          <w:rFonts w:ascii="黑体" w:hAnsi="黑体" w:eastAsia="黑体" w:cs="黑体"/>
          <w:bCs/>
          <w:szCs w:val="32"/>
        </w:rPr>
        <w:t>预算单位构成情况</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淮滨县自然资源局202</w:t>
      </w:r>
      <w:r>
        <w:rPr>
          <w:rFonts w:hint="eastAsia" w:ascii="仿宋_GB2312" w:hAnsi="仿宋_GB2312" w:eastAsia="仿宋_GB2312" w:cs="仿宋_GB2312"/>
          <w:bCs/>
          <w:sz w:val="32"/>
          <w:szCs w:val="32"/>
          <w:lang w:val="en-US" w:eastAsia="zh-CN"/>
        </w:rPr>
        <w:t>3</w:t>
      </w:r>
      <w:r>
        <w:rPr>
          <w:rFonts w:hint="eastAsia" w:ascii="仿宋_GB2312" w:hAnsi="仿宋_GB2312" w:eastAsia="仿宋_GB2312" w:cs="仿宋_GB2312"/>
          <w:bCs/>
          <w:sz w:val="32"/>
          <w:szCs w:val="32"/>
        </w:rPr>
        <w:t>年部门预算包括局机关本级预算和局属单位预算。局属单位预算包括：</w:t>
      </w:r>
      <w:r>
        <w:rPr>
          <w:rFonts w:hint="eastAsia" w:ascii="仿宋_GB2312" w:hAnsi="仿宋_GB2312" w:eastAsia="仿宋_GB2312" w:cs="仿宋_GB2312"/>
          <w:b w:val="0"/>
          <w:bCs w:val="0"/>
          <w:sz w:val="32"/>
          <w:szCs w:val="32"/>
          <w:vertAlign w:val="baseline"/>
          <w:lang w:val="en-US" w:eastAsia="zh-CN"/>
        </w:rPr>
        <w:t>不动产登记中心、区划办、土管所、</w:t>
      </w:r>
      <w:r>
        <w:rPr>
          <w:rFonts w:hint="eastAsia" w:ascii="仿宋_GB2312" w:hAnsi="仿宋_GB2312" w:eastAsia="仿宋_GB2312" w:cs="仿宋_GB2312"/>
          <w:bCs/>
          <w:sz w:val="32"/>
          <w:szCs w:val="32"/>
        </w:rPr>
        <w:t>和</w:t>
      </w:r>
      <w:r>
        <w:rPr>
          <w:rFonts w:hint="eastAsia" w:ascii="仿宋_GB2312" w:hAnsi="仿宋_GB2312" w:eastAsia="仿宋_GB2312" w:cs="仿宋_GB2312"/>
          <w:b w:val="0"/>
          <w:bCs w:val="0"/>
          <w:sz w:val="32"/>
          <w:szCs w:val="32"/>
          <w:vertAlign w:val="baseline"/>
          <w:lang w:val="en-US" w:eastAsia="zh-CN"/>
        </w:rPr>
        <w:t>规划办</w:t>
      </w:r>
      <w:r>
        <w:rPr>
          <w:rFonts w:hint="eastAsia" w:ascii="仿宋_GB2312" w:hAnsi="仿宋_GB2312" w:eastAsia="仿宋_GB2312" w:cs="仿宋_GB2312"/>
          <w:bCs/>
          <w:sz w:val="32"/>
          <w:szCs w:val="32"/>
        </w:rPr>
        <w:t>。</w:t>
      </w:r>
    </w:p>
    <w:p>
      <w:pPr>
        <w:ind w:firstLine="640" w:firstLineChars="200"/>
        <w:jc w:val="left"/>
        <w:rPr>
          <w:rFonts w:ascii="仿宋_GB2312" w:hAnsi="仿宋_GB2312" w:eastAsia="仿宋_GB2312" w:cs="仿宋_GB2312"/>
          <w:bCs/>
          <w:sz w:val="32"/>
          <w:szCs w:val="32"/>
        </w:rPr>
      </w:pPr>
    </w:p>
    <w:p>
      <w:pPr>
        <w:ind w:firstLine="640" w:firstLineChars="200"/>
        <w:jc w:val="left"/>
        <w:rPr>
          <w:rFonts w:ascii="仿宋_GB2312" w:hAnsi="仿宋_GB2312" w:eastAsia="仿宋_GB2312" w:cs="仿宋_GB2312"/>
          <w:bCs/>
          <w:sz w:val="32"/>
          <w:szCs w:val="32"/>
        </w:rPr>
      </w:pPr>
    </w:p>
    <w:p>
      <w:pPr>
        <w:ind w:firstLine="640" w:firstLineChars="200"/>
        <w:jc w:val="left"/>
        <w:rPr>
          <w:rFonts w:ascii="仿宋_GB2312" w:hAnsi="仿宋_GB2312" w:eastAsia="仿宋_GB2312" w:cs="仿宋_GB2312"/>
          <w:bCs/>
          <w:sz w:val="32"/>
          <w:szCs w:val="32"/>
        </w:rPr>
      </w:pPr>
    </w:p>
    <w:p>
      <w:pPr>
        <w:ind w:firstLine="640" w:firstLineChars="200"/>
        <w:jc w:val="left"/>
        <w:rPr>
          <w:rFonts w:ascii="仿宋_GB2312" w:hAnsi="仿宋_GB2312" w:eastAsia="仿宋_GB2312" w:cs="仿宋_GB2312"/>
          <w:bCs/>
          <w:sz w:val="32"/>
          <w:szCs w:val="32"/>
        </w:rPr>
      </w:pPr>
    </w:p>
    <w:p>
      <w:pPr>
        <w:ind w:firstLine="640" w:firstLineChars="200"/>
        <w:jc w:val="left"/>
        <w:rPr>
          <w:rFonts w:ascii="仿宋_GB2312" w:hAnsi="仿宋_GB2312" w:eastAsia="仿宋_GB2312" w:cs="仿宋_GB2312"/>
          <w:bCs/>
          <w:sz w:val="32"/>
          <w:szCs w:val="32"/>
        </w:rPr>
      </w:pPr>
    </w:p>
    <w:p>
      <w:pPr>
        <w:ind w:firstLine="640" w:firstLineChars="200"/>
        <w:jc w:val="left"/>
        <w:rPr>
          <w:rFonts w:ascii="仿宋_GB2312" w:hAnsi="仿宋_GB2312" w:eastAsia="仿宋_GB2312" w:cs="仿宋_GB2312"/>
          <w:bCs/>
          <w:sz w:val="32"/>
          <w:szCs w:val="32"/>
        </w:rPr>
      </w:pPr>
    </w:p>
    <w:p>
      <w:pPr>
        <w:jc w:val="center"/>
        <w:rPr>
          <w:rFonts w:ascii="黑体" w:hAnsi="黑体" w:eastAsia="黑体" w:cs="黑体"/>
          <w:b/>
          <w:bCs/>
          <w:sz w:val="36"/>
          <w:szCs w:val="36"/>
        </w:rPr>
      </w:pPr>
    </w:p>
    <w:p>
      <w:pPr>
        <w:jc w:val="center"/>
        <w:rPr>
          <w:rFonts w:ascii="黑体" w:hAnsi="黑体" w:eastAsia="黑体" w:cs="黑体"/>
          <w:b/>
          <w:bCs/>
          <w:sz w:val="36"/>
          <w:szCs w:val="36"/>
        </w:rPr>
      </w:pPr>
      <w:r>
        <w:rPr>
          <w:rFonts w:hint="eastAsia" w:ascii="黑体" w:hAnsi="黑体" w:eastAsia="黑体" w:cs="黑体"/>
          <w:b/>
          <w:bCs/>
          <w:sz w:val="36"/>
          <w:szCs w:val="36"/>
        </w:rPr>
        <w:t>第二部分</w:t>
      </w:r>
    </w:p>
    <w:p>
      <w:pPr>
        <w:jc w:val="center"/>
        <w:rPr>
          <w:rFonts w:ascii="黑体" w:hAnsi="黑体" w:eastAsia="黑体" w:cs="黑体"/>
          <w:b/>
          <w:bCs/>
          <w:sz w:val="36"/>
          <w:szCs w:val="36"/>
        </w:rPr>
      </w:pPr>
      <w:r>
        <w:rPr>
          <w:rFonts w:hint="eastAsia" w:ascii="黑体" w:hAnsi="黑体" w:eastAsia="黑体" w:cs="黑体"/>
          <w:b/>
          <w:bCs/>
          <w:sz w:val="36"/>
          <w:szCs w:val="36"/>
        </w:rPr>
        <w:t>淮滨县自然资源局</w:t>
      </w:r>
      <w:r>
        <w:rPr>
          <w:rFonts w:hint="eastAsia" w:ascii="黑体" w:hAnsi="黑体" w:eastAsia="黑体" w:cs="黑体"/>
          <w:b/>
          <w:bCs/>
          <w:sz w:val="36"/>
          <w:szCs w:val="36"/>
          <w:lang w:eastAsia="zh-CN"/>
        </w:rPr>
        <w:t>2023年</w:t>
      </w:r>
      <w:r>
        <w:rPr>
          <w:rFonts w:hint="eastAsia" w:ascii="黑体" w:hAnsi="黑体" w:eastAsia="黑体" w:cs="黑体"/>
          <w:b/>
          <w:bCs/>
          <w:sz w:val="36"/>
          <w:szCs w:val="36"/>
        </w:rPr>
        <w:t>度部门预算情况说明</w:t>
      </w:r>
    </w:p>
    <w:p>
      <w:pPr>
        <w:jc w:val="center"/>
        <w:rPr>
          <w:rFonts w:ascii="黑体" w:hAnsi="黑体" w:eastAsia="黑体" w:cs="黑体"/>
          <w:b/>
          <w:bCs/>
          <w:sz w:val="36"/>
          <w:szCs w:val="36"/>
        </w:rPr>
      </w:pPr>
    </w:p>
    <w:p>
      <w:pPr>
        <w:numPr>
          <w:ilvl w:val="0"/>
          <w:numId w:val="4"/>
        </w:numPr>
        <w:ind w:firstLine="640"/>
        <w:jc w:val="left"/>
        <w:rPr>
          <w:rFonts w:ascii="黑体" w:hAnsi="黑体" w:eastAsia="黑体" w:cs="黑体"/>
          <w:sz w:val="32"/>
          <w:szCs w:val="32"/>
        </w:rPr>
      </w:pPr>
      <w:r>
        <w:rPr>
          <w:rFonts w:hint="eastAsia" w:ascii="黑体" w:hAnsi="黑体" w:eastAsia="黑体" w:cs="黑体"/>
          <w:sz w:val="32"/>
          <w:szCs w:val="32"/>
        </w:rPr>
        <w:t>收入支出预算总体情况说明</w:t>
      </w:r>
    </w:p>
    <w:p>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淮滨县自然资源局</w:t>
      </w:r>
      <w:r>
        <w:rPr>
          <w:rFonts w:hint="eastAsia" w:ascii="仿宋" w:hAnsi="仿宋" w:eastAsia="仿宋" w:cs="仿宋"/>
          <w:sz w:val="32"/>
          <w:szCs w:val="32"/>
          <w:lang w:eastAsia="zh-CN"/>
        </w:rPr>
        <w:t>2023年</w:t>
      </w:r>
      <w:r>
        <w:rPr>
          <w:rFonts w:hint="eastAsia" w:ascii="仿宋" w:hAnsi="仿宋" w:eastAsia="仿宋" w:cs="仿宋"/>
          <w:sz w:val="32"/>
          <w:szCs w:val="32"/>
        </w:rPr>
        <w:t>收入总计8985.58万元，支出总计8985.58万元,与202</w:t>
      </w:r>
      <w:r>
        <w:rPr>
          <w:rFonts w:hint="eastAsia" w:ascii="仿宋" w:hAnsi="仿宋" w:eastAsia="仿宋" w:cs="仿宋"/>
          <w:sz w:val="32"/>
          <w:szCs w:val="32"/>
          <w:lang w:val="en-US" w:eastAsia="zh-CN"/>
        </w:rPr>
        <w:t>2</w:t>
      </w:r>
      <w:r>
        <w:rPr>
          <w:rFonts w:hint="eastAsia" w:ascii="仿宋" w:hAnsi="仿宋" w:eastAsia="仿宋" w:cs="仿宋"/>
          <w:sz w:val="32"/>
          <w:szCs w:val="32"/>
        </w:rPr>
        <w:t>年相比，收、支总计各增加</w:t>
      </w:r>
      <w:r>
        <w:rPr>
          <w:rFonts w:hint="eastAsia" w:ascii="仿宋" w:hAnsi="仿宋" w:eastAsia="仿宋" w:cs="仿宋"/>
          <w:sz w:val="32"/>
          <w:szCs w:val="32"/>
          <w:lang w:val="en-US" w:eastAsia="zh-CN"/>
        </w:rPr>
        <w:t>8985.58</w:t>
      </w:r>
      <w:r>
        <w:rPr>
          <w:rFonts w:hint="eastAsia" w:ascii="仿宋" w:hAnsi="仿宋" w:eastAsia="仿宋" w:cs="仿宋"/>
          <w:sz w:val="32"/>
          <w:szCs w:val="32"/>
        </w:rPr>
        <w:t>万元，增长</w:t>
      </w:r>
      <w:r>
        <w:rPr>
          <w:rFonts w:hint="eastAsia" w:ascii="仿宋" w:hAnsi="仿宋" w:eastAsia="仿宋" w:cs="仿宋"/>
          <w:sz w:val="32"/>
          <w:szCs w:val="32"/>
          <w:lang w:val="en-US" w:eastAsia="zh-CN"/>
        </w:rPr>
        <w:t>58.56</w:t>
      </w:r>
      <w:r>
        <w:rPr>
          <w:rFonts w:hint="eastAsia" w:ascii="仿宋" w:hAnsi="仿宋" w:eastAsia="仿宋" w:cs="仿宋"/>
          <w:sz w:val="32"/>
          <w:szCs w:val="32"/>
        </w:rPr>
        <w:t>%。主要原因是</w:t>
      </w:r>
      <w:r>
        <w:rPr>
          <w:rFonts w:hint="eastAsia" w:ascii="仿宋" w:hAnsi="仿宋" w:eastAsia="仿宋" w:cs="仿宋"/>
          <w:sz w:val="32"/>
          <w:szCs w:val="32"/>
          <w:lang w:val="en-US" w:eastAsia="zh-CN"/>
        </w:rPr>
        <w:t>2022年</w:t>
      </w:r>
      <w:r>
        <w:rPr>
          <w:rFonts w:hint="eastAsia" w:ascii="仿宋" w:hAnsi="仿宋" w:eastAsia="仿宋" w:cs="仿宋"/>
          <w:sz w:val="32"/>
          <w:szCs w:val="32"/>
        </w:rPr>
        <w:t>规划设计专项经费</w:t>
      </w:r>
      <w:r>
        <w:rPr>
          <w:rFonts w:hint="eastAsia" w:ascii="仿宋" w:hAnsi="仿宋" w:eastAsia="仿宋" w:cs="仿宋"/>
          <w:sz w:val="32"/>
          <w:szCs w:val="32"/>
          <w:lang w:eastAsia="zh-CN"/>
        </w:rPr>
        <w:t>是通过政府采购预算，</w:t>
      </w:r>
      <w:r>
        <w:rPr>
          <w:rFonts w:hint="eastAsia" w:ascii="仿宋" w:hAnsi="仿宋" w:eastAsia="仿宋" w:cs="仿宋"/>
          <w:sz w:val="32"/>
          <w:szCs w:val="32"/>
          <w:lang w:val="en-US" w:eastAsia="zh-CN"/>
        </w:rPr>
        <w:t>今年通过项目支出</w:t>
      </w:r>
      <w:r>
        <w:rPr>
          <w:rFonts w:hint="eastAsia" w:ascii="仿宋" w:hAnsi="仿宋" w:eastAsia="仿宋" w:cs="仿宋"/>
          <w:sz w:val="32"/>
          <w:szCs w:val="32"/>
        </w:rPr>
        <w:t>。</w:t>
      </w:r>
    </w:p>
    <w:p>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drawing>
          <wp:inline distT="0" distB="0" distL="0" distR="0">
            <wp:extent cx="5340350" cy="3567430"/>
            <wp:effectExtent l="4445" t="4445" r="14605" b="952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4"/>
              </a:graphicData>
            </a:graphic>
          </wp:inline>
        </w:drawing>
      </w:r>
    </w:p>
    <w:p>
      <w:pPr>
        <w:jc w:val="left"/>
        <w:rPr>
          <w:rFonts w:ascii="仿宋" w:hAnsi="仿宋" w:eastAsia="仿宋" w:cs="仿宋"/>
          <w:sz w:val="32"/>
          <w:szCs w:val="32"/>
        </w:rPr>
      </w:pPr>
    </w:p>
    <w:p>
      <w:pPr>
        <w:numPr>
          <w:ilvl w:val="0"/>
          <w:numId w:val="4"/>
        </w:numPr>
        <w:ind w:firstLine="640"/>
        <w:jc w:val="left"/>
        <w:rPr>
          <w:rFonts w:ascii="黑体" w:hAnsi="黑体" w:eastAsia="黑体"/>
          <w:sz w:val="32"/>
        </w:rPr>
      </w:pPr>
      <w:r>
        <w:rPr>
          <w:rFonts w:hint="eastAsia" w:ascii="黑体" w:hAnsi="黑体" w:eastAsia="黑体"/>
          <w:sz w:val="32"/>
        </w:rPr>
        <w:t>收入预算总体情况说明</w:t>
      </w:r>
    </w:p>
    <w:p>
      <w:pPr>
        <w:ind w:firstLine="640" w:firstLineChars="200"/>
        <w:jc w:val="left"/>
        <w:rPr>
          <w:rFonts w:ascii="仿宋" w:hAnsi="仿宋" w:eastAsia="仿宋" w:cs="仿宋"/>
          <w:sz w:val="32"/>
        </w:rPr>
      </w:pPr>
      <w:r>
        <w:rPr>
          <w:rFonts w:hint="eastAsia" w:ascii="仿宋" w:hAnsi="仿宋" w:eastAsia="仿宋" w:cs="仿宋"/>
          <w:sz w:val="32"/>
        </w:rPr>
        <w:t>淮滨县自然资源局</w:t>
      </w:r>
      <w:r>
        <w:rPr>
          <w:rFonts w:hint="eastAsia" w:ascii="仿宋" w:hAnsi="仿宋" w:eastAsia="仿宋" w:cs="仿宋"/>
          <w:sz w:val="32"/>
          <w:lang w:eastAsia="zh-CN"/>
        </w:rPr>
        <w:t>2023年</w:t>
      </w:r>
      <w:r>
        <w:rPr>
          <w:rFonts w:hint="eastAsia" w:ascii="仿宋" w:hAnsi="仿宋" w:eastAsia="仿宋" w:cs="仿宋"/>
          <w:sz w:val="32"/>
        </w:rPr>
        <w:t>收入合计</w:t>
      </w:r>
      <w:r>
        <w:rPr>
          <w:rFonts w:hint="eastAsia" w:ascii="仿宋" w:hAnsi="仿宋" w:eastAsia="仿宋" w:cs="仿宋"/>
          <w:sz w:val="32"/>
          <w:szCs w:val="32"/>
        </w:rPr>
        <w:t>8985.58</w:t>
      </w:r>
      <w:r>
        <w:rPr>
          <w:rFonts w:hint="eastAsia" w:ascii="仿宋" w:hAnsi="仿宋" w:eastAsia="仿宋" w:cs="仿宋"/>
          <w:sz w:val="32"/>
        </w:rPr>
        <w:t>万元，其中：一般公共预算收入</w:t>
      </w:r>
      <w:r>
        <w:rPr>
          <w:rFonts w:hint="eastAsia" w:ascii="仿宋" w:hAnsi="仿宋" w:eastAsia="仿宋" w:cs="仿宋"/>
          <w:sz w:val="32"/>
          <w:lang w:val="en-US" w:eastAsia="zh-CN"/>
        </w:rPr>
        <w:t>3412.92</w:t>
      </w:r>
      <w:r>
        <w:rPr>
          <w:rFonts w:hint="eastAsia" w:ascii="仿宋" w:hAnsi="仿宋" w:eastAsia="仿宋" w:cs="仿宋"/>
          <w:sz w:val="32"/>
        </w:rPr>
        <w:t>万元，政府性基金预算收入</w:t>
      </w:r>
      <w:r>
        <w:rPr>
          <w:rFonts w:hint="eastAsia" w:ascii="仿宋" w:hAnsi="仿宋" w:eastAsia="仿宋" w:cs="仿宋"/>
          <w:sz w:val="32"/>
          <w:lang w:val="en-US" w:eastAsia="zh-CN"/>
        </w:rPr>
        <w:t>5572.66</w:t>
      </w:r>
      <w:r>
        <w:rPr>
          <w:rFonts w:hint="eastAsia" w:ascii="仿宋" w:hAnsi="仿宋" w:eastAsia="仿宋" w:cs="仿宋"/>
          <w:sz w:val="32"/>
        </w:rPr>
        <w:t>万元，上年结转结余</w:t>
      </w:r>
      <w:r>
        <w:rPr>
          <w:rFonts w:hint="eastAsia" w:ascii="仿宋" w:hAnsi="仿宋" w:eastAsia="仿宋" w:cs="仿宋"/>
          <w:sz w:val="32"/>
          <w:lang w:val="en-US" w:eastAsia="zh-CN"/>
        </w:rPr>
        <w:t>0</w:t>
      </w:r>
      <w:r>
        <w:rPr>
          <w:rFonts w:hint="eastAsia" w:ascii="仿宋" w:hAnsi="仿宋" w:eastAsia="仿宋" w:cs="仿宋"/>
          <w:sz w:val="32"/>
        </w:rPr>
        <w:t>万元。</w:t>
      </w:r>
    </w:p>
    <w:p>
      <w:pPr>
        <w:jc w:val="left"/>
        <w:rPr>
          <w:rFonts w:ascii="仿宋" w:hAnsi="仿宋" w:eastAsia="仿宋" w:cs="仿宋"/>
          <w:sz w:val="32"/>
        </w:rPr>
      </w:pPr>
      <w:r>
        <w:rPr>
          <w:rFonts w:hint="eastAsia" w:ascii="仿宋" w:hAnsi="仿宋" w:eastAsia="仿宋" w:cs="仿宋"/>
          <w:sz w:val="32"/>
        </w:rPr>
        <w:drawing>
          <wp:inline distT="0" distB="0" distL="0" distR="0">
            <wp:extent cx="5359400" cy="3141980"/>
            <wp:effectExtent l="4445" t="4445" r="8255" b="15875"/>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pPr>
        <w:numPr>
          <w:ilvl w:val="0"/>
          <w:numId w:val="4"/>
        </w:numPr>
        <w:ind w:firstLine="640"/>
        <w:jc w:val="left"/>
        <w:rPr>
          <w:rFonts w:ascii="黑体" w:hAnsi="黑体" w:eastAsia="黑体"/>
          <w:sz w:val="32"/>
        </w:rPr>
      </w:pPr>
      <w:r>
        <w:rPr>
          <w:rFonts w:hint="eastAsia" w:ascii="黑体" w:hAnsi="黑体" w:eastAsia="黑体"/>
          <w:sz w:val="32"/>
        </w:rPr>
        <w:t>支出预算总体情况说明</w:t>
      </w:r>
    </w:p>
    <w:p>
      <w:pPr>
        <w:ind w:firstLine="640" w:firstLineChars="200"/>
        <w:jc w:val="left"/>
        <w:rPr>
          <w:rFonts w:ascii="仿宋" w:hAnsi="仿宋" w:eastAsia="仿宋" w:cs="仿宋"/>
          <w:sz w:val="32"/>
        </w:rPr>
      </w:pPr>
      <w:r>
        <w:rPr>
          <w:rFonts w:hint="eastAsia" w:ascii="仿宋" w:hAnsi="仿宋" w:eastAsia="仿宋" w:cs="仿宋"/>
          <w:sz w:val="32"/>
        </w:rPr>
        <w:t>淮滨县自然资源局</w:t>
      </w:r>
      <w:r>
        <w:rPr>
          <w:rFonts w:hint="eastAsia" w:ascii="仿宋" w:hAnsi="仿宋" w:eastAsia="仿宋" w:cs="仿宋"/>
          <w:sz w:val="32"/>
          <w:lang w:eastAsia="zh-CN"/>
        </w:rPr>
        <w:t>2023年</w:t>
      </w:r>
      <w:r>
        <w:rPr>
          <w:rFonts w:hint="eastAsia" w:ascii="仿宋" w:hAnsi="仿宋" w:eastAsia="仿宋" w:cs="仿宋"/>
          <w:sz w:val="32"/>
        </w:rPr>
        <w:t>支出合计</w:t>
      </w:r>
      <w:r>
        <w:rPr>
          <w:rFonts w:hint="eastAsia" w:ascii="仿宋" w:hAnsi="仿宋" w:eastAsia="仿宋" w:cs="仿宋"/>
          <w:sz w:val="32"/>
          <w:szCs w:val="32"/>
        </w:rPr>
        <w:t>8985.58</w:t>
      </w:r>
      <w:r>
        <w:rPr>
          <w:rFonts w:hint="eastAsia" w:ascii="仿宋" w:hAnsi="仿宋" w:eastAsia="仿宋" w:cs="仿宋"/>
          <w:sz w:val="32"/>
        </w:rPr>
        <w:t>万元，其中：基本支出</w:t>
      </w:r>
      <w:r>
        <w:rPr>
          <w:rFonts w:hint="eastAsia" w:ascii="仿宋" w:hAnsi="仿宋" w:eastAsia="仿宋" w:cs="仿宋"/>
          <w:sz w:val="32"/>
          <w:lang w:val="en-US" w:eastAsia="zh-CN"/>
        </w:rPr>
        <w:t>2987.86</w:t>
      </w:r>
      <w:r>
        <w:rPr>
          <w:rFonts w:hint="eastAsia" w:ascii="仿宋" w:hAnsi="仿宋" w:eastAsia="仿宋" w:cs="仿宋"/>
          <w:sz w:val="32"/>
        </w:rPr>
        <w:t>万元，占</w:t>
      </w:r>
      <w:r>
        <w:rPr>
          <w:rFonts w:hint="eastAsia" w:ascii="仿宋" w:hAnsi="仿宋" w:eastAsia="仿宋" w:cs="仿宋"/>
          <w:sz w:val="32"/>
          <w:lang w:val="en-US" w:eastAsia="zh-CN"/>
        </w:rPr>
        <w:t>33</w:t>
      </w:r>
      <w:r>
        <w:rPr>
          <w:rFonts w:hint="eastAsia" w:ascii="仿宋" w:hAnsi="仿宋" w:eastAsia="仿宋" w:cs="仿宋"/>
          <w:sz w:val="32"/>
        </w:rPr>
        <w:t>%；项目支出</w:t>
      </w:r>
      <w:r>
        <w:rPr>
          <w:rFonts w:hint="eastAsia" w:ascii="仿宋" w:hAnsi="仿宋" w:eastAsia="仿宋" w:cs="仿宋"/>
          <w:sz w:val="32"/>
          <w:lang w:val="en-US" w:eastAsia="zh-CN"/>
        </w:rPr>
        <w:t>5997.72</w:t>
      </w:r>
      <w:r>
        <w:rPr>
          <w:rFonts w:hint="eastAsia" w:ascii="仿宋" w:hAnsi="仿宋" w:eastAsia="仿宋" w:cs="仿宋"/>
          <w:sz w:val="32"/>
        </w:rPr>
        <w:t>万元，占</w:t>
      </w:r>
      <w:r>
        <w:rPr>
          <w:rFonts w:hint="eastAsia" w:ascii="仿宋" w:hAnsi="仿宋" w:eastAsia="仿宋" w:cs="仿宋"/>
          <w:sz w:val="32"/>
          <w:lang w:val="en-US" w:eastAsia="zh-CN"/>
        </w:rPr>
        <w:t>67</w:t>
      </w:r>
      <w:r>
        <w:rPr>
          <w:rFonts w:hint="eastAsia" w:ascii="仿宋" w:hAnsi="仿宋" w:eastAsia="仿宋" w:cs="仿宋"/>
          <w:sz w:val="32"/>
        </w:rPr>
        <w:t>%。</w:t>
      </w:r>
    </w:p>
    <w:p>
      <w:pPr>
        <w:jc w:val="left"/>
        <w:rPr>
          <w:rFonts w:ascii="仿宋" w:hAnsi="仿宋" w:eastAsia="仿宋" w:cs="仿宋"/>
          <w:sz w:val="32"/>
        </w:rPr>
      </w:pPr>
      <w:r>
        <w:rPr>
          <w:rFonts w:hint="eastAsia" w:ascii="仿宋" w:hAnsi="仿宋" w:eastAsia="仿宋" w:cs="仿宋"/>
          <w:sz w:val="32"/>
        </w:rPr>
        <w:drawing>
          <wp:inline distT="0" distB="0" distL="0" distR="0">
            <wp:extent cx="5233035" cy="3181350"/>
            <wp:effectExtent l="5080" t="4445" r="6985" b="1460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numPr>
          <w:ilvl w:val="0"/>
          <w:numId w:val="4"/>
        </w:numPr>
        <w:ind w:firstLine="640"/>
        <w:jc w:val="left"/>
        <w:rPr>
          <w:rFonts w:ascii="黑体" w:hAnsi="黑体" w:eastAsia="黑体" w:cs="黑体"/>
          <w:sz w:val="32"/>
        </w:rPr>
      </w:pPr>
      <w:r>
        <w:rPr>
          <w:rFonts w:hint="eastAsia" w:ascii="黑体" w:hAnsi="黑体" w:eastAsia="黑体" w:cs="黑体"/>
          <w:sz w:val="32"/>
        </w:rPr>
        <w:t>财政拨款收支预算总体情况说明</w:t>
      </w:r>
    </w:p>
    <w:p>
      <w:pPr>
        <w:ind w:firstLine="640" w:firstLineChars="200"/>
        <w:jc w:val="left"/>
        <w:rPr>
          <w:rFonts w:ascii="仿宋" w:hAnsi="仿宋" w:eastAsia="仿宋" w:cs="仿宋"/>
          <w:sz w:val="32"/>
        </w:rPr>
      </w:pPr>
      <w:r>
        <w:rPr>
          <w:rFonts w:hint="eastAsia" w:ascii="仿宋" w:hAnsi="仿宋" w:eastAsia="仿宋" w:cs="仿宋"/>
          <w:sz w:val="32"/>
        </w:rPr>
        <w:t>淮滨县自然资源局</w:t>
      </w:r>
      <w:r>
        <w:rPr>
          <w:rFonts w:hint="eastAsia" w:ascii="仿宋" w:hAnsi="仿宋" w:eastAsia="仿宋" w:cs="仿宋"/>
          <w:sz w:val="32"/>
          <w:lang w:eastAsia="zh-CN"/>
        </w:rPr>
        <w:t>2023年</w:t>
      </w:r>
      <w:r>
        <w:rPr>
          <w:rFonts w:hint="eastAsia" w:ascii="仿宋" w:hAnsi="仿宋" w:eastAsia="仿宋" w:cs="仿宋"/>
          <w:sz w:val="32"/>
        </w:rPr>
        <w:t>一般公共预算收支预算</w:t>
      </w:r>
      <w:r>
        <w:rPr>
          <w:rFonts w:hint="eastAsia" w:ascii="仿宋" w:hAnsi="仿宋" w:eastAsia="仿宋" w:cs="仿宋"/>
          <w:sz w:val="32"/>
          <w:lang w:val="en-US" w:eastAsia="zh-CN"/>
        </w:rPr>
        <w:t>3412.92</w:t>
      </w:r>
      <w:r>
        <w:rPr>
          <w:rFonts w:hint="eastAsia" w:ascii="仿宋" w:hAnsi="仿宋" w:eastAsia="仿宋" w:cs="仿宋"/>
          <w:sz w:val="32"/>
        </w:rPr>
        <w:t>万元，</w:t>
      </w:r>
      <w:r>
        <w:rPr>
          <w:rFonts w:hint="eastAsia" w:ascii="仿宋" w:hAnsi="仿宋" w:eastAsia="仿宋" w:cs="仿宋"/>
          <w:sz w:val="32"/>
          <w:lang w:val="en-US" w:eastAsia="zh-CN"/>
        </w:rPr>
        <w:t>有</w:t>
      </w:r>
      <w:r>
        <w:rPr>
          <w:rFonts w:hint="eastAsia" w:ascii="仿宋" w:hAnsi="仿宋" w:eastAsia="仿宋" w:cs="仿宋"/>
          <w:sz w:val="32"/>
        </w:rPr>
        <w:t>政府性基金预算</w:t>
      </w:r>
      <w:r>
        <w:rPr>
          <w:rFonts w:hint="eastAsia" w:ascii="仿宋" w:hAnsi="仿宋" w:eastAsia="仿宋" w:cs="仿宋"/>
          <w:sz w:val="32"/>
          <w:lang w:val="en-US" w:eastAsia="zh-CN"/>
        </w:rPr>
        <w:t>5572.66</w:t>
      </w:r>
      <w:r>
        <w:rPr>
          <w:rFonts w:hint="eastAsia" w:ascii="仿宋" w:hAnsi="仿宋" w:eastAsia="仿宋" w:cs="仿宋"/>
          <w:sz w:val="32"/>
        </w:rPr>
        <w:t>万元。与</w:t>
      </w:r>
      <w:r>
        <w:rPr>
          <w:rFonts w:hint="eastAsia" w:ascii="仿宋" w:hAnsi="仿宋" w:eastAsia="仿宋" w:cs="仿宋"/>
          <w:sz w:val="32"/>
          <w:lang w:eastAsia="zh-CN"/>
        </w:rPr>
        <w:t>2022年</w:t>
      </w:r>
      <w:r>
        <w:rPr>
          <w:rFonts w:hint="eastAsia" w:ascii="仿宋" w:hAnsi="仿宋" w:eastAsia="仿宋" w:cs="仿宋"/>
          <w:sz w:val="32"/>
        </w:rPr>
        <w:t>相比，一般公共预算收支预算增加</w:t>
      </w:r>
      <w:r>
        <w:rPr>
          <w:rFonts w:hint="eastAsia" w:ascii="仿宋" w:hAnsi="仿宋" w:eastAsia="仿宋" w:cs="仿宋"/>
          <w:sz w:val="32"/>
          <w:lang w:val="en-US" w:eastAsia="zh-CN"/>
        </w:rPr>
        <w:t>508.52</w:t>
      </w:r>
      <w:r>
        <w:rPr>
          <w:rFonts w:hint="eastAsia" w:ascii="仿宋" w:hAnsi="仿宋" w:eastAsia="仿宋" w:cs="仿宋"/>
          <w:sz w:val="32"/>
        </w:rPr>
        <w:t>万元，增长</w:t>
      </w:r>
      <w:r>
        <w:rPr>
          <w:rFonts w:hint="eastAsia" w:ascii="仿宋" w:hAnsi="仿宋" w:eastAsia="仿宋" w:cs="仿宋"/>
          <w:sz w:val="32"/>
          <w:lang w:val="en-US" w:eastAsia="zh-CN"/>
        </w:rPr>
        <w:t>17.51</w:t>
      </w:r>
      <w:r>
        <w:rPr>
          <w:rFonts w:hint="eastAsia" w:ascii="仿宋" w:hAnsi="仿宋" w:eastAsia="仿宋" w:cs="仿宋"/>
          <w:sz w:val="32"/>
        </w:rPr>
        <w:t>%，主要原因是</w:t>
      </w:r>
      <w:r>
        <w:rPr>
          <w:rFonts w:hint="eastAsia" w:ascii="仿宋" w:hAnsi="仿宋" w:eastAsia="仿宋" w:cs="仿宋"/>
          <w:sz w:val="32"/>
          <w:lang w:eastAsia="zh-CN"/>
        </w:rPr>
        <w:t>增加了人员工资的调资</w:t>
      </w:r>
      <w:r>
        <w:rPr>
          <w:rFonts w:hint="eastAsia" w:ascii="仿宋" w:hAnsi="仿宋" w:eastAsia="仿宋" w:cs="仿宋"/>
          <w:sz w:val="32"/>
          <w:lang w:val="en-US" w:eastAsia="zh-CN"/>
        </w:rPr>
        <w:t>和新增项目预算</w:t>
      </w:r>
      <w:r>
        <w:rPr>
          <w:rFonts w:hint="eastAsia" w:ascii="仿宋" w:hAnsi="仿宋" w:eastAsia="仿宋" w:cs="仿宋"/>
          <w:sz w:val="32"/>
        </w:rPr>
        <w:t>。</w:t>
      </w:r>
    </w:p>
    <w:p>
      <w:pPr>
        <w:jc w:val="left"/>
        <w:rPr>
          <w:rFonts w:ascii="仿宋" w:hAnsi="仿宋" w:eastAsia="仿宋" w:cs="仿宋"/>
          <w:sz w:val="32"/>
        </w:rPr>
      </w:pPr>
      <w:r>
        <w:rPr>
          <w:rFonts w:hint="eastAsia" w:ascii="仿宋" w:hAnsi="仿宋" w:eastAsia="仿宋" w:cs="仿宋"/>
          <w:sz w:val="32"/>
          <w:szCs w:val="32"/>
        </w:rPr>
        <w:drawing>
          <wp:inline distT="0" distB="0" distL="0" distR="0">
            <wp:extent cx="5274310" cy="3526790"/>
            <wp:effectExtent l="4445" t="4445" r="17145" b="1206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numPr>
          <w:ilvl w:val="0"/>
          <w:numId w:val="4"/>
        </w:numPr>
        <w:ind w:firstLine="640"/>
        <w:jc w:val="left"/>
        <w:rPr>
          <w:rFonts w:ascii="黑体" w:hAnsi="黑体" w:eastAsia="黑体"/>
          <w:sz w:val="32"/>
        </w:rPr>
      </w:pPr>
      <w:r>
        <w:rPr>
          <w:rFonts w:hint="eastAsia" w:ascii="黑体" w:hAnsi="黑体" w:eastAsia="黑体"/>
          <w:sz w:val="32"/>
        </w:rPr>
        <w:t>一般公共预算支出预算情况说明</w:t>
      </w:r>
    </w:p>
    <w:p>
      <w:pPr>
        <w:ind w:firstLine="640" w:firstLineChars="200"/>
        <w:jc w:val="left"/>
        <w:rPr>
          <w:rFonts w:ascii="仿宋" w:hAnsi="仿宋" w:eastAsia="仿宋" w:cs="仿宋"/>
          <w:sz w:val="32"/>
        </w:rPr>
      </w:pPr>
      <w:r>
        <w:rPr>
          <w:rFonts w:hint="eastAsia" w:ascii="仿宋" w:hAnsi="仿宋" w:eastAsia="仿宋" w:cs="仿宋"/>
          <w:sz w:val="32"/>
        </w:rPr>
        <w:t>淮滨县自然资源局</w:t>
      </w:r>
      <w:r>
        <w:rPr>
          <w:rFonts w:hint="eastAsia" w:ascii="仿宋" w:hAnsi="仿宋" w:eastAsia="仿宋" w:cs="仿宋"/>
          <w:sz w:val="32"/>
          <w:lang w:eastAsia="zh-CN"/>
        </w:rPr>
        <w:t>2023年</w:t>
      </w:r>
      <w:r>
        <w:rPr>
          <w:rFonts w:hint="eastAsia" w:ascii="仿宋" w:hAnsi="仿宋" w:eastAsia="仿宋" w:cs="仿宋"/>
          <w:sz w:val="32"/>
        </w:rPr>
        <w:t>一般公共预算支出年初预算为</w:t>
      </w:r>
      <w:r>
        <w:rPr>
          <w:rFonts w:hint="eastAsia" w:ascii="仿宋" w:hAnsi="仿宋" w:eastAsia="仿宋" w:cs="仿宋"/>
          <w:sz w:val="32"/>
          <w:lang w:val="en-US" w:eastAsia="zh-CN"/>
        </w:rPr>
        <w:t>3412.92</w:t>
      </w:r>
      <w:r>
        <w:rPr>
          <w:rFonts w:hint="eastAsia" w:ascii="仿宋" w:hAnsi="仿宋" w:eastAsia="仿宋" w:cs="仿宋"/>
          <w:sz w:val="32"/>
        </w:rPr>
        <w:t>万元。其中：基本支出</w:t>
      </w:r>
      <w:r>
        <w:rPr>
          <w:rFonts w:hint="eastAsia" w:ascii="仿宋" w:hAnsi="仿宋" w:eastAsia="仿宋" w:cs="仿宋"/>
          <w:sz w:val="32"/>
          <w:lang w:val="en-US" w:eastAsia="zh-CN"/>
        </w:rPr>
        <w:t>2642.73</w:t>
      </w:r>
      <w:r>
        <w:rPr>
          <w:rFonts w:hint="eastAsia" w:ascii="仿宋" w:hAnsi="仿宋" w:eastAsia="仿宋" w:cs="仿宋"/>
          <w:sz w:val="32"/>
        </w:rPr>
        <w:t>万元，占</w:t>
      </w:r>
      <w:r>
        <w:rPr>
          <w:rFonts w:hint="eastAsia" w:ascii="仿宋" w:hAnsi="仿宋" w:eastAsia="仿宋" w:cs="仿宋"/>
          <w:sz w:val="32"/>
          <w:lang w:val="en-US" w:eastAsia="zh-CN"/>
        </w:rPr>
        <w:t>77</w:t>
      </w:r>
      <w:r>
        <w:rPr>
          <w:rFonts w:hint="eastAsia" w:ascii="仿宋" w:hAnsi="仿宋" w:eastAsia="仿宋" w:cs="仿宋"/>
          <w:sz w:val="32"/>
        </w:rPr>
        <w:t>%;项目支出</w:t>
      </w:r>
      <w:r>
        <w:rPr>
          <w:rFonts w:hint="eastAsia" w:ascii="仿宋" w:hAnsi="仿宋" w:eastAsia="仿宋" w:cs="仿宋"/>
          <w:sz w:val="32"/>
          <w:lang w:val="en-US" w:eastAsia="zh-CN"/>
        </w:rPr>
        <w:t>770.19</w:t>
      </w:r>
      <w:r>
        <w:rPr>
          <w:rFonts w:hint="eastAsia" w:ascii="仿宋" w:hAnsi="仿宋" w:eastAsia="仿宋" w:cs="仿宋"/>
          <w:sz w:val="32"/>
        </w:rPr>
        <w:t>万元，占</w:t>
      </w:r>
      <w:r>
        <w:rPr>
          <w:rFonts w:hint="eastAsia" w:ascii="仿宋" w:hAnsi="仿宋" w:eastAsia="仿宋" w:cs="仿宋"/>
          <w:sz w:val="32"/>
          <w:lang w:val="en-US" w:eastAsia="zh-CN"/>
        </w:rPr>
        <w:t>23</w:t>
      </w:r>
      <w:r>
        <w:rPr>
          <w:rFonts w:hint="eastAsia" w:ascii="仿宋" w:hAnsi="仿宋" w:eastAsia="仿宋" w:cs="仿宋"/>
          <w:sz w:val="32"/>
        </w:rPr>
        <w:t>%。</w:t>
      </w:r>
    </w:p>
    <w:p>
      <w:pPr>
        <w:jc w:val="left"/>
        <w:rPr>
          <w:rFonts w:ascii="仿宋" w:hAnsi="仿宋" w:eastAsia="仿宋" w:cs="仿宋"/>
          <w:sz w:val="32"/>
          <w:szCs w:val="32"/>
        </w:rPr>
      </w:pPr>
      <w:r>
        <w:rPr>
          <w:rFonts w:hint="eastAsia" w:ascii="仿宋" w:hAnsi="仿宋" w:eastAsia="仿宋" w:cs="仿宋"/>
          <w:sz w:val="32"/>
          <w:szCs w:val="32"/>
        </w:rPr>
        <w:drawing>
          <wp:inline distT="0" distB="0" distL="0" distR="0">
            <wp:extent cx="5274310" cy="3076575"/>
            <wp:effectExtent l="5080" t="4445" r="16510" b="5080"/>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numPr>
          <w:ilvl w:val="0"/>
          <w:numId w:val="4"/>
        </w:numPr>
        <w:ind w:firstLine="640"/>
        <w:jc w:val="left"/>
        <w:rPr>
          <w:rFonts w:ascii="黑体" w:hAnsi="黑体" w:eastAsia="黑体" w:cs="黑体"/>
          <w:color w:val="000000"/>
          <w:sz w:val="32"/>
          <w:szCs w:val="32"/>
        </w:rPr>
      </w:pPr>
      <w:r>
        <w:rPr>
          <w:rFonts w:hint="eastAsia" w:ascii="黑体" w:hAnsi="黑体" w:eastAsia="黑体" w:cs="黑体"/>
          <w:color w:val="000000"/>
          <w:sz w:val="32"/>
          <w:szCs w:val="32"/>
        </w:rPr>
        <w:t>一般公共预算基本支出预算情况说明</w:t>
      </w:r>
    </w:p>
    <w:p>
      <w:pPr>
        <w:ind w:firstLine="640" w:firstLineChars="200"/>
        <w:jc w:val="left"/>
        <w:rPr>
          <w:rFonts w:ascii="仿宋" w:hAnsi="仿宋" w:eastAsia="仿宋" w:cs="仿宋"/>
          <w:color w:val="000000"/>
          <w:sz w:val="32"/>
          <w:szCs w:val="32"/>
        </w:rPr>
      </w:pPr>
      <w:r>
        <w:rPr>
          <w:rFonts w:hint="eastAsia" w:ascii="仿宋" w:hAnsi="仿宋" w:eastAsia="仿宋" w:cs="仿宋"/>
          <w:color w:val="000000"/>
          <w:sz w:val="32"/>
          <w:szCs w:val="32"/>
        </w:rPr>
        <w:t>淮滨县自然资源局</w:t>
      </w:r>
      <w:r>
        <w:rPr>
          <w:rFonts w:hint="eastAsia" w:ascii="仿宋" w:hAnsi="仿宋" w:eastAsia="仿宋" w:cs="仿宋"/>
          <w:color w:val="000000"/>
          <w:sz w:val="32"/>
          <w:szCs w:val="32"/>
          <w:lang w:eastAsia="zh-CN"/>
        </w:rPr>
        <w:t>2023年</w:t>
      </w:r>
      <w:r>
        <w:rPr>
          <w:rFonts w:hint="eastAsia" w:ascii="仿宋" w:hAnsi="仿宋" w:eastAsia="仿宋" w:cs="仿宋"/>
          <w:color w:val="000000"/>
          <w:sz w:val="32"/>
          <w:szCs w:val="32"/>
        </w:rPr>
        <w:t xml:space="preserve">一般公共预算基本支出年初预算为 </w:t>
      </w:r>
      <w:r>
        <w:rPr>
          <w:rFonts w:hint="eastAsia" w:ascii="仿宋" w:hAnsi="仿宋" w:eastAsia="仿宋" w:cs="仿宋"/>
          <w:sz w:val="32"/>
          <w:lang w:val="en-US" w:eastAsia="zh-CN"/>
        </w:rPr>
        <w:t>2642.73</w:t>
      </w:r>
      <w:r>
        <w:rPr>
          <w:rFonts w:hint="eastAsia" w:ascii="仿宋" w:hAnsi="仿宋" w:eastAsia="仿宋" w:cs="仿宋"/>
          <w:color w:val="000000"/>
          <w:sz w:val="32"/>
          <w:szCs w:val="32"/>
        </w:rPr>
        <w:t>万元。其中：人员经费支出</w:t>
      </w:r>
      <w:r>
        <w:rPr>
          <w:rFonts w:hint="eastAsia" w:ascii="仿宋" w:hAnsi="仿宋" w:eastAsia="仿宋" w:cs="仿宋"/>
          <w:color w:val="000000"/>
          <w:sz w:val="32"/>
          <w:szCs w:val="32"/>
          <w:lang w:val="en-US" w:eastAsia="zh-CN"/>
        </w:rPr>
        <w:t>2570.39</w:t>
      </w:r>
      <w:r>
        <w:rPr>
          <w:rFonts w:hint="eastAsia" w:ascii="仿宋" w:hAnsi="仿宋" w:eastAsia="仿宋" w:cs="仿宋"/>
          <w:color w:val="000000"/>
          <w:sz w:val="32"/>
          <w:szCs w:val="32"/>
        </w:rPr>
        <w:t>万元，占</w:t>
      </w:r>
      <w:r>
        <w:rPr>
          <w:rFonts w:hint="eastAsia" w:ascii="仿宋" w:hAnsi="仿宋" w:eastAsia="仿宋" w:cs="仿宋"/>
          <w:color w:val="000000"/>
          <w:sz w:val="32"/>
          <w:szCs w:val="32"/>
          <w:lang w:val="en-US" w:eastAsia="zh-CN"/>
        </w:rPr>
        <w:t>97</w:t>
      </w:r>
      <w:r>
        <w:rPr>
          <w:rFonts w:hint="eastAsia" w:ascii="仿宋" w:hAnsi="仿宋" w:eastAsia="仿宋" w:cs="仿宋"/>
          <w:color w:val="000000"/>
          <w:sz w:val="32"/>
          <w:szCs w:val="32"/>
        </w:rPr>
        <w:t>%；公用经费支出</w:t>
      </w:r>
      <w:r>
        <w:rPr>
          <w:rFonts w:hint="eastAsia" w:ascii="仿宋" w:hAnsi="仿宋" w:eastAsia="仿宋" w:cs="仿宋"/>
          <w:color w:val="000000"/>
          <w:sz w:val="32"/>
          <w:szCs w:val="32"/>
          <w:lang w:val="en-US" w:eastAsia="zh-CN"/>
        </w:rPr>
        <w:t>72.34</w:t>
      </w:r>
      <w:r>
        <w:rPr>
          <w:rFonts w:hint="eastAsia" w:ascii="仿宋" w:hAnsi="仿宋" w:eastAsia="仿宋" w:cs="仿宋"/>
          <w:color w:val="000000"/>
          <w:sz w:val="32"/>
          <w:szCs w:val="32"/>
        </w:rPr>
        <w:t>万元，占</w:t>
      </w:r>
      <w:r>
        <w:rPr>
          <w:rFonts w:hint="eastAsia" w:ascii="仿宋" w:hAnsi="仿宋" w:eastAsia="仿宋" w:cs="仿宋"/>
          <w:color w:val="000000"/>
          <w:sz w:val="32"/>
          <w:szCs w:val="32"/>
          <w:lang w:val="en-US" w:eastAsia="zh-CN"/>
        </w:rPr>
        <w:t>3</w:t>
      </w:r>
      <w:r>
        <w:rPr>
          <w:rFonts w:hint="eastAsia" w:ascii="仿宋" w:hAnsi="仿宋" w:eastAsia="仿宋" w:cs="仿宋"/>
          <w:color w:val="000000"/>
          <w:sz w:val="32"/>
          <w:szCs w:val="32"/>
        </w:rPr>
        <w:t>%。</w:t>
      </w:r>
    </w:p>
    <w:p>
      <w:pPr>
        <w:jc w:val="left"/>
        <w:rPr>
          <w:rFonts w:ascii="仿宋" w:hAnsi="仿宋" w:eastAsia="仿宋" w:cs="仿宋"/>
          <w:color w:val="000000"/>
          <w:sz w:val="32"/>
          <w:szCs w:val="32"/>
        </w:rPr>
      </w:pPr>
      <w:r>
        <w:rPr>
          <w:rFonts w:hint="eastAsia" w:ascii="仿宋" w:hAnsi="仿宋" w:eastAsia="仿宋" w:cs="仿宋"/>
          <w:sz w:val="32"/>
          <w:szCs w:val="32"/>
        </w:rPr>
        <w:drawing>
          <wp:inline distT="0" distB="0" distL="0" distR="0">
            <wp:extent cx="5274310" cy="3076575"/>
            <wp:effectExtent l="5080" t="4445" r="16510" b="508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numPr>
          <w:ilvl w:val="0"/>
          <w:numId w:val="4"/>
        </w:numPr>
        <w:ind w:firstLine="640"/>
        <w:jc w:val="left"/>
        <w:rPr>
          <w:rFonts w:ascii="黑体" w:hAnsi="黑体" w:eastAsia="黑体" w:cs="黑体"/>
          <w:sz w:val="32"/>
          <w:szCs w:val="32"/>
        </w:rPr>
      </w:pPr>
      <w:r>
        <w:rPr>
          <w:rFonts w:hint="eastAsia" w:ascii="黑体" w:hAnsi="黑体" w:eastAsia="黑体" w:cs="黑体"/>
          <w:color w:val="000000"/>
          <w:sz w:val="32"/>
          <w:szCs w:val="32"/>
        </w:rPr>
        <w:t>一般公共预算</w:t>
      </w:r>
      <w:r>
        <w:rPr>
          <w:rFonts w:hint="eastAsia" w:ascii="黑体" w:hAnsi="黑体" w:eastAsia="黑体" w:cs="黑体"/>
          <w:sz w:val="32"/>
          <w:szCs w:val="32"/>
        </w:rPr>
        <w:t>“三公”经费支出预算情况说明</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淮滨县自然资源局</w:t>
      </w:r>
      <w:r>
        <w:rPr>
          <w:rFonts w:hint="eastAsia" w:ascii="仿宋" w:hAnsi="仿宋" w:eastAsia="仿宋" w:cs="仿宋"/>
          <w:sz w:val="32"/>
          <w:szCs w:val="32"/>
          <w:lang w:eastAsia="zh-CN"/>
        </w:rPr>
        <w:t>2023年</w:t>
      </w:r>
      <w:r>
        <w:rPr>
          <w:rFonts w:hint="eastAsia" w:ascii="仿宋" w:hAnsi="仿宋" w:eastAsia="仿宋" w:cs="仿宋"/>
          <w:sz w:val="32"/>
          <w:szCs w:val="32"/>
        </w:rPr>
        <w:t>“三公”经费支出预算为</w:t>
      </w:r>
      <w:r>
        <w:rPr>
          <w:rFonts w:hint="eastAsia" w:ascii="仿宋" w:hAnsi="仿宋" w:eastAsia="仿宋" w:cs="仿宋"/>
          <w:sz w:val="32"/>
          <w:szCs w:val="32"/>
          <w:lang w:val="en-US" w:eastAsia="zh-CN"/>
        </w:rPr>
        <w:t>11.27</w:t>
      </w:r>
      <w:r>
        <w:rPr>
          <w:rFonts w:hint="eastAsia" w:ascii="仿宋" w:hAnsi="仿宋" w:eastAsia="仿宋" w:cs="仿宋"/>
          <w:sz w:val="32"/>
          <w:szCs w:val="32"/>
        </w:rPr>
        <w:t>万元,预算数与</w:t>
      </w:r>
      <w:r>
        <w:rPr>
          <w:rFonts w:hint="eastAsia" w:ascii="仿宋" w:hAnsi="仿宋" w:eastAsia="仿宋" w:cs="仿宋"/>
          <w:sz w:val="32"/>
          <w:szCs w:val="32"/>
          <w:lang w:eastAsia="zh-CN"/>
        </w:rPr>
        <w:t>2022年</w:t>
      </w:r>
      <w:r>
        <w:rPr>
          <w:rFonts w:hint="eastAsia" w:ascii="仿宋" w:hAnsi="仿宋" w:eastAsia="仿宋" w:cs="仿宋"/>
          <w:sz w:val="32"/>
          <w:szCs w:val="32"/>
        </w:rPr>
        <w:t>保持一致。</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具体支出情况如下：</w:t>
      </w:r>
    </w:p>
    <w:p>
      <w:pPr>
        <w:ind w:firstLine="640" w:firstLineChars="200"/>
        <w:jc w:val="left"/>
        <w:rPr>
          <w:rFonts w:ascii="仿宋" w:hAnsi="仿宋" w:eastAsia="仿宋" w:cs="仿宋"/>
          <w:sz w:val="32"/>
          <w:szCs w:val="32"/>
        </w:rPr>
      </w:pPr>
      <w:r>
        <w:rPr>
          <w:rFonts w:hint="eastAsia" w:ascii="仿宋" w:hAnsi="仿宋" w:eastAsia="仿宋" w:cs="仿宋"/>
          <w:b/>
          <w:bCs/>
          <w:sz w:val="32"/>
          <w:szCs w:val="32"/>
        </w:rPr>
        <w:t>（一）因公出国（境）费用</w:t>
      </w:r>
      <w:r>
        <w:rPr>
          <w:rFonts w:hint="eastAsia" w:ascii="仿宋" w:hAnsi="仿宋" w:eastAsia="仿宋" w:cs="仿宋"/>
          <w:sz w:val="32"/>
          <w:szCs w:val="32"/>
        </w:rPr>
        <w:t>0万元，预算数与</w:t>
      </w:r>
      <w:r>
        <w:rPr>
          <w:rFonts w:hint="eastAsia" w:ascii="仿宋" w:hAnsi="仿宋" w:eastAsia="仿宋" w:cs="仿宋"/>
          <w:sz w:val="32"/>
          <w:szCs w:val="32"/>
          <w:lang w:eastAsia="zh-CN"/>
        </w:rPr>
        <w:t>2022年</w:t>
      </w:r>
      <w:r>
        <w:rPr>
          <w:rFonts w:hint="eastAsia" w:ascii="仿宋" w:hAnsi="仿宋" w:eastAsia="仿宋" w:cs="仿宋"/>
          <w:sz w:val="32"/>
          <w:szCs w:val="32"/>
        </w:rPr>
        <w:t>保持一致。</w:t>
      </w:r>
    </w:p>
    <w:p>
      <w:pPr>
        <w:ind w:firstLine="640" w:firstLineChars="200"/>
        <w:jc w:val="left"/>
        <w:rPr>
          <w:rFonts w:ascii="仿宋" w:hAnsi="仿宋" w:eastAsia="仿宋" w:cs="仿宋"/>
          <w:sz w:val="32"/>
          <w:szCs w:val="32"/>
        </w:rPr>
      </w:pPr>
      <w:r>
        <w:rPr>
          <w:rFonts w:hint="eastAsia" w:ascii="仿宋" w:hAnsi="仿宋" w:eastAsia="仿宋" w:cs="仿宋"/>
          <w:b/>
          <w:bCs/>
          <w:sz w:val="32"/>
          <w:szCs w:val="32"/>
        </w:rPr>
        <w:t>（二）公务接待费</w:t>
      </w:r>
      <w:r>
        <w:rPr>
          <w:rFonts w:hint="eastAsia" w:ascii="仿宋" w:hAnsi="仿宋" w:eastAsia="仿宋" w:cs="仿宋"/>
          <w:sz w:val="32"/>
          <w:szCs w:val="32"/>
          <w:lang w:val="en-US" w:eastAsia="zh-CN"/>
        </w:rPr>
        <w:t>4.53</w:t>
      </w:r>
      <w:r>
        <w:rPr>
          <w:rFonts w:hint="eastAsia" w:ascii="仿宋" w:hAnsi="仿宋" w:eastAsia="仿宋" w:cs="仿宋"/>
          <w:sz w:val="32"/>
          <w:szCs w:val="32"/>
        </w:rPr>
        <w:t>万元。主要用于按规定开支的各类公务接待支出。预算数与</w:t>
      </w:r>
      <w:r>
        <w:rPr>
          <w:rFonts w:hint="eastAsia" w:ascii="仿宋" w:hAnsi="仿宋" w:eastAsia="仿宋" w:cs="仿宋"/>
          <w:sz w:val="32"/>
          <w:szCs w:val="32"/>
          <w:lang w:eastAsia="zh-CN"/>
        </w:rPr>
        <w:t>2022年</w:t>
      </w:r>
      <w:r>
        <w:rPr>
          <w:rFonts w:hint="eastAsia" w:ascii="仿宋" w:hAnsi="仿宋" w:eastAsia="仿宋" w:cs="仿宋"/>
          <w:sz w:val="32"/>
          <w:szCs w:val="32"/>
        </w:rPr>
        <w:t>保持一致。</w:t>
      </w:r>
    </w:p>
    <w:p>
      <w:pPr>
        <w:ind w:firstLine="640" w:firstLineChars="200"/>
        <w:jc w:val="left"/>
        <w:rPr>
          <w:rFonts w:ascii="仿宋" w:hAnsi="仿宋" w:eastAsia="仿宋" w:cs="仿宋"/>
          <w:sz w:val="32"/>
          <w:szCs w:val="32"/>
        </w:rPr>
      </w:pPr>
      <w:r>
        <w:rPr>
          <w:rFonts w:hint="eastAsia" w:ascii="仿宋" w:hAnsi="仿宋" w:eastAsia="仿宋" w:cs="仿宋"/>
          <w:b/>
          <w:bCs/>
          <w:sz w:val="32"/>
          <w:szCs w:val="32"/>
        </w:rPr>
        <w:t>（三）公务用车购置及运行费</w:t>
      </w:r>
      <w:r>
        <w:rPr>
          <w:rFonts w:hint="eastAsia" w:ascii="仿宋" w:hAnsi="仿宋" w:eastAsia="仿宋" w:cs="仿宋"/>
          <w:sz w:val="32"/>
          <w:szCs w:val="32"/>
          <w:lang w:val="en-US" w:eastAsia="zh-CN"/>
        </w:rPr>
        <w:t>6.74</w:t>
      </w:r>
      <w:r>
        <w:rPr>
          <w:rFonts w:hint="eastAsia" w:ascii="仿宋" w:hAnsi="仿宋" w:eastAsia="仿宋" w:cs="仿宋"/>
          <w:sz w:val="32"/>
          <w:szCs w:val="32"/>
        </w:rPr>
        <w:t>万元，其中：公务用车运行维护费</w:t>
      </w:r>
      <w:r>
        <w:rPr>
          <w:rFonts w:hint="eastAsia" w:ascii="仿宋" w:hAnsi="仿宋" w:eastAsia="仿宋" w:cs="仿宋"/>
          <w:sz w:val="32"/>
          <w:szCs w:val="32"/>
          <w:lang w:val="en-US" w:eastAsia="zh-CN"/>
        </w:rPr>
        <w:t>6.74</w:t>
      </w:r>
      <w:r>
        <w:rPr>
          <w:rFonts w:hint="eastAsia" w:ascii="仿宋" w:hAnsi="仿宋" w:eastAsia="仿宋" w:cs="仿宋"/>
          <w:sz w:val="32"/>
          <w:szCs w:val="32"/>
        </w:rPr>
        <w:t>万元，公务用车购置</w:t>
      </w:r>
      <w:r>
        <w:rPr>
          <w:rFonts w:hint="eastAsia" w:ascii="仿宋" w:hAnsi="仿宋" w:eastAsia="仿宋" w:cs="仿宋"/>
          <w:sz w:val="32"/>
          <w:szCs w:val="32"/>
          <w:lang w:val="en-US" w:eastAsia="zh-CN"/>
        </w:rPr>
        <w:t>0</w:t>
      </w:r>
      <w:r>
        <w:rPr>
          <w:rFonts w:hint="eastAsia" w:ascii="仿宋" w:hAnsi="仿宋" w:eastAsia="仿宋" w:cs="仿宋"/>
          <w:sz w:val="32"/>
          <w:szCs w:val="32"/>
        </w:rPr>
        <w:t>万元。预算数与</w:t>
      </w:r>
      <w:r>
        <w:rPr>
          <w:rFonts w:hint="eastAsia" w:ascii="仿宋" w:hAnsi="仿宋" w:eastAsia="仿宋" w:cs="仿宋"/>
          <w:sz w:val="32"/>
          <w:szCs w:val="32"/>
          <w:lang w:eastAsia="zh-CN"/>
        </w:rPr>
        <w:t>2022年</w:t>
      </w:r>
      <w:r>
        <w:rPr>
          <w:rFonts w:hint="eastAsia" w:ascii="仿宋" w:hAnsi="仿宋" w:eastAsia="仿宋" w:cs="仿宋"/>
          <w:sz w:val="32"/>
          <w:szCs w:val="32"/>
        </w:rPr>
        <w:t>保持一致。</w:t>
      </w:r>
    </w:p>
    <w:p>
      <w:pPr>
        <w:jc w:val="left"/>
        <w:rPr>
          <w:rFonts w:ascii="仿宋" w:hAnsi="仿宋" w:eastAsia="仿宋" w:cs="仿宋"/>
          <w:sz w:val="32"/>
          <w:szCs w:val="32"/>
        </w:rPr>
      </w:pPr>
      <w:r>
        <w:rPr>
          <w:rFonts w:hint="eastAsia" w:ascii="仿宋" w:hAnsi="仿宋" w:eastAsia="仿宋" w:cs="仿宋"/>
          <w:sz w:val="32"/>
          <w:szCs w:val="32"/>
        </w:rPr>
        <w:drawing>
          <wp:inline distT="0" distB="0" distL="0" distR="0">
            <wp:extent cx="5274310" cy="3076575"/>
            <wp:effectExtent l="5080" t="4445" r="16510" b="508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numPr>
          <w:ilvl w:val="0"/>
          <w:numId w:val="4"/>
        </w:numPr>
        <w:ind w:firstLine="640"/>
        <w:jc w:val="left"/>
        <w:rPr>
          <w:rFonts w:ascii="黑体" w:hAnsi="黑体" w:eastAsia="黑体"/>
          <w:sz w:val="32"/>
        </w:rPr>
      </w:pPr>
      <w:r>
        <w:rPr>
          <w:rFonts w:hint="eastAsia" w:ascii="黑体" w:hAnsi="黑体" w:eastAsia="黑体"/>
          <w:sz w:val="32"/>
        </w:rPr>
        <w:t>政府性基金预算支出预算情况说明</w:t>
      </w:r>
    </w:p>
    <w:p>
      <w:pPr>
        <w:ind w:firstLine="640" w:firstLineChars="200"/>
        <w:jc w:val="left"/>
        <w:rPr>
          <w:rFonts w:hint="eastAsia" w:ascii="仿宋" w:hAnsi="仿宋" w:eastAsia="仿宋" w:cs="仿宋"/>
          <w:sz w:val="32"/>
          <w:lang w:eastAsia="zh-CN"/>
        </w:rPr>
      </w:pPr>
      <w:r>
        <w:rPr>
          <w:rFonts w:hint="eastAsia" w:ascii="仿宋" w:hAnsi="仿宋" w:eastAsia="仿宋" w:cs="仿宋"/>
          <w:sz w:val="32"/>
        </w:rPr>
        <w:t>我单位</w:t>
      </w:r>
      <w:r>
        <w:rPr>
          <w:rFonts w:hint="eastAsia" w:ascii="仿宋" w:hAnsi="仿宋" w:eastAsia="仿宋" w:cs="仿宋"/>
          <w:sz w:val="32"/>
          <w:lang w:eastAsia="zh-CN"/>
        </w:rPr>
        <w:t>2023年</w:t>
      </w:r>
      <w:r>
        <w:rPr>
          <w:rFonts w:hint="eastAsia" w:ascii="仿宋" w:hAnsi="仿宋" w:eastAsia="仿宋" w:cs="仿宋"/>
          <w:sz w:val="32"/>
        </w:rPr>
        <w:t>无使用政府性基金预算拨款安排的支出</w:t>
      </w:r>
      <w:r>
        <w:rPr>
          <w:rFonts w:hint="eastAsia" w:ascii="仿宋" w:hAnsi="仿宋" w:eastAsia="仿宋" w:cs="仿宋"/>
          <w:sz w:val="32"/>
          <w:lang w:eastAsia="zh-CN"/>
        </w:rPr>
        <w:t>为</w:t>
      </w:r>
      <w:r>
        <w:rPr>
          <w:rFonts w:hint="eastAsia" w:ascii="仿宋" w:hAnsi="仿宋" w:eastAsia="仿宋" w:cs="仿宋"/>
          <w:sz w:val="32"/>
          <w:lang w:val="en-US" w:eastAsia="zh-CN"/>
        </w:rPr>
        <w:t>5572.66</w:t>
      </w:r>
      <w:r>
        <w:rPr>
          <w:rFonts w:hint="eastAsia" w:ascii="仿宋" w:hAnsi="仿宋" w:eastAsia="仿宋" w:cs="仿宋"/>
          <w:sz w:val="32"/>
        </w:rPr>
        <w:t>。</w:t>
      </w:r>
      <w:r>
        <w:rPr>
          <w:rFonts w:hint="eastAsia" w:ascii="仿宋" w:hAnsi="仿宋" w:eastAsia="仿宋" w:cs="仿宋"/>
          <w:sz w:val="32"/>
          <w:lang w:eastAsia="zh-CN"/>
        </w:rPr>
        <w:t>主要为规划办的人员经费、日常运转经费和规划设计专项经费支出，包括：</w:t>
      </w:r>
    </w:p>
    <w:p>
      <w:pPr>
        <w:ind w:firstLine="640" w:firstLineChars="200"/>
        <w:jc w:val="left"/>
        <w:rPr>
          <w:rFonts w:hint="eastAsia" w:ascii="仿宋" w:hAnsi="仿宋" w:eastAsia="仿宋" w:cs="仿宋"/>
          <w:sz w:val="32"/>
          <w:lang w:val="en-US" w:eastAsia="zh-CN"/>
        </w:rPr>
      </w:pPr>
      <w:r>
        <w:rPr>
          <w:rFonts w:hint="eastAsia" w:ascii="仿宋" w:hAnsi="仿宋" w:eastAsia="仿宋" w:cs="仿宋"/>
          <w:sz w:val="32"/>
          <w:lang w:val="en-US" w:eastAsia="zh-CN"/>
        </w:rPr>
        <w:t>（一）工资福利支出322.63万元。主要用于人员的工资发放、社保费费等方面的支出。</w:t>
      </w:r>
    </w:p>
    <w:p>
      <w:pPr>
        <w:ind w:firstLine="640" w:firstLineChars="200"/>
        <w:jc w:val="left"/>
        <w:rPr>
          <w:rFonts w:hint="eastAsia" w:ascii="仿宋" w:hAnsi="仿宋" w:eastAsia="仿宋" w:cs="仿宋"/>
          <w:sz w:val="32"/>
          <w:lang w:val="en-US" w:eastAsia="zh-CN"/>
        </w:rPr>
      </w:pPr>
      <w:r>
        <w:rPr>
          <w:rFonts w:hint="eastAsia" w:ascii="仿宋" w:hAnsi="仿宋" w:eastAsia="仿宋" w:cs="仿宋"/>
          <w:sz w:val="32"/>
          <w:lang w:val="en-US" w:eastAsia="zh-CN"/>
        </w:rPr>
        <w:t>（二）对个人和家庭的补助支出5.76万元。主要用于遗嘱补助的发放。</w:t>
      </w:r>
    </w:p>
    <w:p>
      <w:pPr>
        <w:ind w:firstLine="640" w:firstLineChars="200"/>
        <w:jc w:val="left"/>
        <w:rPr>
          <w:rFonts w:hint="eastAsia" w:ascii="仿宋" w:hAnsi="仿宋" w:eastAsia="仿宋" w:cs="仿宋"/>
          <w:sz w:val="32"/>
          <w:lang w:val="en-US" w:eastAsia="zh-CN"/>
        </w:rPr>
      </w:pPr>
      <w:r>
        <w:rPr>
          <w:rFonts w:hint="eastAsia" w:ascii="仿宋" w:hAnsi="仿宋" w:eastAsia="仿宋" w:cs="仿宋"/>
          <w:sz w:val="32"/>
          <w:lang w:val="en-US" w:eastAsia="zh-CN"/>
        </w:rPr>
        <w:t>（三）商品和服务支出16.74万元。主要用于各项办公支出。</w:t>
      </w:r>
    </w:p>
    <w:p>
      <w:pPr>
        <w:ind w:firstLine="640" w:firstLineChars="200"/>
        <w:jc w:val="left"/>
        <w:rPr>
          <w:rFonts w:hint="eastAsia" w:ascii="仿宋" w:hAnsi="仿宋" w:eastAsia="仿宋" w:cs="仿宋"/>
          <w:sz w:val="32"/>
        </w:rPr>
      </w:pPr>
      <w:r>
        <w:rPr>
          <w:rFonts w:hint="eastAsia" w:ascii="仿宋" w:hAnsi="仿宋" w:eastAsia="仿宋" w:cs="仿宋"/>
          <w:sz w:val="32"/>
          <w:lang w:val="en-US" w:eastAsia="zh-CN"/>
        </w:rPr>
        <w:t>（四）各类专项业务支出5227.53万元。主要用于各种运转业务类和特定目标类支出。</w:t>
      </w:r>
    </w:p>
    <w:p>
      <w:pPr>
        <w:numPr>
          <w:ilvl w:val="0"/>
          <w:numId w:val="4"/>
        </w:numPr>
        <w:ind w:firstLine="640"/>
        <w:jc w:val="left"/>
        <w:rPr>
          <w:rFonts w:ascii="黑体" w:hAnsi="黑体" w:eastAsia="黑体"/>
          <w:sz w:val="32"/>
        </w:rPr>
      </w:pPr>
      <w:r>
        <w:rPr>
          <w:rFonts w:hint="eastAsia" w:ascii="黑体" w:hAnsi="黑体" w:eastAsia="黑体"/>
          <w:sz w:val="32"/>
        </w:rPr>
        <w:t>其他重要事项的情况说明</w:t>
      </w:r>
    </w:p>
    <w:p>
      <w:pPr>
        <w:ind w:left="420" w:leftChars="200"/>
        <w:jc w:val="left"/>
        <w:rPr>
          <w:rFonts w:ascii="仿宋" w:hAnsi="仿宋" w:eastAsia="仿宋" w:cs="仿宋"/>
          <w:b/>
          <w:bCs/>
          <w:sz w:val="32"/>
        </w:rPr>
      </w:pPr>
      <w:r>
        <w:rPr>
          <w:rFonts w:hint="eastAsia" w:ascii="仿宋" w:hAnsi="仿宋" w:eastAsia="仿宋" w:cs="仿宋"/>
          <w:b/>
          <w:bCs/>
          <w:sz w:val="32"/>
        </w:rPr>
        <w:t>（一）行政（事业）单位机构运转经费</w:t>
      </w:r>
    </w:p>
    <w:p>
      <w:pPr>
        <w:ind w:firstLine="640" w:firstLineChars="200"/>
        <w:jc w:val="left"/>
        <w:rPr>
          <w:rFonts w:ascii="仿宋" w:hAnsi="仿宋" w:eastAsia="仿宋" w:cs="仿宋"/>
          <w:sz w:val="32"/>
        </w:rPr>
      </w:pPr>
      <w:r>
        <w:rPr>
          <w:rFonts w:hint="eastAsia" w:ascii="仿宋" w:hAnsi="仿宋" w:eastAsia="仿宋" w:cs="仿宋"/>
          <w:sz w:val="32"/>
        </w:rPr>
        <w:t>我单位</w:t>
      </w:r>
      <w:r>
        <w:rPr>
          <w:rFonts w:hint="eastAsia" w:ascii="仿宋" w:hAnsi="仿宋" w:eastAsia="仿宋" w:cs="仿宋"/>
          <w:sz w:val="32"/>
          <w:lang w:eastAsia="zh-CN"/>
        </w:rPr>
        <w:t>2023年</w:t>
      </w:r>
      <w:r>
        <w:rPr>
          <w:rFonts w:hint="eastAsia" w:ascii="仿宋" w:hAnsi="仿宋" w:eastAsia="仿宋" w:cs="仿宋"/>
          <w:sz w:val="32"/>
        </w:rPr>
        <w:t>机关运行经费支出预算</w:t>
      </w:r>
      <w:r>
        <w:rPr>
          <w:rFonts w:hint="eastAsia" w:ascii="仿宋" w:hAnsi="仿宋" w:eastAsia="仿宋" w:cs="仿宋"/>
          <w:sz w:val="32"/>
          <w:lang w:val="en-US" w:eastAsia="zh-CN"/>
        </w:rPr>
        <w:t>89.08</w:t>
      </w:r>
      <w:r>
        <w:rPr>
          <w:rFonts w:hint="eastAsia" w:ascii="仿宋" w:hAnsi="仿宋" w:eastAsia="仿宋" w:cs="仿宋"/>
          <w:sz w:val="32"/>
        </w:rPr>
        <w:t>万元，主要保障机构正常运转及正常履职需要，用于购买货物和服务的支出。包括办公及印刷费、邮电费、差旅费、会议费、福利费、日常维修费及一般设备购置费、办公用房水电费、办公用房取暖费、办公用房物业管理费、公务用车运行维护费以及其他费用。</w:t>
      </w:r>
    </w:p>
    <w:p>
      <w:pPr>
        <w:ind w:firstLine="640" w:firstLineChars="200"/>
        <w:jc w:val="left"/>
        <w:rPr>
          <w:rFonts w:ascii="仿宋" w:hAnsi="仿宋" w:eastAsia="仿宋" w:cs="仿宋"/>
          <w:b/>
          <w:bCs/>
          <w:sz w:val="32"/>
        </w:rPr>
      </w:pPr>
      <w:r>
        <w:rPr>
          <w:rFonts w:hint="eastAsia" w:ascii="仿宋" w:hAnsi="仿宋" w:eastAsia="仿宋" w:cs="仿宋"/>
          <w:b/>
          <w:bCs/>
          <w:sz w:val="32"/>
        </w:rPr>
        <w:t>（二）政府采购支出预算情况</w:t>
      </w:r>
    </w:p>
    <w:p>
      <w:pPr>
        <w:ind w:firstLine="640" w:firstLineChars="200"/>
        <w:jc w:val="left"/>
        <w:rPr>
          <w:rFonts w:ascii="仿宋" w:hAnsi="仿宋" w:eastAsia="仿宋" w:cs="仿宋"/>
          <w:sz w:val="32"/>
        </w:rPr>
      </w:pPr>
      <w:r>
        <w:rPr>
          <w:rFonts w:hint="eastAsia" w:ascii="仿宋" w:hAnsi="仿宋" w:eastAsia="仿宋" w:cs="仿宋"/>
          <w:sz w:val="32"/>
        </w:rPr>
        <w:t>我单位</w:t>
      </w:r>
      <w:r>
        <w:rPr>
          <w:rFonts w:hint="eastAsia" w:ascii="仿宋" w:hAnsi="仿宋" w:eastAsia="仿宋" w:cs="仿宋"/>
          <w:sz w:val="32"/>
          <w:lang w:eastAsia="zh-CN"/>
        </w:rPr>
        <w:t>2023年</w:t>
      </w:r>
      <w:r>
        <w:rPr>
          <w:rFonts w:hint="eastAsia" w:ascii="仿宋" w:hAnsi="仿宋" w:eastAsia="仿宋" w:cs="仿宋"/>
          <w:sz w:val="32"/>
        </w:rPr>
        <w:t>政府采购预算安排</w:t>
      </w:r>
      <w:r>
        <w:rPr>
          <w:rFonts w:hint="eastAsia" w:ascii="仿宋" w:hAnsi="仿宋" w:eastAsia="仿宋" w:cs="仿宋"/>
          <w:sz w:val="32"/>
          <w:lang w:val="en-US" w:eastAsia="zh-CN"/>
        </w:rPr>
        <w:t>9.99</w:t>
      </w:r>
      <w:r>
        <w:rPr>
          <w:rFonts w:hint="eastAsia" w:ascii="仿宋" w:hAnsi="仿宋" w:eastAsia="仿宋" w:cs="仿宋"/>
          <w:sz w:val="32"/>
        </w:rPr>
        <w:t>万元，其中：货物类采购预算</w:t>
      </w:r>
      <w:r>
        <w:rPr>
          <w:rFonts w:hint="eastAsia" w:ascii="仿宋" w:hAnsi="仿宋" w:eastAsia="仿宋" w:cs="仿宋"/>
          <w:sz w:val="32"/>
          <w:lang w:val="en-US" w:eastAsia="zh-CN"/>
        </w:rPr>
        <w:t>9.99</w:t>
      </w:r>
      <w:r>
        <w:rPr>
          <w:rFonts w:hint="eastAsia" w:ascii="仿宋" w:hAnsi="仿宋" w:eastAsia="仿宋" w:cs="仿宋"/>
          <w:sz w:val="32"/>
        </w:rPr>
        <w:t>万元，工程类采购预算</w:t>
      </w:r>
      <w:r>
        <w:rPr>
          <w:rFonts w:hint="eastAsia" w:ascii="仿宋" w:hAnsi="仿宋" w:eastAsia="仿宋" w:cs="仿宋"/>
          <w:sz w:val="32"/>
          <w:lang w:val="en-US" w:eastAsia="zh-CN"/>
        </w:rPr>
        <w:t>0</w:t>
      </w:r>
      <w:r>
        <w:rPr>
          <w:rFonts w:hint="eastAsia" w:ascii="仿宋" w:hAnsi="仿宋" w:eastAsia="仿宋" w:cs="仿宋"/>
          <w:sz w:val="32"/>
        </w:rPr>
        <w:t>万元，服务类采购预算</w:t>
      </w:r>
      <w:r>
        <w:rPr>
          <w:rFonts w:hint="eastAsia" w:ascii="仿宋" w:hAnsi="仿宋" w:eastAsia="仿宋" w:cs="仿宋"/>
          <w:sz w:val="32"/>
          <w:lang w:val="en-US" w:eastAsia="zh-CN"/>
        </w:rPr>
        <w:t>0</w:t>
      </w:r>
      <w:r>
        <w:rPr>
          <w:rFonts w:hint="eastAsia" w:ascii="仿宋" w:hAnsi="仿宋" w:eastAsia="仿宋" w:cs="仿宋"/>
          <w:sz w:val="32"/>
        </w:rPr>
        <w:t>万元。</w:t>
      </w:r>
    </w:p>
    <w:p>
      <w:pPr>
        <w:numPr>
          <w:ilvl w:val="0"/>
          <w:numId w:val="5"/>
        </w:numPr>
        <w:ind w:firstLine="640" w:firstLineChars="200"/>
        <w:jc w:val="left"/>
        <w:rPr>
          <w:rFonts w:ascii="仿宋" w:hAnsi="仿宋" w:eastAsia="仿宋" w:cs="仿宋"/>
          <w:b/>
          <w:bCs/>
          <w:sz w:val="32"/>
        </w:rPr>
      </w:pPr>
      <w:r>
        <w:rPr>
          <w:rFonts w:hint="eastAsia" w:ascii="仿宋" w:hAnsi="仿宋" w:eastAsia="仿宋" w:cs="仿宋"/>
          <w:b/>
          <w:bCs/>
          <w:sz w:val="32"/>
        </w:rPr>
        <w:t>绩效目标设置情况</w:t>
      </w:r>
    </w:p>
    <w:p>
      <w:pPr>
        <w:ind w:firstLine="640" w:firstLineChars="200"/>
        <w:jc w:val="left"/>
        <w:rPr>
          <w:rFonts w:hint="eastAsia" w:ascii="仿宋" w:hAnsi="仿宋" w:eastAsia="仿宋" w:cs="仿宋"/>
          <w:sz w:val="32"/>
        </w:rPr>
      </w:pPr>
      <w:r>
        <w:rPr>
          <w:rFonts w:hint="eastAsia" w:ascii="仿宋" w:hAnsi="仿宋" w:eastAsia="仿宋" w:cs="仿宋"/>
          <w:sz w:val="32"/>
        </w:rPr>
        <w:t>我单位</w:t>
      </w:r>
      <w:r>
        <w:rPr>
          <w:rFonts w:hint="eastAsia" w:ascii="仿宋" w:hAnsi="仿宋" w:eastAsia="仿宋" w:cs="仿宋"/>
          <w:sz w:val="32"/>
          <w:lang w:eastAsia="zh-CN"/>
        </w:rPr>
        <w:t>2023年</w:t>
      </w:r>
      <w:r>
        <w:rPr>
          <w:rFonts w:hint="eastAsia" w:ascii="仿宋" w:hAnsi="仿宋" w:eastAsia="仿宋" w:cs="仿宋"/>
          <w:sz w:val="32"/>
        </w:rPr>
        <w:t>预算项目均按要求编制了绩效目标，从 项目产出、项目效益、满意度等方面设置了绩效目标，综合 反映项目预期完成的数量、实效、质量，预期达到的社会经 济效益、可持续影响以及对象满意度等情况。</w:t>
      </w:r>
    </w:p>
    <w:p>
      <w:pPr>
        <w:ind w:firstLine="640" w:firstLineChars="200"/>
        <w:jc w:val="left"/>
        <w:rPr>
          <w:rFonts w:hint="default" w:ascii="仿宋" w:hAnsi="仿宋" w:eastAsia="仿宋" w:cs="仿宋"/>
          <w:sz w:val="32"/>
          <w:lang w:val="en-US" w:eastAsia="zh-CN"/>
        </w:rPr>
      </w:pPr>
      <w:r>
        <w:rPr>
          <w:rFonts w:hint="eastAsia" w:ascii="仿宋" w:hAnsi="仿宋" w:eastAsia="仿宋" w:cs="仿宋"/>
          <w:sz w:val="32"/>
          <w:lang w:val="en-US" w:eastAsia="zh-CN"/>
        </w:rPr>
        <w:t>2023年部门预算金额共计8985.58</w:t>
      </w:r>
      <w:bookmarkStart w:id="0" w:name="_GoBack"/>
      <w:bookmarkEnd w:id="0"/>
      <w:r>
        <w:rPr>
          <w:rFonts w:hint="eastAsia" w:ascii="仿宋" w:hAnsi="仿宋" w:eastAsia="仿宋" w:cs="仿宋"/>
          <w:sz w:val="32"/>
          <w:lang w:val="en-US" w:eastAsia="zh-CN"/>
        </w:rPr>
        <w:t>万元，其中项目共7个，金额为5997.72万元。</w:t>
      </w:r>
    </w:p>
    <w:p>
      <w:pPr>
        <w:ind w:firstLine="640" w:firstLineChars="200"/>
        <w:jc w:val="left"/>
        <w:rPr>
          <w:rFonts w:hint="eastAsia" w:ascii="仿宋" w:hAnsi="仿宋" w:eastAsia="仿宋" w:cs="仿宋"/>
          <w:sz w:val="32"/>
        </w:rPr>
      </w:pPr>
    </w:p>
    <w:p>
      <w:pPr>
        <w:numPr>
          <w:ilvl w:val="0"/>
          <w:numId w:val="5"/>
        </w:numPr>
        <w:ind w:firstLine="640" w:firstLineChars="200"/>
        <w:jc w:val="left"/>
        <w:rPr>
          <w:rFonts w:ascii="仿宋" w:hAnsi="仿宋" w:eastAsia="仿宋" w:cs="仿宋"/>
          <w:b/>
          <w:bCs/>
          <w:sz w:val="32"/>
        </w:rPr>
      </w:pPr>
      <w:r>
        <w:rPr>
          <w:rFonts w:hint="eastAsia" w:ascii="仿宋" w:hAnsi="仿宋" w:eastAsia="仿宋" w:cs="仿宋"/>
          <w:b/>
          <w:bCs/>
          <w:sz w:val="32"/>
        </w:rPr>
        <w:t>国有资产占用情况</w:t>
      </w:r>
    </w:p>
    <w:p>
      <w:pPr>
        <w:ind w:firstLine="640" w:firstLineChars="200"/>
        <w:jc w:val="left"/>
        <w:rPr>
          <w:rFonts w:ascii="仿宋" w:hAnsi="仿宋" w:eastAsia="仿宋" w:cs="仿宋"/>
          <w:sz w:val="32"/>
        </w:rPr>
      </w:pPr>
      <w:r>
        <w:rPr>
          <w:rFonts w:hint="eastAsia" w:ascii="仿宋" w:hAnsi="仿宋" w:eastAsia="仿宋" w:cs="仿宋"/>
          <w:sz w:val="32"/>
          <w:lang w:eastAsia="zh-CN"/>
        </w:rPr>
        <w:t>2022年</w:t>
      </w:r>
      <w:r>
        <w:rPr>
          <w:rFonts w:hint="eastAsia" w:ascii="仿宋" w:hAnsi="仿宋" w:eastAsia="仿宋" w:cs="仿宋"/>
          <w:sz w:val="32"/>
        </w:rPr>
        <w:t>期末，我单位共有车辆</w:t>
      </w:r>
      <w:r>
        <w:rPr>
          <w:rFonts w:hint="eastAsia" w:ascii="仿宋" w:hAnsi="仿宋" w:eastAsia="仿宋" w:cs="仿宋"/>
          <w:sz w:val="32"/>
          <w:lang w:val="en-US" w:eastAsia="zh-CN"/>
        </w:rPr>
        <w:t>26</w:t>
      </w:r>
      <w:r>
        <w:rPr>
          <w:rFonts w:hint="eastAsia" w:ascii="仿宋" w:hAnsi="仿宋" w:eastAsia="仿宋" w:cs="仿宋"/>
          <w:sz w:val="32"/>
        </w:rPr>
        <w:t>辆，其中：一般公务用车</w:t>
      </w:r>
      <w:r>
        <w:rPr>
          <w:rFonts w:hint="eastAsia" w:ascii="仿宋" w:hAnsi="仿宋" w:eastAsia="仿宋" w:cs="仿宋"/>
          <w:sz w:val="32"/>
          <w:lang w:val="en-US" w:eastAsia="zh-CN"/>
        </w:rPr>
        <w:t>0</w:t>
      </w:r>
      <w:r>
        <w:rPr>
          <w:rFonts w:hint="eastAsia" w:ascii="仿宋" w:hAnsi="仿宋" w:eastAsia="仿宋" w:cs="仿宋"/>
          <w:sz w:val="32"/>
        </w:rPr>
        <w:t>辆、一般执法执勤用车</w:t>
      </w:r>
      <w:r>
        <w:rPr>
          <w:rFonts w:hint="eastAsia" w:ascii="仿宋" w:hAnsi="仿宋" w:eastAsia="仿宋" w:cs="仿宋"/>
          <w:sz w:val="32"/>
          <w:lang w:val="en-US" w:eastAsia="zh-CN"/>
        </w:rPr>
        <w:t>26</w:t>
      </w:r>
      <w:r>
        <w:rPr>
          <w:rFonts w:hint="eastAsia" w:ascii="仿宋" w:hAnsi="仿宋" w:eastAsia="仿宋" w:cs="仿宋"/>
          <w:sz w:val="32"/>
        </w:rPr>
        <w:t>辆、其他用车</w:t>
      </w:r>
      <w:r>
        <w:rPr>
          <w:rFonts w:hint="eastAsia" w:ascii="仿宋" w:hAnsi="仿宋" w:eastAsia="仿宋" w:cs="仿宋"/>
          <w:sz w:val="32"/>
          <w:lang w:val="en-US" w:eastAsia="zh-CN"/>
        </w:rPr>
        <w:t>0</w:t>
      </w:r>
      <w:r>
        <w:rPr>
          <w:rFonts w:hint="eastAsia" w:ascii="仿宋" w:hAnsi="仿宋" w:eastAsia="仿宋" w:cs="仿宋"/>
          <w:sz w:val="32"/>
        </w:rPr>
        <w:t>辆；单价50万元以上通用设备</w:t>
      </w:r>
      <w:r>
        <w:rPr>
          <w:rFonts w:hint="eastAsia" w:ascii="仿宋" w:hAnsi="仿宋" w:eastAsia="仿宋" w:cs="仿宋"/>
          <w:sz w:val="32"/>
          <w:lang w:val="en-US" w:eastAsia="zh-CN"/>
        </w:rPr>
        <w:t>0</w:t>
      </w:r>
      <w:r>
        <w:rPr>
          <w:rFonts w:hint="eastAsia" w:ascii="仿宋" w:hAnsi="仿宋" w:eastAsia="仿宋" w:cs="仿宋"/>
          <w:sz w:val="32"/>
        </w:rPr>
        <w:t>套，单位价值100万元以上专用设备</w:t>
      </w:r>
      <w:r>
        <w:rPr>
          <w:rFonts w:hint="eastAsia" w:ascii="仿宋" w:hAnsi="仿宋" w:eastAsia="仿宋" w:cs="仿宋"/>
          <w:sz w:val="32"/>
          <w:lang w:val="en-US" w:eastAsia="zh-CN"/>
        </w:rPr>
        <w:t>0</w:t>
      </w:r>
      <w:r>
        <w:rPr>
          <w:rFonts w:hint="eastAsia" w:ascii="仿宋" w:hAnsi="仿宋" w:eastAsia="仿宋" w:cs="仿宋"/>
          <w:sz w:val="32"/>
        </w:rPr>
        <w:t>套。</w:t>
      </w:r>
    </w:p>
    <w:p>
      <w:pPr>
        <w:ind w:firstLine="640" w:firstLineChars="200"/>
        <w:jc w:val="left"/>
        <w:rPr>
          <w:rFonts w:ascii="黑体" w:hAnsi="黑体" w:eastAsia="黑体"/>
          <w:b/>
          <w:bCs/>
          <w:sz w:val="32"/>
        </w:rPr>
      </w:pPr>
      <w:r>
        <w:rPr>
          <w:rFonts w:hint="eastAsia" w:ascii="仿宋" w:hAnsi="仿宋" w:eastAsia="仿宋" w:cs="仿宋"/>
          <w:b/>
          <w:bCs/>
          <w:sz w:val="32"/>
        </w:rPr>
        <w:t>（五）专项转移支付项目情况</w:t>
      </w:r>
    </w:p>
    <w:p>
      <w:pPr>
        <w:ind w:firstLine="640" w:firstLineChars="200"/>
        <w:jc w:val="left"/>
        <w:rPr>
          <w:rFonts w:ascii="仿宋" w:hAnsi="仿宋" w:eastAsia="仿宋" w:cs="仿宋"/>
          <w:sz w:val="32"/>
        </w:rPr>
      </w:pPr>
      <w:r>
        <w:rPr>
          <w:rFonts w:hint="eastAsia" w:ascii="仿宋" w:hAnsi="仿宋" w:eastAsia="仿宋" w:cs="仿宋"/>
          <w:sz w:val="32"/>
        </w:rPr>
        <w:t>我单位负责管理的专项转移支付项目共有</w:t>
      </w:r>
      <w:r>
        <w:rPr>
          <w:rFonts w:hint="eastAsia" w:ascii="仿宋" w:hAnsi="仿宋" w:eastAsia="仿宋" w:cs="仿宋"/>
          <w:sz w:val="32"/>
          <w:lang w:val="en-US" w:eastAsia="zh-CN"/>
        </w:rPr>
        <w:t>0</w:t>
      </w:r>
      <w:r>
        <w:rPr>
          <w:rFonts w:hint="eastAsia" w:ascii="仿宋" w:hAnsi="仿宋" w:eastAsia="仿宋" w:cs="仿宋"/>
          <w:sz w:val="32"/>
        </w:rPr>
        <w:t>项。主要是:</w:t>
      </w:r>
      <w:r>
        <w:rPr>
          <w:rFonts w:hint="eastAsia" w:ascii="仿宋" w:hAnsi="仿宋" w:eastAsia="仿宋" w:cs="仿宋"/>
          <w:sz w:val="32"/>
          <w:lang w:val="en-US" w:eastAsia="zh-CN"/>
        </w:rPr>
        <w:t>无</w:t>
      </w:r>
      <w:r>
        <w:rPr>
          <w:rFonts w:hint="eastAsia" w:ascii="仿宋" w:hAnsi="仿宋" w:eastAsia="仿宋" w:cs="仿宋"/>
          <w:sz w:val="32"/>
        </w:rPr>
        <w:t>专项资金。我单位将按照《预算法》等有关规定， 积极做好项目分配前期准备工作，在规定的时间内向财政部门提出资金分配意见，根据有关要求做好项目申报公开等相关工作。</w:t>
      </w: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jc w:val="center"/>
        <w:rPr>
          <w:rFonts w:ascii="黑体" w:hAnsi="黑体" w:eastAsia="黑体"/>
          <w:b/>
          <w:bCs/>
          <w:sz w:val="36"/>
          <w:szCs w:val="36"/>
        </w:rPr>
      </w:pPr>
    </w:p>
    <w:p>
      <w:pPr>
        <w:jc w:val="center"/>
        <w:rPr>
          <w:rFonts w:ascii="黑体" w:hAnsi="黑体" w:eastAsia="黑体"/>
          <w:b/>
          <w:bCs/>
          <w:sz w:val="36"/>
          <w:szCs w:val="36"/>
        </w:rPr>
      </w:pPr>
      <w:r>
        <w:rPr>
          <w:rFonts w:hint="eastAsia" w:ascii="黑体" w:hAnsi="黑体" w:eastAsia="黑体"/>
          <w:b/>
          <w:bCs/>
          <w:sz w:val="36"/>
          <w:szCs w:val="36"/>
        </w:rPr>
        <w:t xml:space="preserve">第三部分 </w:t>
      </w:r>
    </w:p>
    <w:p>
      <w:pPr>
        <w:jc w:val="center"/>
        <w:rPr>
          <w:rFonts w:ascii="黑体" w:hAnsi="黑体" w:eastAsia="黑体"/>
          <w:b/>
          <w:bCs/>
          <w:sz w:val="36"/>
          <w:szCs w:val="36"/>
        </w:rPr>
      </w:pPr>
      <w:r>
        <w:rPr>
          <w:rFonts w:hint="eastAsia" w:ascii="黑体" w:hAnsi="黑体" w:eastAsia="黑体"/>
          <w:b/>
          <w:bCs/>
          <w:sz w:val="36"/>
          <w:szCs w:val="36"/>
        </w:rPr>
        <w:t>名词解释</w:t>
      </w:r>
    </w:p>
    <w:p>
      <w:pPr>
        <w:jc w:val="left"/>
        <w:rPr>
          <w:rFonts w:ascii="黑体" w:hAnsi="黑体" w:eastAsia="黑体"/>
          <w:sz w:val="32"/>
        </w:rPr>
      </w:pP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 xml:space="preserve">财政拨款收入：是指县级财政当年拨付的资金。 </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事业收入：是指事业单位开展专业活动及辅助活动</w:t>
      </w:r>
    </w:p>
    <w:p>
      <w:pPr>
        <w:jc w:val="left"/>
        <w:rPr>
          <w:rFonts w:ascii="仿宋" w:hAnsi="仿宋" w:eastAsia="仿宋" w:cs="仿宋"/>
          <w:sz w:val="32"/>
        </w:rPr>
      </w:pPr>
      <w:r>
        <w:rPr>
          <w:rFonts w:hint="eastAsia" w:ascii="仿宋" w:hAnsi="仿宋" w:eastAsia="仿宋" w:cs="仿宋"/>
          <w:sz w:val="32"/>
        </w:rPr>
        <w:t>所取得的收入。</w:t>
      </w:r>
    </w:p>
    <w:p>
      <w:pPr>
        <w:numPr>
          <w:ilvl w:val="0"/>
          <w:numId w:val="6"/>
        </w:numPr>
        <w:ind w:firstLine="640" w:firstLineChars="200"/>
        <w:jc w:val="left"/>
        <w:rPr>
          <w:rFonts w:ascii="宋体" w:hAnsi="宋体" w:eastAsia="宋体" w:cs="宋体"/>
          <w:color w:val="333333"/>
          <w:sz w:val="24"/>
        </w:rPr>
      </w:pPr>
      <w:r>
        <w:rPr>
          <w:rFonts w:hint="eastAsia" w:ascii="仿宋" w:hAnsi="仿宋" w:eastAsia="仿宋" w:cs="仿宋"/>
          <w:sz w:val="32"/>
        </w:rPr>
        <w:t>其他收入：是指部门取得的除“财政拨款”、“事 业收入”、“事业单位经营收入”等以外的收入。</w:t>
      </w:r>
    </w:p>
    <w:p>
      <w:pPr>
        <w:numPr>
          <w:ilvl w:val="0"/>
          <w:numId w:val="6"/>
        </w:numPr>
        <w:ind w:firstLine="640" w:firstLineChars="200"/>
        <w:jc w:val="left"/>
        <w:rPr>
          <w:rFonts w:ascii="仿宋" w:hAnsi="仿宋" w:eastAsia="仿宋" w:cs="仿宋"/>
          <w:sz w:val="32"/>
        </w:rPr>
      </w:pPr>
      <w:r>
        <w:rPr>
          <w:rFonts w:ascii="仿宋" w:hAnsi="仿宋" w:eastAsia="仿宋" w:cs="仿宋"/>
          <w:color w:val="333333"/>
          <w:sz w:val="32"/>
          <w:szCs w:val="32"/>
          <w:shd w:val="clear" w:color="auto" w:fill="FFFFFF"/>
        </w:rPr>
        <w:t>上年结转：</w:t>
      </w:r>
      <w:r>
        <w:rPr>
          <w:rFonts w:hint="eastAsia" w:ascii="仿宋" w:hAnsi="仿宋" w:eastAsia="仿宋" w:cs="仿宋"/>
          <w:color w:val="333333"/>
          <w:sz w:val="32"/>
          <w:szCs w:val="32"/>
          <w:shd w:val="clear" w:color="auto" w:fill="FFFFFF"/>
        </w:rPr>
        <w:t>指以前年度安排、结转到本年仍按原用途继续使用的资金。</w:t>
      </w:r>
    </w:p>
    <w:p>
      <w:pPr>
        <w:numPr>
          <w:ilvl w:val="0"/>
          <w:numId w:val="6"/>
        </w:numPr>
        <w:ind w:firstLine="640" w:firstLineChars="200"/>
        <w:jc w:val="left"/>
        <w:rPr>
          <w:rFonts w:ascii="仿宋" w:hAnsi="仿宋" w:eastAsia="仿宋" w:cs="仿宋"/>
          <w:sz w:val="32"/>
        </w:rPr>
      </w:pPr>
      <w:r>
        <w:rPr>
          <w:rFonts w:ascii="仿宋" w:hAnsi="仿宋" w:eastAsia="仿宋" w:cs="仿宋"/>
          <w:color w:val="333333"/>
          <w:sz w:val="32"/>
          <w:szCs w:val="32"/>
          <w:shd w:val="clear" w:color="auto" w:fill="FFFFFF"/>
        </w:rPr>
        <w:t>结转下年：</w:t>
      </w:r>
      <w:r>
        <w:rPr>
          <w:rFonts w:hint="eastAsia" w:ascii="仿宋" w:hAnsi="仿宋" w:eastAsia="仿宋" w:cs="仿宋"/>
          <w:color w:val="333333"/>
          <w:sz w:val="32"/>
          <w:szCs w:val="32"/>
          <w:shd w:val="clear" w:color="auto" w:fill="FFFFFF"/>
        </w:rPr>
        <w:t>指以前年度预算安排、因客观条件发生变化无法按原计划实施，需以后年度按原用途继续使用的资金。</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用事业基金弥补收支差额：是指事业单位在当年的 “财政拨款收入”、“事业收入”、“经营收入”和“其他 收入”不足以安排当年支出的情况下，使用以前年度积累的 事业基金（即事业单位以前各年度收支相抵后，按国家规定 提取、用于弥补以后年度收支差额的基金）弥补当年收支 缺口的资金。</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基本支出：是指为保障机构正常运转、完成日常工 作任务所必需的开支，其内容包括人员经费和日常公用经费 两部分。</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项目支出：是指在基本支出之外，为完成特定的行政工作任务或事业发展目标所发生的支出。</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“三公”经费：是指纳入市级财政预算管理，部门 使用财政拨款安排的因公出国（境）费、公务用车购置及运 行费和公务接待费。其中，因公出国（境）费反映单位公务 出国（境）的住宿费、旅费、伙食补助费、杂费、培训费等 支出；公务用车购置及运行费反映单位公务用车购置费及租 用费、燃料费、维修费、过路过桥费、保险费、安全奖励费 用等支出；公务接待费反映单位按规定开支的各类公务接待</w:t>
      </w:r>
    </w:p>
    <w:p>
      <w:pPr>
        <w:jc w:val="left"/>
        <w:rPr>
          <w:rFonts w:ascii="仿宋" w:hAnsi="仿宋" w:eastAsia="仿宋" w:cs="仿宋"/>
          <w:sz w:val="32"/>
        </w:rPr>
      </w:pPr>
      <w:r>
        <w:rPr>
          <w:rFonts w:hint="eastAsia" w:ascii="仿宋" w:hAnsi="仿宋" w:eastAsia="仿宋" w:cs="仿宋"/>
          <w:sz w:val="32"/>
        </w:rPr>
        <w:t>（含外宾接待）支出。</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lang w:eastAsia="zh-CN"/>
        </w:rPr>
        <w:t>行政（事业）单位机构运转</w:t>
      </w:r>
      <w:r>
        <w:rPr>
          <w:rFonts w:hint="eastAsia" w:ascii="仿宋" w:hAnsi="仿宋" w:eastAsia="仿宋" w:cs="仿宋"/>
          <w:sz w:val="32"/>
        </w:rPr>
        <w:t>经费：是指为保障行政单位（含参照公务员法管理的事业单位）运行用于购买货物和服务的各项资 金，包括办公及印刷费、邮电费、差旅费、会议费、福利费、 日常维修费及一般设备购置费、办公用房水电费、办公用房 取暖费、办公用房物业管理费、公务用车运行维护费以及其 他费用。</w:t>
      </w:r>
    </w:p>
    <w:p>
      <w:pPr>
        <w:numPr>
          <w:ilvl w:val="0"/>
          <w:numId w:val="6"/>
        </w:numPr>
        <w:ind w:firstLine="620" w:firstLineChars="200"/>
        <w:jc w:val="left"/>
        <w:rPr>
          <w:rFonts w:ascii="仿宋" w:hAnsi="仿宋" w:eastAsia="仿宋" w:cs="仿宋"/>
          <w:sz w:val="32"/>
        </w:rPr>
      </w:pPr>
      <w:r>
        <w:rPr>
          <w:rFonts w:ascii="仿宋_GB2312" w:hAnsi="宋体" w:eastAsia="仿宋_GB2312" w:cs="仿宋_GB2312"/>
          <w:color w:val="000000"/>
          <w:sz w:val="31"/>
          <w:szCs w:val="31"/>
          <w:shd w:val="clear" w:color="auto" w:fill="FFFFFF"/>
        </w:rPr>
        <w:t>专项转移支付：</w:t>
      </w:r>
      <w:r>
        <w:rPr>
          <w:rFonts w:hint="eastAsia" w:ascii="仿宋_GB2312" w:hAnsi="宋体" w:eastAsia="仿宋_GB2312" w:cs="仿宋_GB2312"/>
          <w:color w:val="000000"/>
          <w:sz w:val="31"/>
          <w:szCs w:val="31"/>
          <w:shd w:val="clear" w:color="auto" w:fill="FFFFFF"/>
        </w:rPr>
        <w:t>是指上级政府(在我国一般指中央、省、市级政府)为实现特定的宏观政策目标，以及对委托下级政府代理的一些事务进行补偿而设立的专项补助资金。资金接受者需按规定用途使用资金。</w:t>
      </w:r>
    </w:p>
    <w:p>
      <w:pPr>
        <w:tabs>
          <w:tab w:val="left" w:pos="7506"/>
        </w:tabs>
        <w:ind w:firstLine="640" w:firstLineChars="200"/>
        <w:jc w:val="left"/>
        <w:rPr>
          <w:rFonts w:ascii="黑体" w:hAnsi="黑体" w:eastAsia="黑体" w:cs="黑体"/>
          <w:sz w:val="32"/>
        </w:rPr>
      </w:pPr>
      <w:r>
        <w:rPr>
          <w:rFonts w:hint="eastAsia" w:ascii="黑体" w:hAnsi="黑体" w:eastAsia="黑体" w:cs="黑体"/>
          <w:sz w:val="32"/>
        </w:rPr>
        <w:t>附件：淮滨县自然资源局</w:t>
      </w:r>
      <w:r>
        <w:rPr>
          <w:rFonts w:hint="eastAsia" w:ascii="黑体" w:hAnsi="黑体" w:eastAsia="黑体" w:cs="黑体"/>
          <w:sz w:val="32"/>
          <w:lang w:eastAsia="zh-CN"/>
        </w:rPr>
        <w:t>2023年</w:t>
      </w:r>
      <w:r>
        <w:rPr>
          <w:rFonts w:hint="eastAsia" w:ascii="黑体" w:hAnsi="黑体" w:eastAsia="黑体" w:cs="黑体"/>
          <w:sz w:val="32"/>
        </w:rPr>
        <w:t>部门预算表</w:t>
      </w: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
    <w:altName w:val="Arial Unicode MS"/>
    <w:panose1 w:val="02010609060101010101"/>
    <w:charset w:val="86"/>
    <w:family w:val="modern"/>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A0F3C52" w:usb2="00000016" w:usb3="00000000" w:csb0="0004001F" w:csb1="00000000"/>
  </w:font>
  <w:font w:name="Tahoma">
    <w:panose1 w:val="020B0604030504040204"/>
    <w:charset w:val="00"/>
    <w:family w:val="auto"/>
    <w:pitch w:val="default"/>
    <w:sig w:usb0="61007A87" w:usb1="80000000" w:usb2="00000008" w:usb3="00000000" w:csb0="200101FF" w:csb1="20280000"/>
  </w:font>
  <w:font w:name="仿宋">
    <w:altName w:val="Arial Unicode MS"/>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8B0532"/>
    <w:multiLevelType w:val="singleLevel"/>
    <w:tmpl w:val="CC8B0532"/>
    <w:lvl w:ilvl="0" w:tentative="0">
      <w:start w:val="1"/>
      <w:numFmt w:val="chineseCounting"/>
      <w:suff w:val="space"/>
      <w:lvlText w:val="第%1部分"/>
      <w:lvlJc w:val="left"/>
      <w:rPr>
        <w:rFonts w:hint="eastAsia"/>
      </w:rPr>
    </w:lvl>
  </w:abstractNum>
  <w:abstractNum w:abstractNumId="1">
    <w:nsid w:val="DECAE212"/>
    <w:multiLevelType w:val="singleLevel"/>
    <w:tmpl w:val="DECAE212"/>
    <w:lvl w:ilvl="0" w:tentative="0">
      <w:start w:val="1"/>
      <w:numFmt w:val="chineseCounting"/>
      <w:suff w:val="nothing"/>
      <w:lvlText w:val="%1、"/>
      <w:lvlJc w:val="left"/>
      <w:pPr>
        <w:ind w:left="-10"/>
      </w:pPr>
      <w:rPr>
        <w:rFonts w:hint="eastAsia"/>
      </w:rPr>
    </w:lvl>
  </w:abstractNum>
  <w:abstractNum w:abstractNumId="2">
    <w:nsid w:val="E1D7C83E"/>
    <w:multiLevelType w:val="singleLevel"/>
    <w:tmpl w:val="E1D7C83E"/>
    <w:lvl w:ilvl="0" w:tentative="0">
      <w:start w:val="1"/>
      <w:numFmt w:val="chineseCounting"/>
      <w:suff w:val="nothing"/>
      <w:lvlText w:val="%1、"/>
      <w:lvlJc w:val="left"/>
      <w:rPr>
        <w:rFonts w:hint="eastAsia" w:ascii="仿宋" w:hAnsi="仿宋" w:eastAsia="仿宋" w:cs="仿宋"/>
        <w:b w:val="0"/>
        <w:bCs w:val="0"/>
        <w:sz w:val="32"/>
        <w:szCs w:val="32"/>
      </w:rPr>
    </w:lvl>
  </w:abstractNum>
  <w:abstractNum w:abstractNumId="3">
    <w:nsid w:val="1DBE515B"/>
    <w:multiLevelType w:val="singleLevel"/>
    <w:tmpl w:val="1DBE515B"/>
    <w:lvl w:ilvl="0" w:tentative="0">
      <w:start w:val="1"/>
      <w:numFmt w:val="chineseCounting"/>
      <w:suff w:val="nothing"/>
      <w:lvlText w:val="%1、"/>
      <w:lvlJc w:val="left"/>
      <w:rPr>
        <w:rFonts w:hint="eastAsia"/>
      </w:rPr>
    </w:lvl>
  </w:abstractNum>
  <w:abstractNum w:abstractNumId="4">
    <w:nsid w:val="6EC1A300"/>
    <w:multiLevelType w:val="singleLevel"/>
    <w:tmpl w:val="6EC1A300"/>
    <w:lvl w:ilvl="0" w:tentative="0">
      <w:start w:val="1"/>
      <w:numFmt w:val="chineseCounting"/>
      <w:suff w:val="nothing"/>
      <w:lvlText w:val="%1、"/>
      <w:lvlJc w:val="left"/>
      <w:rPr>
        <w:rFonts w:hint="eastAsia"/>
      </w:rPr>
    </w:lvl>
  </w:abstractNum>
  <w:abstractNum w:abstractNumId="5">
    <w:nsid w:val="73A1052D"/>
    <w:multiLevelType w:val="singleLevel"/>
    <w:tmpl w:val="73A1052D"/>
    <w:lvl w:ilvl="0" w:tentative="0">
      <w:start w:val="3"/>
      <w:numFmt w:val="chineseCounting"/>
      <w:suff w:val="nothing"/>
      <w:lvlText w:val="（%1）"/>
      <w:lvlJc w:val="left"/>
      <w:rPr>
        <w:rFonts w:hint="eastAsia"/>
      </w:rPr>
    </w:lvl>
  </w:abstractNum>
  <w:num w:numId="1">
    <w:abstractNumId w:val="3"/>
  </w:num>
  <w:num w:numId="2">
    <w:abstractNumId w:val="0"/>
  </w:num>
  <w:num w:numId="3">
    <w:abstractNumId w:val="4"/>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FhMjhjMjNjOTM1YWNhMWIzZjU0NWRkZTEzMTAyZTIifQ=="/>
    <w:docVar w:name="KSO_WPS_MARK_KEY" w:val="841a7cc2-c802-4f50-8d4b-19657e8c4c18"/>
  </w:docVars>
  <w:rsids>
    <w:rsidRoot w:val="3E5A6C85"/>
    <w:rsid w:val="00077C0D"/>
    <w:rsid w:val="000A6609"/>
    <w:rsid w:val="000D60B2"/>
    <w:rsid w:val="00143DF7"/>
    <w:rsid w:val="001742A7"/>
    <w:rsid w:val="00174CFC"/>
    <w:rsid w:val="001B17CE"/>
    <w:rsid w:val="001C1C18"/>
    <w:rsid w:val="001F4C06"/>
    <w:rsid w:val="00490CAA"/>
    <w:rsid w:val="004B7307"/>
    <w:rsid w:val="004C7D32"/>
    <w:rsid w:val="005128CE"/>
    <w:rsid w:val="005A553F"/>
    <w:rsid w:val="005A78FC"/>
    <w:rsid w:val="005C5D65"/>
    <w:rsid w:val="00647F85"/>
    <w:rsid w:val="006D14AB"/>
    <w:rsid w:val="0091161C"/>
    <w:rsid w:val="009238E3"/>
    <w:rsid w:val="00937FE5"/>
    <w:rsid w:val="009412CA"/>
    <w:rsid w:val="00997E16"/>
    <w:rsid w:val="00AA7872"/>
    <w:rsid w:val="00AD7827"/>
    <w:rsid w:val="00B44F53"/>
    <w:rsid w:val="00BD1004"/>
    <w:rsid w:val="00C40E6C"/>
    <w:rsid w:val="00C9610D"/>
    <w:rsid w:val="00CB1918"/>
    <w:rsid w:val="00CF0B03"/>
    <w:rsid w:val="00D1451C"/>
    <w:rsid w:val="00D67A39"/>
    <w:rsid w:val="00D84F17"/>
    <w:rsid w:val="00EA37A7"/>
    <w:rsid w:val="00FB5B8C"/>
    <w:rsid w:val="037B79F7"/>
    <w:rsid w:val="041D2A27"/>
    <w:rsid w:val="05377B18"/>
    <w:rsid w:val="06440A7A"/>
    <w:rsid w:val="071D4AEC"/>
    <w:rsid w:val="084542FA"/>
    <w:rsid w:val="0A6251B2"/>
    <w:rsid w:val="0B0C641B"/>
    <w:rsid w:val="0D0F4ED6"/>
    <w:rsid w:val="0D513137"/>
    <w:rsid w:val="10602789"/>
    <w:rsid w:val="123258EF"/>
    <w:rsid w:val="12EF1A32"/>
    <w:rsid w:val="144A1E7D"/>
    <w:rsid w:val="15F07B94"/>
    <w:rsid w:val="173B6758"/>
    <w:rsid w:val="191C5F4B"/>
    <w:rsid w:val="1B351FAC"/>
    <w:rsid w:val="1CA53161"/>
    <w:rsid w:val="1D0460DA"/>
    <w:rsid w:val="1D2E3157"/>
    <w:rsid w:val="1F046865"/>
    <w:rsid w:val="1FE67D19"/>
    <w:rsid w:val="20C53DD2"/>
    <w:rsid w:val="228003BD"/>
    <w:rsid w:val="228C104B"/>
    <w:rsid w:val="246B28E3"/>
    <w:rsid w:val="24DA1A42"/>
    <w:rsid w:val="25312D82"/>
    <w:rsid w:val="274F7F6E"/>
    <w:rsid w:val="279A1B15"/>
    <w:rsid w:val="27A42993"/>
    <w:rsid w:val="28196722"/>
    <w:rsid w:val="28447CD2"/>
    <w:rsid w:val="2A07545B"/>
    <w:rsid w:val="2AA67AA4"/>
    <w:rsid w:val="2AA72B5A"/>
    <w:rsid w:val="2AA8279A"/>
    <w:rsid w:val="2ACE5F14"/>
    <w:rsid w:val="2C081B10"/>
    <w:rsid w:val="2D4A0B6E"/>
    <w:rsid w:val="2F072B71"/>
    <w:rsid w:val="2F8530AA"/>
    <w:rsid w:val="32476D3D"/>
    <w:rsid w:val="33ED121E"/>
    <w:rsid w:val="3402116D"/>
    <w:rsid w:val="34030A42"/>
    <w:rsid w:val="34E010E6"/>
    <w:rsid w:val="358856A2"/>
    <w:rsid w:val="3699743B"/>
    <w:rsid w:val="38237904"/>
    <w:rsid w:val="3872263A"/>
    <w:rsid w:val="39D84127"/>
    <w:rsid w:val="3A2B0CF2"/>
    <w:rsid w:val="3A865F28"/>
    <w:rsid w:val="3C1F6635"/>
    <w:rsid w:val="3D3D4FC4"/>
    <w:rsid w:val="3E5A6C85"/>
    <w:rsid w:val="3FB6105E"/>
    <w:rsid w:val="404E74E8"/>
    <w:rsid w:val="419D0727"/>
    <w:rsid w:val="41FF59D4"/>
    <w:rsid w:val="42660F2F"/>
    <w:rsid w:val="43572B58"/>
    <w:rsid w:val="45554E75"/>
    <w:rsid w:val="456A4DC4"/>
    <w:rsid w:val="469D4D26"/>
    <w:rsid w:val="46D01A4F"/>
    <w:rsid w:val="474973FF"/>
    <w:rsid w:val="483D40CA"/>
    <w:rsid w:val="4B86222C"/>
    <w:rsid w:val="4BBC3BEF"/>
    <w:rsid w:val="4CC72AFC"/>
    <w:rsid w:val="4E10402F"/>
    <w:rsid w:val="519E1D35"/>
    <w:rsid w:val="55855303"/>
    <w:rsid w:val="567E1F8B"/>
    <w:rsid w:val="56CE6835"/>
    <w:rsid w:val="56E7105D"/>
    <w:rsid w:val="57F873A0"/>
    <w:rsid w:val="5B5558DD"/>
    <w:rsid w:val="5EFA28BD"/>
    <w:rsid w:val="5F625217"/>
    <w:rsid w:val="5FB94CDF"/>
    <w:rsid w:val="61F061FA"/>
    <w:rsid w:val="62724E61"/>
    <w:rsid w:val="63514A76"/>
    <w:rsid w:val="647F6552"/>
    <w:rsid w:val="64BB489D"/>
    <w:rsid w:val="65921CF6"/>
    <w:rsid w:val="65B732B6"/>
    <w:rsid w:val="65DB5214"/>
    <w:rsid w:val="66A82BFF"/>
    <w:rsid w:val="66D841F4"/>
    <w:rsid w:val="67AE693B"/>
    <w:rsid w:val="67F105D6"/>
    <w:rsid w:val="69F65D89"/>
    <w:rsid w:val="6AAD2EDA"/>
    <w:rsid w:val="6C715A72"/>
    <w:rsid w:val="6D0B08CD"/>
    <w:rsid w:val="6EEF1D13"/>
    <w:rsid w:val="70FC09AF"/>
    <w:rsid w:val="71BD526D"/>
    <w:rsid w:val="72AE7D36"/>
    <w:rsid w:val="73D90313"/>
    <w:rsid w:val="746F63D8"/>
    <w:rsid w:val="747B790C"/>
    <w:rsid w:val="75A37A3E"/>
    <w:rsid w:val="75E31EA6"/>
    <w:rsid w:val="768A2321"/>
    <w:rsid w:val="76D0242A"/>
    <w:rsid w:val="791401EC"/>
    <w:rsid w:val="792702FB"/>
    <w:rsid w:val="7B6C0247"/>
    <w:rsid w:val="7EE527EB"/>
    <w:rsid w:val="7F5636E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ody Text"/>
    <w:basedOn w:val="1"/>
    <w:unhideWhenUsed/>
    <w:qFormat/>
    <w:uiPriority w:val="1"/>
    <w:pPr>
      <w:spacing w:before="140"/>
      <w:ind w:left="120"/>
    </w:pPr>
    <w:rPr>
      <w:rFonts w:hint="eastAsia" w:ascii="仿宋" w:hAnsi="仿宋" w:eastAsia="仿宋"/>
      <w:sz w:val="32"/>
    </w:rPr>
  </w:style>
  <w:style w:type="paragraph" w:styleId="4">
    <w:name w:val="Balloon Text"/>
    <w:basedOn w:val="1"/>
    <w:link w:val="12"/>
    <w:qFormat/>
    <w:uiPriority w:val="0"/>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paragraph" w:styleId="6">
    <w:name w:val="annotation subject"/>
    <w:basedOn w:val="2"/>
    <w:next w:val="2"/>
    <w:link w:val="13"/>
    <w:qFormat/>
    <w:uiPriority w:val="0"/>
    <w:rPr>
      <w:b/>
      <w:bCs/>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qFormat/>
    <w:uiPriority w:val="0"/>
    <w:rPr>
      <w:sz w:val="21"/>
      <w:szCs w:val="21"/>
    </w:rPr>
  </w:style>
  <w:style w:type="character" w:customStyle="1" w:styleId="11">
    <w:name w:val="批注文字 字符"/>
    <w:basedOn w:val="9"/>
    <w:link w:val="2"/>
    <w:qFormat/>
    <w:uiPriority w:val="0"/>
    <w:rPr>
      <w:rFonts w:ascii="Calibri" w:hAnsi="Calibri" w:eastAsia="宋体" w:cs="Times New Roman"/>
      <w:kern w:val="2"/>
      <w:sz w:val="21"/>
      <w:szCs w:val="24"/>
    </w:rPr>
  </w:style>
  <w:style w:type="character" w:customStyle="1" w:styleId="12">
    <w:name w:val="批注框文本 字符"/>
    <w:basedOn w:val="9"/>
    <w:link w:val="4"/>
    <w:qFormat/>
    <w:uiPriority w:val="0"/>
    <w:rPr>
      <w:rFonts w:ascii="Calibri" w:hAnsi="Calibri" w:eastAsia="宋体" w:cs="Times New Roman"/>
      <w:kern w:val="2"/>
      <w:sz w:val="18"/>
      <w:szCs w:val="18"/>
    </w:rPr>
  </w:style>
  <w:style w:type="character" w:customStyle="1" w:styleId="13">
    <w:name w:val="批注主题 字符"/>
    <w:basedOn w:val="11"/>
    <w:link w:val="6"/>
    <w:qFormat/>
    <w:uiPriority w:val="0"/>
    <w:rPr>
      <w:rFonts w:ascii="Calibri" w:hAnsi="Calibri" w:eastAsia="宋体" w:cs="Times New Roman"/>
      <w:b/>
      <w:bCs/>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chart" Target="charts/chart6.xml"/><Relationship Id="rId8" Type="http://schemas.openxmlformats.org/officeDocument/2006/relationships/chart" Target="charts/chart5.xml"/><Relationship Id="rId7" Type="http://schemas.openxmlformats.org/officeDocument/2006/relationships/chart" Target="charts/chart4.xml"/><Relationship Id="rId6" Type="http://schemas.openxmlformats.org/officeDocument/2006/relationships/chart" Target="charts/chart3.xml"/><Relationship Id="rId5" Type="http://schemas.openxmlformats.org/officeDocument/2006/relationships/chart" Target="charts/chart2.xml"/><Relationship Id="rId4" Type="http://schemas.openxmlformats.org/officeDocument/2006/relationships/chart" Target="charts/chart1.xml"/><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chart" Target="charts/chart7.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4" Type="http://schemas.microsoft.com/office/2011/relationships/chartColorStyle" Target="colors4.xml"/><Relationship Id="rId3" Type="http://schemas.microsoft.com/office/2011/relationships/chartStyle" Target="style4.xml"/><Relationship Id="rId2" Type="http://schemas.openxmlformats.org/officeDocument/2006/relationships/themeOverride" Target="../theme/themeOverride5.xml"/><Relationship Id="rId1" Type="http://schemas.openxmlformats.org/officeDocument/2006/relationships/package" Target="../embeddings/Workbook5.xlsx"/></Relationships>
</file>

<file path=word/charts/_rels/chart2.xml.rels><?xml version="1.0" encoding="UTF-8" standalone="yes"?>
<Relationships xmlns="http://schemas.openxmlformats.org/package/2006/relationships"><Relationship Id="rId2" Type="http://schemas.openxmlformats.org/officeDocument/2006/relationships/themeOverride" Target="../theme/themeOverride2.xml"/><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2" Type="http://schemas.openxmlformats.org/officeDocument/2006/relationships/themeOverride" Target="../theme/themeOverride7.xml"/><Relationship Id="rId1" Type="http://schemas.openxmlformats.org/officeDocument/2006/relationships/package" Target="../embeddings/Workbook7.xlsx"/></Relationships>
</file>

<file path=word/charts/_rels/chart4.xml.rels><?xml version="1.0" encoding="UTF-8" standalone="yes"?>
<Relationships xmlns="http://schemas.openxmlformats.org/package/2006/relationships"><Relationship Id="rId4" Type="http://schemas.microsoft.com/office/2011/relationships/chartColorStyle" Target="colors2.xml"/><Relationship Id="rId3" Type="http://schemas.microsoft.com/office/2011/relationships/chartStyle" Target="style2.xml"/><Relationship Id="rId2" Type="http://schemas.openxmlformats.org/officeDocument/2006/relationships/themeOverride" Target="../theme/themeOverride3.xml"/><Relationship Id="rId1" Type="http://schemas.openxmlformats.org/officeDocument/2006/relationships/package" Target="../embeddings/Workbook3.xlsx"/></Relationships>
</file>

<file path=word/charts/_rels/chart5.xml.rels><?xml version="1.0" encoding="UTF-8" standalone="yes"?>
<Relationships xmlns="http://schemas.openxmlformats.org/package/2006/relationships"><Relationship Id="rId4" Type="http://schemas.microsoft.com/office/2011/relationships/chartColorStyle" Target="colors5.xml"/><Relationship Id="rId3" Type="http://schemas.microsoft.com/office/2011/relationships/chartStyle" Target="style5.xml"/><Relationship Id="rId2" Type="http://schemas.openxmlformats.org/officeDocument/2006/relationships/themeOverride" Target="../theme/themeOverride6.xml"/><Relationship Id="rId1" Type="http://schemas.openxmlformats.org/officeDocument/2006/relationships/package" Target="../embeddings/Workbook6.xlsx"/></Relationships>
</file>

<file path=word/charts/_rels/chart6.xml.rels><?xml version="1.0" encoding="UTF-8" standalone="yes"?>
<Relationships xmlns="http://schemas.openxmlformats.org/package/2006/relationships"><Relationship Id="rId4" Type="http://schemas.microsoft.com/office/2011/relationships/chartColorStyle" Target="colors1.xml"/><Relationship Id="rId3" Type="http://schemas.microsoft.com/office/2011/relationships/chartStyle" Target="style1.xml"/><Relationship Id="rId2" Type="http://schemas.openxmlformats.org/officeDocument/2006/relationships/themeOverride" Target="../theme/themeOverride1.xml"/><Relationship Id="rId1" Type="http://schemas.openxmlformats.org/officeDocument/2006/relationships/package" Target="../embeddings/Workbook1.xlsx"/></Relationships>
</file>

<file path=word/charts/_rels/chart7.xml.rels><?xml version="1.0" encoding="UTF-8" standalone="yes"?>
<Relationships xmlns="http://schemas.openxmlformats.org/package/2006/relationships"><Relationship Id="rId4" Type="http://schemas.microsoft.com/office/2011/relationships/chartColorStyle" Target="colors3.xml"/><Relationship Id="rId3" Type="http://schemas.microsoft.com/office/2011/relationships/chartStyle" Target="style3.xml"/><Relationship Id="rId2" Type="http://schemas.openxmlformats.org/officeDocument/2006/relationships/themeOverride" Target="../theme/themeOverride4.xml"/><Relationship Id="rId1" Type="http://schemas.openxmlformats.org/officeDocument/2006/relationships/package" Target="../embeddings/Workbook4.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lgn="l">
              <a:defRPr lang="zh-CN" sz="1400" b="1" i="0" u="none" strike="noStrike" kern="1200" spc="0" baseline="0">
                <a:solidFill>
                  <a:sysClr val="windowText" lastClr="000000">
                    <a:lumMod val="65000"/>
                    <a:lumOff val="35000"/>
                  </a:sysClr>
                </a:solidFill>
                <a:latin typeface="+mj-ea"/>
                <a:ea typeface="+mj-ea"/>
                <a:cs typeface="+mn-cs"/>
              </a:defRPr>
            </a:pPr>
            <a:r>
              <a:rPr lang="zh-CN" altLang="en-US" b="1">
                <a:latin typeface="+mj-ea"/>
                <a:ea typeface="+mj-ea"/>
              </a:rPr>
              <a:t>收支预算总体情况</a:t>
            </a:r>
            <a:endParaRPr lang="zh-CN" altLang="en-US" b="1">
              <a:latin typeface="+mj-ea"/>
              <a:ea typeface="+mj-ea"/>
            </a:endParaRPr>
          </a:p>
        </c:rich>
      </c:tx>
      <c:layout>
        <c:manualLayout>
          <c:xMode val="edge"/>
          <c:yMode val="edge"/>
          <c:x val="0.330989646039008"/>
          <c:y val="0.0247678018575851"/>
        </c:manualLayout>
      </c:layout>
      <c:overlay val="0"/>
      <c:spPr>
        <a:noFill/>
        <a:ln>
          <a:noFill/>
        </a:ln>
        <a:effectLst/>
      </c:spPr>
    </c:title>
    <c:autoTitleDeleted val="0"/>
    <c:plotArea>
      <c:layout/>
      <c:barChart>
        <c:barDir val="col"/>
        <c:grouping val="clustered"/>
        <c:varyColors val="0"/>
        <c:ser>
          <c:idx val="0"/>
          <c:order val="0"/>
          <c:tx>
            <c:strRef>
              <c:f>'2022年部门收支预算表'!$B$1</c:f>
              <c:strCache>
                <c:ptCount val="1"/>
                <c:pt idx="0">
                  <c:v>收入</c:v>
                </c:pt>
              </c:strCache>
            </c:strRef>
          </c:tx>
          <c:spPr>
            <a:solidFill>
              <a:srgbClr val="5B9BD5"/>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ysClr val="windowText" lastClr="000000">
                        <a:lumMod val="75000"/>
                        <a:lumOff val="25000"/>
                      </a:sys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strRef>
              <c:f>'2022年部门收支预算表'!$A$2:$A$3</c:f>
              <c:strCache>
                <c:ptCount val="2"/>
                <c:pt idx="0">
                  <c:v>2022年</c:v>
                </c:pt>
                <c:pt idx="1">
                  <c:v>2023年</c:v>
                </c:pt>
              </c:strCache>
            </c:strRef>
          </c:cat>
          <c:val>
            <c:numRef>
              <c:f>'2022年部门收支预算表'!$B$2:$B$3</c:f>
              <c:numCache>
                <c:formatCode>General</c:formatCode>
                <c:ptCount val="2"/>
                <c:pt idx="0">
                  <c:v>3723.4</c:v>
                </c:pt>
                <c:pt idx="1">
                  <c:v>8985.58</c:v>
                </c:pt>
              </c:numCache>
            </c:numRef>
          </c:val>
        </c:ser>
        <c:ser>
          <c:idx val="1"/>
          <c:order val="1"/>
          <c:tx>
            <c:strRef>
              <c:f>'2022年部门收支预算表'!$C$1</c:f>
              <c:strCache>
                <c:ptCount val="1"/>
                <c:pt idx="0">
                  <c:v>支出</c:v>
                </c:pt>
              </c:strCache>
            </c:strRef>
          </c:tx>
          <c:spPr>
            <a:solidFill>
              <a:srgbClr val="ED7D3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ysClr val="windowText" lastClr="000000">
                        <a:lumMod val="75000"/>
                        <a:lumOff val="25000"/>
                      </a:sys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strRef>
              <c:f>'2022年部门收支预算表'!$A$2:$A$3</c:f>
              <c:strCache>
                <c:ptCount val="2"/>
                <c:pt idx="0">
                  <c:v>2022年</c:v>
                </c:pt>
                <c:pt idx="1">
                  <c:v>2023年</c:v>
                </c:pt>
              </c:strCache>
            </c:strRef>
          </c:cat>
          <c:val>
            <c:numRef>
              <c:f>'2022年部门收支预算表'!$C$2:$C$3</c:f>
              <c:numCache>
                <c:formatCode>General</c:formatCode>
                <c:ptCount val="2"/>
                <c:pt idx="0">
                  <c:v>3723.4</c:v>
                </c:pt>
                <c:pt idx="1">
                  <c:v>8985.58</c:v>
                </c:pt>
              </c:numCache>
            </c:numRef>
          </c:val>
        </c:ser>
        <c:dLbls>
          <c:showLegendKey val="0"/>
          <c:showVal val="1"/>
          <c:showCatName val="0"/>
          <c:showSerName val="0"/>
          <c:showPercent val="0"/>
          <c:showBubbleSize val="0"/>
        </c:dLbls>
        <c:gapWidth val="182"/>
        <c:axId val="1007866207"/>
        <c:axId val="1007867039"/>
      </c:barChart>
      <c:catAx>
        <c:axId val="1007866207"/>
        <c:scaling>
          <c:orientation val="minMax"/>
        </c:scaling>
        <c:delete val="0"/>
        <c:axPos val="b"/>
        <c:numFmt formatCode="General" sourceLinked="1"/>
        <c:majorTickMark val="none"/>
        <c:minorTickMark val="none"/>
        <c:tickLblPos val="nextTo"/>
        <c:spPr>
          <a:noFill/>
          <a:ln w="9525" cap="flat" cmpd="sng" algn="ctr">
            <a:solidFill>
              <a:sysClr val="windowText" lastClr="000000">
                <a:lumMod val="15000"/>
                <a:lumOff val="85000"/>
              </a:sysClr>
            </a:solidFill>
            <a:round/>
          </a:ln>
          <a:effectLst/>
        </c:spPr>
        <c:txPr>
          <a:bodyPr rot="-6000000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crossAx val="1007867039"/>
        <c:crosses val="autoZero"/>
        <c:auto val="1"/>
        <c:lblAlgn val="ctr"/>
        <c:lblOffset val="100"/>
        <c:noMultiLvlLbl val="0"/>
      </c:catAx>
      <c:valAx>
        <c:axId val="1007867039"/>
        <c:scaling>
          <c:orientation val="minMax"/>
          <c:min val="50"/>
        </c:scaling>
        <c:delete val="0"/>
        <c:axPos val="l"/>
        <c:majorGridlines>
          <c:spPr>
            <a:ln w="9525" cap="flat" cmpd="sng" algn="ctr">
              <a:solidFill>
                <a:sysClr val="windowText" lastClr="000000">
                  <a:lumMod val="15000"/>
                  <a:lumOff val="85000"/>
                </a:sys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crossAx val="1007866207"/>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legend>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zh-CN" sz="1400" b="1" i="0" u="none" strike="noStrike" kern="1200" spc="0" baseline="0">
                <a:solidFill>
                  <a:sysClr val="windowText" lastClr="000000">
                    <a:lumMod val="65000"/>
                    <a:lumOff val="35000"/>
                  </a:sysClr>
                </a:solidFill>
                <a:latin typeface="+mn-lt"/>
                <a:ea typeface="+mn-ea"/>
                <a:cs typeface="+mn-cs"/>
              </a:defRPr>
            </a:pPr>
            <a:r>
              <a:rPr lang="zh-CN" altLang="en-US" b="1"/>
              <a:t>收入预算总体情况</a:t>
            </a:r>
            <a:endParaRPr lang="zh-CN" altLang="en-US" b="1"/>
          </a:p>
        </c:rich>
      </c:tx>
      <c:layout/>
      <c:overlay val="0"/>
      <c:spPr>
        <a:noFill/>
        <a:ln>
          <a:noFill/>
        </a:ln>
        <a:effectLst/>
      </c:spPr>
    </c:title>
    <c:autoTitleDeleted val="0"/>
    <c:plotArea>
      <c:layout/>
      <c:barChart>
        <c:barDir val="bar"/>
        <c:grouping val="clustered"/>
        <c:varyColors val="0"/>
        <c:ser>
          <c:idx val="0"/>
          <c:order val="0"/>
          <c:tx>
            <c:strRef>
              <c:f>Sheet1!$B$1</c:f>
              <c:strCache>
                <c:ptCount val="1"/>
                <c:pt idx="0">
                  <c:v>收入预算</c:v>
                </c:pt>
              </c:strCache>
            </c:strRef>
          </c:tx>
          <c:invertIfNegative val="0"/>
          <c:dPt>
            <c:idx val="0"/>
            <c:invertIfNegative val="0"/>
            <c:bubble3D val="0"/>
            <c:spPr>
              <a:solidFill>
                <a:srgbClr val="5B9BD5"/>
              </a:solidFill>
              <a:ln w="19050">
                <a:solidFill>
                  <a:sysClr val="window" lastClr="FFFFFF"/>
                </a:solidFill>
              </a:ln>
              <a:effectLst/>
            </c:spPr>
          </c:dPt>
          <c:dPt>
            <c:idx val="1"/>
            <c:invertIfNegative val="0"/>
            <c:bubble3D val="0"/>
            <c:spPr>
              <a:solidFill>
                <a:srgbClr val="ED7D31"/>
              </a:solidFill>
              <a:ln w="19050">
                <a:solidFill>
                  <a:sysClr val="window" lastClr="FFFFFF"/>
                </a:solidFill>
              </a:ln>
              <a:effectLst/>
            </c:spPr>
          </c:dPt>
          <c:dPt>
            <c:idx val="2"/>
            <c:invertIfNegative val="0"/>
            <c:bubble3D val="0"/>
            <c:spPr>
              <a:solidFill>
                <a:srgbClr val="A5A5A5"/>
              </a:solidFill>
              <a:ln w="19050">
                <a:solidFill>
                  <a:sysClr val="window" lastClr="FFFFFF"/>
                </a:solidFill>
              </a:ln>
              <a:effectLst/>
            </c:spPr>
          </c:dPt>
          <c:dPt>
            <c:idx val="3"/>
            <c:invertIfNegative val="0"/>
            <c:bubble3D val="0"/>
            <c:spPr>
              <a:solidFill>
                <a:srgbClr val="FFC000"/>
              </a:solidFill>
              <a:ln w="19050">
                <a:solidFill>
                  <a:sysClr val="window" lastClr="FFFFFF"/>
                </a:solidFill>
              </a:ln>
              <a:effectLst/>
            </c:spPr>
          </c:dPt>
          <c:dPt>
            <c:idx val="4"/>
            <c:invertIfNegative val="0"/>
            <c:bubble3D val="0"/>
            <c:spPr>
              <a:solidFill>
                <a:srgbClr val="4472C4"/>
              </a:solidFill>
              <a:ln w="19050">
                <a:solidFill>
                  <a:sysClr val="window" lastClr="FFFFFF"/>
                </a:solidFill>
              </a:ln>
              <a:effectLst/>
            </c:spPr>
          </c:dPt>
          <c:dPt>
            <c:idx val="5"/>
            <c:invertIfNegative val="0"/>
            <c:bubble3D val="0"/>
            <c:spPr>
              <a:solidFill>
                <a:srgbClr val="70AD47"/>
              </a:solidFill>
              <a:ln w="19050">
                <a:solidFill>
                  <a:sysClr val="window" lastClr="FFFFFF"/>
                </a:solidFill>
              </a:ln>
              <a:effectLst/>
            </c:spPr>
          </c:dPt>
          <c:dPt>
            <c:idx val="6"/>
            <c:invertIfNegative val="0"/>
            <c:bubble3D val="0"/>
            <c:spPr>
              <a:solidFill>
                <a:srgbClr val="5B9BD5">
                  <a:lumMod val="60000"/>
                </a:srgbClr>
              </a:solidFill>
              <a:ln w="19050">
                <a:solidFill>
                  <a:sysClr val="window" lastClr="FFFFFF"/>
                </a:solidFill>
              </a:ln>
              <a:effectLst/>
            </c:spPr>
          </c:dPt>
          <c:dPt>
            <c:idx val="7"/>
            <c:invertIfNegative val="0"/>
            <c:bubble3D val="0"/>
            <c:spPr>
              <a:solidFill>
                <a:srgbClr val="ED7D31">
                  <a:lumMod val="60000"/>
                </a:srgbClr>
              </a:solidFill>
              <a:ln w="19050">
                <a:solidFill>
                  <a:sysClr val="window" lastClr="FFFFFF"/>
                </a:solidFill>
              </a:ln>
              <a:effectLst/>
            </c:spPr>
          </c:dPt>
          <c:dPt>
            <c:idx val="8"/>
            <c:invertIfNegative val="0"/>
            <c:bubble3D val="0"/>
            <c:spPr>
              <a:solidFill>
                <a:srgbClr val="A5A5A5">
                  <a:lumMod val="60000"/>
                </a:srgbClr>
              </a:solidFill>
              <a:ln w="19050">
                <a:solidFill>
                  <a:sysClr val="window" lastClr="FFFFFF"/>
                </a:solidFill>
              </a:ln>
              <a:effectLst/>
            </c:spPr>
          </c:dPt>
          <c:dPt>
            <c:idx val="9"/>
            <c:invertIfNegative val="0"/>
            <c:bubble3D val="0"/>
            <c:spPr>
              <a:solidFill>
                <a:srgbClr val="FFC000">
                  <a:lumMod val="60000"/>
                </a:srgbClr>
              </a:solidFill>
              <a:ln w="19050">
                <a:solidFill>
                  <a:sysClr val="window" lastClr="FFFFFF"/>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ysClr val="windowText" lastClr="000000"/>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ext>
            </c:extLst>
          </c:dLbls>
          <c:cat>
            <c:strRef>
              <c:f>Sheet1!$A$2:$A$11</c:f>
              <c:strCache>
                <c:ptCount val="10"/>
                <c:pt idx="0">
                  <c:v>一般公共预算收入</c:v>
                </c:pt>
                <c:pt idx="1">
                  <c:v>政府性基金收入</c:v>
                </c:pt>
                <c:pt idx="2">
                  <c:v>国有资本经营收入</c:v>
                </c:pt>
                <c:pt idx="3">
                  <c:v>财政专户管理资金收入</c:v>
                </c:pt>
                <c:pt idx="4">
                  <c:v>事业收入</c:v>
                </c:pt>
                <c:pt idx="5">
                  <c:v>事业单位经营收入</c:v>
                </c:pt>
                <c:pt idx="6">
                  <c:v>上级补助收入</c:v>
                </c:pt>
                <c:pt idx="7">
                  <c:v>附属单位上缴收入</c:v>
                </c:pt>
                <c:pt idx="8">
                  <c:v>其他收入</c:v>
                </c:pt>
                <c:pt idx="9">
                  <c:v>上年结转结余</c:v>
                </c:pt>
              </c:strCache>
            </c:strRef>
          </c:cat>
          <c:val>
            <c:numRef>
              <c:f>Sheet1!$B$2:$B$11</c:f>
              <c:numCache>
                <c:formatCode>General</c:formatCode>
                <c:ptCount val="10"/>
                <c:pt idx="0">
                  <c:v>3412.92</c:v>
                </c:pt>
                <c:pt idx="1">
                  <c:v>5572.66</c:v>
                </c:pt>
              </c:numCache>
            </c:numRef>
          </c:val>
        </c:ser>
        <c:dLbls>
          <c:showLegendKey val="0"/>
          <c:showVal val="0"/>
          <c:showCatName val="0"/>
          <c:showSerName val="0"/>
          <c:showPercent val="0"/>
          <c:showBubbleSize val="0"/>
        </c:dLbls>
        <c:gapWidth val="100"/>
        <c:axId val="2127909856"/>
        <c:axId val="2127920256"/>
      </c:barChart>
      <c:catAx>
        <c:axId val="2127909856"/>
        <c:scaling>
          <c:orientation val="minMax"/>
        </c:scaling>
        <c:delete val="0"/>
        <c:axPos val="l"/>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ysClr val="windowText" lastClr="000000"/>
                </a:solidFill>
                <a:latin typeface="+mn-lt"/>
                <a:ea typeface="+mn-ea"/>
                <a:cs typeface="+mn-cs"/>
              </a:defRPr>
            </a:pPr>
          </a:p>
        </c:txPr>
        <c:crossAx val="2127920256"/>
        <c:crosses val="autoZero"/>
        <c:auto val="1"/>
        <c:lblAlgn val="ctr"/>
        <c:lblOffset val="100"/>
        <c:noMultiLvlLbl val="0"/>
      </c:catAx>
      <c:valAx>
        <c:axId val="2127920256"/>
        <c:scaling>
          <c:orientation val="minMax"/>
        </c:scaling>
        <c:delete val="0"/>
        <c:axPos val="b"/>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ysClr val="windowText" lastClr="000000"/>
                </a:solidFill>
                <a:latin typeface="+mn-lt"/>
                <a:ea typeface="+mn-ea"/>
                <a:cs typeface="+mn-cs"/>
              </a:defRPr>
            </a:pPr>
          </a:p>
        </c:txPr>
        <c:crossAx val="2127909856"/>
        <c:crosses val="autoZero"/>
        <c:crossBetween val="between"/>
      </c:valAx>
      <c:spPr>
        <a:noFill/>
        <a:ln>
          <a:noFill/>
        </a:ln>
        <a:effectLst/>
      </c:spPr>
    </c:plotArea>
    <c:plotVisOnly val="1"/>
    <c:dispBlanksAs val="gap"/>
    <c:showDLblsOverMax val="0"/>
  </c:chart>
  <c:spPr>
    <a:solidFill>
      <a:sysClr val="window" lastClr="FFFFFF"/>
    </a:solidFill>
    <a:ln w="9525" cap="flat" cmpd="sng" algn="ctr">
      <a:solidFill>
        <a:sysClr val="windowText" lastClr="000000">
          <a:lumMod val="15000"/>
          <a:lumOff val="85000"/>
        </a:sysClr>
      </a:solidFill>
      <a:prstDash val="solid"/>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zh-CN" sz="1400" b="1" i="0" u="none" strike="noStrike" kern="1200" spc="0" baseline="0">
                <a:solidFill>
                  <a:sysClr val="windowText" lastClr="000000">
                    <a:lumMod val="65000"/>
                    <a:lumOff val="35000"/>
                  </a:sysClr>
                </a:solidFill>
                <a:latin typeface="+mn-lt"/>
                <a:ea typeface="+mn-ea"/>
                <a:cs typeface="+mn-cs"/>
              </a:defRPr>
            </a:pPr>
            <a:r>
              <a:rPr lang="zh-CN" altLang="en-US" b="1"/>
              <a:t>支出预算总体情况</a:t>
            </a:r>
            <a:endParaRPr lang="zh-CN" altLang="en-US" b="1"/>
          </a:p>
        </c:rich>
      </c:tx>
      <c:layout/>
      <c:overlay val="0"/>
      <c:spPr>
        <a:noFill/>
        <a:ln>
          <a:noFill/>
        </a:ln>
        <a:effectLst/>
      </c:spPr>
    </c:title>
    <c:autoTitleDeleted val="0"/>
    <c:plotArea>
      <c:layout/>
      <c:pieChart>
        <c:varyColors val="1"/>
        <c:ser>
          <c:idx val="0"/>
          <c:order val="0"/>
          <c:tx>
            <c:strRef>
              <c:f>Sheet1!$B$1</c:f>
              <c:strCache>
                <c:ptCount val="1"/>
                <c:pt idx="0">
                  <c:v>支出预算</c:v>
                </c:pt>
              </c:strCache>
            </c:strRef>
          </c:tx>
          <c:explosion val="0"/>
          <c:dPt>
            <c:idx val="0"/>
            <c:bubble3D val="0"/>
            <c:spPr>
              <a:solidFill>
                <a:srgbClr val="5B9BD5"/>
              </a:solidFill>
              <a:ln w="19050">
                <a:solidFill>
                  <a:sysClr val="window" lastClr="FFFFFF"/>
                </a:solidFill>
              </a:ln>
              <a:effectLst/>
            </c:spPr>
          </c:dPt>
          <c:dPt>
            <c:idx val="1"/>
            <c:bubble3D val="0"/>
            <c:spPr>
              <a:solidFill>
                <a:srgbClr val="ED7D31"/>
              </a:solidFill>
              <a:ln w="19050">
                <a:solidFill>
                  <a:sysClr val="window" lastClr="FFFFFF"/>
                </a:solidFill>
              </a:ln>
              <a:effectLst/>
            </c:spPr>
          </c:dPt>
          <c:dLbls>
            <c:spPr>
              <a:solidFill>
                <a:sysClr val="window" lastClr="FFFFFF"/>
              </a:solidFill>
              <a:ln>
                <a:solidFill>
                  <a:sysClr val="windowText" lastClr="000000">
                    <a:lumMod val="65000"/>
                    <a:lumOff val="35000"/>
                  </a:sysClr>
                </a:solidFill>
              </a:ln>
              <a:effectLst/>
            </c:spPr>
            <c:txPr>
              <a:bodyPr rot="0" spcFirstLastPara="0" vertOverflow="ellipsis" vert="horz" wrap="square" lIns="38100" tIns="19050" rIns="38100" bIns="19050" anchor="ctr" anchorCtr="1"/>
              <a:lstStyle/>
              <a:p>
                <a:pPr>
                  <a:defRPr lang="zh-CN" sz="1000" b="0" i="0" u="none" strike="noStrike" kern="1200" baseline="0">
                    <a:solidFill>
                      <a:sysClr val="windowText" lastClr="000000"/>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ext>
            </c:extLst>
          </c:dLbls>
          <c:cat>
            <c:strRef>
              <c:f>Sheet1!$A$2:$A$3</c:f>
              <c:strCache>
                <c:ptCount val="2"/>
                <c:pt idx="0">
                  <c:v>基本支出</c:v>
                </c:pt>
                <c:pt idx="1">
                  <c:v>项目支出</c:v>
                </c:pt>
              </c:strCache>
            </c:strRef>
          </c:cat>
          <c:val>
            <c:numRef>
              <c:f>Sheet1!$B$2:$B$3</c:f>
              <c:numCache>
                <c:formatCode>General</c:formatCode>
                <c:ptCount val="2"/>
                <c:pt idx="0">
                  <c:v>2987.86</c:v>
                </c:pt>
                <c:pt idx="1">
                  <c:v>5997.72</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legend>
    <c:plotVisOnly val="1"/>
    <c:dispBlanksAs val="gap"/>
    <c:showDLblsOverMax val="0"/>
  </c:chart>
  <c:spPr>
    <a:solidFill>
      <a:sysClr val="window" lastClr="FFFFFF"/>
    </a:solidFill>
    <a:ln w="9525" cap="flat" cmpd="sng" algn="ctr">
      <a:solidFill>
        <a:sysClr val="windowText" lastClr="000000">
          <a:lumMod val="15000"/>
          <a:lumOff val="85000"/>
        </a:sysClr>
      </a:solidFill>
      <a:prstDash val="solid"/>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lgn="ctr">
              <a:defRPr lang="zh-CN" sz="1400" b="1" i="0" u="none" strike="noStrike" kern="1200" spc="0" baseline="0">
                <a:solidFill>
                  <a:sysClr val="windowText" lastClr="000000">
                    <a:lumMod val="65000"/>
                    <a:lumOff val="35000"/>
                  </a:sysClr>
                </a:solidFill>
                <a:latin typeface="+mj-ea"/>
                <a:ea typeface="+mj-ea"/>
                <a:cs typeface="+mn-cs"/>
              </a:defRPr>
            </a:pPr>
            <a:r>
              <a:rPr lang="zh-CN" altLang="en-US" b="1">
                <a:latin typeface="+mj-ea"/>
                <a:ea typeface="+mj-ea"/>
              </a:rPr>
              <a:t>财政拨款收支预算总体情况</a:t>
            </a:r>
            <a:endParaRPr lang="zh-CN" altLang="en-US" b="1">
              <a:latin typeface="+mj-ea"/>
              <a:ea typeface="+mj-ea"/>
            </a:endParaRPr>
          </a:p>
        </c:rich>
      </c:tx>
      <c:layout>
        <c:manualLayout>
          <c:xMode val="edge"/>
          <c:yMode val="edge"/>
          <c:x val="0.330989646039008"/>
          <c:y val="0.0247678018575851"/>
        </c:manualLayout>
      </c:layout>
      <c:overlay val="0"/>
      <c:spPr>
        <a:noFill/>
        <a:ln>
          <a:noFill/>
        </a:ln>
        <a:effectLst/>
      </c:spPr>
    </c:title>
    <c:autoTitleDeleted val="0"/>
    <c:plotArea>
      <c:layout/>
      <c:barChart>
        <c:barDir val="col"/>
        <c:grouping val="clustered"/>
        <c:varyColors val="0"/>
        <c:ser>
          <c:idx val="0"/>
          <c:order val="0"/>
          <c:tx>
            <c:strRef>
              <c:f>'2022年部门收支预算表'!$B$1</c:f>
              <c:strCache>
                <c:ptCount val="1"/>
                <c:pt idx="0">
                  <c:v>收入</c:v>
                </c:pt>
              </c:strCache>
            </c:strRef>
          </c:tx>
          <c:spPr>
            <a:solidFill>
              <a:srgbClr val="5B9BD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ysClr val="windowText" lastClr="000000">
                        <a:lumMod val="75000"/>
                        <a:lumOff val="25000"/>
                      </a:sys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strRef>
              <c:f>'2022年部门收支预算表'!$A$2:$A$3</c:f>
              <c:strCache>
                <c:ptCount val="2"/>
                <c:pt idx="0">
                  <c:v>2022年</c:v>
                </c:pt>
                <c:pt idx="1">
                  <c:v>2023年</c:v>
                </c:pt>
              </c:strCache>
            </c:strRef>
          </c:cat>
          <c:val>
            <c:numRef>
              <c:f>'2022年部门收支预算表'!$B$2:$B$3</c:f>
              <c:numCache>
                <c:formatCode>General</c:formatCode>
                <c:ptCount val="2"/>
                <c:pt idx="0">
                  <c:v>3723.4</c:v>
                </c:pt>
                <c:pt idx="1">
                  <c:v>8985.58</c:v>
                </c:pt>
              </c:numCache>
            </c:numRef>
          </c:val>
        </c:ser>
        <c:ser>
          <c:idx val="1"/>
          <c:order val="1"/>
          <c:tx>
            <c:strRef>
              <c:f>'2022年部门收支预算表'!$C$1</c:f>
              <c:strCache>
                <c:ptCount val="1"/>
                <c:pt idx="0">
                  <c:v>支出</c:v>
                </c:pt>
              </c:strCache>
            </c:strRef>
          </c:tx>
          <c:spPr>
            <a:solidFill>
              <a:srgbClr val="ED7D3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ysClr val="windowText" lastClr="000000">
                        <a:lumMod val="75000"/>
                        <a:lumOff val="25000"/>
                      </a:sys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strRef>
              <c:f>'2022年部门收支预算表'!$A$2:$A$3</c:f>
              <c:strCache>
                <c:ptCount val="2"/>
                <c:pt idx="0">
                  <c:v>2022年</c:v>
                </c:pt>
                <c:pt idx="1">
                  <c:v>2023年</c:v>
                </c:pt>
              </c:strCache>
            </c:strRef>
          </c:cat>
          <c:val>
            <c:numRef>
              <c:f>'2022年部门收支预算表'!$C$2:$C$3</c:f>
              <c:numCache>
                <c:formatCode>General</c:formatCode>
                <c:ptCount val="2"/>
                <c:pt idx="0">
                  <c:v>3723.4</c:v>
                </c:pt>
                <c:pt idx="1">
                  <c:v>8985.58</c:v>
                </c:pt>
              </c:numCache>
            </c:numRef>
          </c:val>
        </c:ser>
        <c:dLbls>
          <c:showLegendKey val="0"/>
          <c:showVal val="1"/>
          <c:showCatName val="0"/>
          <c:showSerName val="0"/>
          <c:showPercent val="0"/>
          <c:showBubbleSize val="0"/>
        </c:dLbls>
        <c:gapWidth val="182"/>
        <c:axId val="1007866207"/>
        <c:axId val="1007867039"/>
      </c:barChart>
      <c:catAx>
        <c:axId val="1007866207"/>
        <c:scaling>
          <c:orientation val="minMax"/>
        </c:scaling>
        <c:delete val="0"/>
        <c:axPos val="b"/>
        <c:numFmt formatCode="General" sourceLinked="1"/>
        <c:majorTickMark val="none"/>
        <c:minorTickMark val="none"/>
        <c:tickLblPos val="nextTo"/>
        <c:spPr>
          <a:noFill/>
          <a:ln w="9525" cap="flat" cmpd="sng" algn="ctr">
            <a:solidFill>
              <a:sysClr val="windowText" lastClr="000000">
                <a:lumMod val="15000"/>
                <a:lumOff val="85000"/>
              </a:sysClr>
            </a:solidFill>
            <a:round/>
          </a:ln>
          <a:effectLst/>
        </c:spPr>
        <c:txPr>
          <a:bodyPr rot="-6000000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crossAx val="1007867039"/>
        <c:crosses val="autoZero"/>
        <c:auto val="1"/>
        <c:lblAlgn val="ctr"/>
        <c:lblOffset val="100"/>
        <c:noMultiLvlLbl val="0"/>
      </c:catAx>
      <c:valAx>
        <c:axId val="1007867039"/>
        <c:scaling>
          <c:orientation val="minMax"/>
          <c:min val="50"/>
        </c:scaling>
        <c:delete val="0"/>
        <c:axPos val="l"/>
        <c:majorGridlines>
          <c:spPr>
            <a:ln w="9525" cap="flat" cmpd="sng" algn="ctr">
              <a:solidFill>
                <a:sysClr val="windowText" lastClr="000000">
                  <a:lumMod val="15000"/>
                  <a:lumOff val="85000"/>
                </a:sys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crossAx val="1007866207"/>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legend>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defTabSz="914400">
              <a:defRPr lang="zh-CN" sz="1400" b="1" i="0" u="none" strike="noStrike" kern="1200" spc="0" baseline="0">
                <a:solidFill>
                  <a:sysClr val="windowText" lastClr="000000">
                    <a:lumMod val="65000"/>
                    <a:lumOff val="35000"/>
                  </a:sysClr>
                </a:solidFill>
                <a:latin typeface="+mn-lt"/>
                <a:ea typeface="+mn-ea"/>
                <a:cs typeface="+mn-cs"/>
              </a:defRPr>
            </a:pPr>
            <a:r>
              <a:rPr lang="zh-CN" altLang="en-US" sz="1400"/>
              <a:t>一般公共预算支出预算情况</a:t>
            </a:r>
            <a:endParaRPr lang="zh-CN" altLang="en-US" sz="1400"/>
          </a:p>
        </c:rich>
      </c:tx>
      <c:layout/>
      <c:overlay val="0"/>
      <c:spPr>
        <a:noFill/>
        <a:ln>
          <a:noFill/>
        </a:ln>
        <a:effectLst/>
      </c:spPr>
    </c:title>
    <c:autoTitleDeleted val="0"/>
    <c:plotArea>
      <c:layout/>
      <c:pieChart>
        <c:varyColors val="1"/>
        <c:ser>
          <c:idx val="0"/>
          <c:order val="0"/>
          <c:tx>
            <c:strRef>
              <c:f>Sheet1!$B$1</c:f>
              <c:strCache>
                <c:ptCount val="1"/>
                <c:pt idx="0">
                  <c:v>列1</c:v>
                </c:pt>
              </c:strCache>
            </c:strRef>
          </c:tx>
          <c:spPr/>
          <c:explosion val="0"/>
          <c:dPt>
            <c:idx val="0"/>
            <c:bubble3D val="0"/>
            <c:spPr>
              <a:solidFill>
                <a:srgbClr val="5B9BD5"/>
              </a:solidFill>
              <a:ln w="19050">
                <a:solidFill>
                  <a:sysClr val="window" lastClr="FFFFFF"/>
                </a:solidFill>
              </a:ln>
              <a:effectLst/>
            </c:spPr>
          </c:dPt>
          <c:dPt>
            <c:idx val="1"/>
            <c:bubble3D val="0"/>
            <c:spPr>
              <a:solidFill>
                <a:srgbClr val="ED7D31"/>
              </a:solidFill>
              <a:ln w="19050">
                <a:solidFill>
                  <a:sysClr val="window" lastClr="FFFFFF"/>
                </a:solidFill>
              </a:ln>
              <a:effectLst/>
            </c:spPr>
          </c:dPt>
          <c:dLbls>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lang="zh-CN" sz="900" b="0" i="0" u="none" strike="noStrike" kern="1200" baseline="0">
                    <a:solidFill>
                      <a:sysClr val="windowText" lastClr="000000">
                        <a:lumMod val="65000"/>
                        <a:lumOff val="35000"/>
                      </a:sysClr>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spPr>
                    <a:ln w="9525" cap="flat" cmpd="sng" algn="ctr">
                      <a:solidFill>
                        <a:sysClr val="windowText" lastClr="000000">
                          <a:lumMod val="35000"/>
                          <a:lumOff val="65000"/>
                        </a:sys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2642.73</c:v>
                </c:pt>
                <c:pt idx="1">
                  <c:v>770.19</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legend>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zh-CN" sz="1400" b="1" i="0" u="none" strike="noStrike" kern="1200" spc="0" baseline="0">
                <a:solidFill>
                  <a:sysClr val="windowText" lastClr="000000">
                    <a:lumMod val="65000"/>
                    <a:lumOff val="35000"/>
                  </a:sysClr>
                </a:solidFill>
                <a:latin typeface="+mn-lt"/>
                <a:ea typeface="+mn-ea"/>
                <a:cs typeface="+mn-cs"/>
              </a:defRPr>
            </a:pPr>
            <a:r>
              <a:rPr lang="zh-CN" altLang="en-US"/>
              <a:t>一般公共预算基本支出预算情况</a:t>
            </a:r>
            <a:endParaRPr lang="zh-CN" altLang="en-US"/>
          </a:p>
        </c:rich>
      </c:tx>
      <c:layout/>
      <c:overlay val="0"/>
      <c:spPr>
        <a:noFill/>
        <a:ln>
          <a:noFill/>
        </a:ln>
        <a:effectLst/>
      </c:spPr>
    </c:title>
    <c:autoTitleDeleted val="0"/>
    <c:plotArea>
      <c:layout/>
      <c:pieChart>
        <c:varyColors val="1"/>
        <c:ser>
          <c:idx val="0"/>
          <c:order val="0"/>
          <c:tx>
            <c:strRef>
              <c:f>Sheet1!$B$1</c:f>
              <c:strCache>
                <c:ptCount val="1"/>
                <c:pt idx="0">
                  <c:v>一般公共预算支出预算情况</c:v>
                </c:pt>
              </c:strCache>
            </c:strRef>
          </c:tx>
          <c:spPr/>
          <c:explosion val="0"/>
          <c:dPt>
            <c:idx val="0"/>
            <c:bubble3D val="0"/>
            <c:spPr>
              <a:solidFill>
                <a:srgbClr val="5B9BD5"/>
              </a:solidFill>
              <a:ln w="19050">
                <a:solidFill>
                  <a:sysClr val="window" lastClr="FFFFFF"/>
                </a:solidFill>
              </a:ln>
              <a:effectLst/>
            </c:spPr>
          </c:dPt>
          <c:dPt>
            <c:idx val="1"/>
            <c:bubble3D val="0"/>
            <c:spPr>
              <a:solidFill>
                <a:srgbClr val="ED7D31"/>
              </a:solidFill>
              <a:ln w="19050">
                <a:solidFill>
                  <a:sysClr val="window" lastClr="FFFFFF"/>
                </a:solidFill>
              </a:ln>
              <a:effectLst/>
            </c:spPr>
          </c:dPt>
          <c:dLbls>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lang="zh-CN" sz="900" b="0" i="0" u="none" strike="noStrike" kern="1200" baseline="0">
                    <a:solidFill>
                      <a:sysClr val="windowText" lastClr="000000">
                        <a:lumMod val="65000"/>
                        <a:lumOff val="35000"/>
                      </a:sysClr>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spPr>
                    <a:ln w="9525" cap="flat" cmpd="sng" algn="ctr">
                      <a:solidFill>
                        <a:sysClr val="windowText" lastClr="000000">
                          <a:lumMod val="35000"/>
                          <a:lumOff val="65000"/>
                        </a:sysClr>
                      </a:solidFill>
                      <a:round/>
                    </a:ln>
                    <a:effectLst/>
                  </c:spPr>
                </c15:leaderLines>
              </c:ext>
            </c:extLst>
          </c:dLbls>
          <c:cat>
            <c:strRef>
              <c:f>Sheet1!$A$2:$A$3</c:f>
              <c:strCache>
                <c:ptCount val="2"/>
                <c:pt idx="0">
                  <c:v>人员经费</c:v>
                </c:pt>
                <c:pt idx="1">
                  <c:v>公用经费</c:v>
                </c:pt>
              </c:strCache>
            </c:strRef>
          </c:cat>
          <c:val>
            <c:numRef>
              <c:f>Sheet1!$B$2:$B$3</c:f>
              <c:numCache>
                <c:formatCode>General</c:formatCode>
                <c:ptCount val="2"/>
                <c:pt idx="0">
                  <c:v>2570.39</c:v>
                </c:pt>
                <c:pt idx="1">
                  <c:v>72.34</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legend>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lgn="l">
              <a:defRPr lang="zh-CN" sz="1400" b="0" i="0" u="none" strike="noStrike" kern="1200" spc="0" baseline="0">
                <a:solidFill>
                  <a:sysClr val="windowText" lastClr="000000">
                    <a:lumMod val="65000"/>
                    <a:lumOff val="35000"/>
                  </a:sysClr>
                </a:solidFill>
                <a:latin typeface="+mn-lt"/>
                <a:ea typeface="+mn-ea"/>
                <a:cs typeface="+mn-cs"/>
              </a:defRPr>
            </a:pPr>
            <a:r>
              <a:rPr lang="zh-CN" altLang="zh-CN" sz="1400" b="1" i="0" u="none" strike="noStrike" baseline="0">
                <a:effectLst/>
              </a:rPr>
              <a:t>一般公共预算“三公”经费支出预算情况</a:t>
            </a:r>
            <a:endParaRPr lang="zh-CN" altLang="en-US" sz="1400" b="1"/>
          </a:p>
        </c:rich>
      </c:tx>
      <c:layout>
        <c:manualLayout>
          <c:xMode val="edge"/>
          <c:yMode val="edge"/>
          <c:x val="0.188538405971587"/>
          <c:y val="0.0371517027863777"/>
        </c:manualLayout>
      </c:layout>
      <c:overlay val="0"/>
      <c:spPr>
        <a:noFill/>
        <a:ln>
          <a:noFill/>
        </a:ln>
        <a:effectLst/>
      </c:spPr>
    </c:title>
    <c:autoTitleDeleted val="0"/>
    <c:plotArea>
      <c:layout>
        <c:manualLayout>
          <c:layoutTarget val="inner"/>
          <c:xMode val="edge"/>
          <c:yMode val="edge"/>
          <c:x val="0.0992776306284614"/>
          <c:y val="0.152115583075335"/>
          <c:w val="0.876041415843968"/>
          <c:h val="0.649411764705882"/>
        </c:manualLayout>
      </c:layout>
      <c:barChart>
        <c:barDir val="bar"/>
        <c:grouping val="clustered"/>
        <c:varyColors val="0"/>
        <c:ser>
          <c:idx val="0"/>
          <c:order val="0"/>
          <c:tx>
            <c:strRef>
              <c:f>Sheet1!$B$1</c:f>
              <c:strCache>
                <c:ptCount val="1"/>
                <c:pt idx="0">
                  <c:v>因公出国（境）费用</c:v>
                </c:pt>
              </c:strCache>
            </c:strRef>
          </c:tx>
          <c:spPr>
            <a:solidFill>
              <a:srgbClr val="5B9BD5"/>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ysClr val="windowText" lastClr="000000">
                        <a:lumMod val="75000"/>
                        <a:lumOff val="25000"/>
                      </a:sys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strRef>
              <c:f>Sheet1!$A$2:$A$3</c:f>
              <c:strCache>
                <c:ptCount val="2"/>
                <c:pt idx="0">
                  <c:v>2022年</c:v>
                </c:pt>
                <c:pt idx="1">
                  <c:v>2023年</c:v>
                </c:pt>
              </c:strCache>
            </c:strRef>
          </c:cat>
          <c:val>
            <c:numRef>
              <c:f>Sheet1!$B$2:$B$3</c:f>
              <c:numCache>
                <c:formatCode>General</c:formatCode>
                <c:ptCount val="2"/>
                <c:pt idx="0">
                  <c:v>0</c:v>
                </c:pt>
                <c:pt idx="1">
                  <c:v>0</c:v>
                </c:pt>
              </c:numCache>
            </c:numRef>
          </c:val>
        </c:ser>
        <c:ser>
          <c:idx val="1"/>
          <c:order val="1"/>
          <c:tx>
            <c:strRef>
              <c:f>Sheet1!$C$1</c:f>
              <c:strCache>
                <c:ptCount val="1"/>
                <c:pt idx="0">
                  <c:v>公务接待费</c:v>
                </c:pt>
              </c:strCache>
            </c:strRef>
          </c:tx>
          <c:spPr>
            <a:solidFill>
              <a:srgbClr val="ED7D3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ysClr val="windowText" lastClr="000000">
                        <a:lumMod val="75000"/>
                        <a:lumOff val="25000"/>
                      </a:sys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strRef>
              <c:f>Sheet1!$A$2:$A$3</c:f>
              <c:strCache>
                <c:ptCount val="2"/>
                <c:pt idx="0">
                  <c:v>2022年</c:v>
                </c:pt>
                <c:pt idx="1">
                  <c:v>2023年</c:v>
                </c:pt>
              </c:strCache>
            </c:strRef>
          </c:cat>
          <c:val>
            <c:numRef>
              <c:f>Sheet1!$C$2:$C$3</c:f>
              <c:numCache>
                <c:formatCode>General</c:formatCode>
                <c:ptCount val="2"/>
                <c:pt idx="0">
                  <c:v>4.53</c:v>
                </c:pt>
                <c:pt idx="1">
                  <c:v>4.53</c:v>
                </c:pt>
              </c:numCache>
            </c:numRef>
          </c:val>
        </c:ser>
        <c:ser>
          <c:idx val="2"/>
          <c:order val="2"/>
          <c:tx>
            <c:strRef>
              <c:f>Sheet1!$D$1</c:f>
              <c:strCache>
                <c:ptCount val="1"/>
                <c:pt idx="0">
                  <c:v>公务用车购置及运行费</c:v>
                </c:pt>
              </c:strCache>
            </c:strRef>
          </c:tx>
          <c:spPr>
            <a:solidFill>
              <a:srgbClr val="A5A5A5"/>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ysClr val="windowText" lastClr="000000">
                        <a:lumMod val="75000"/>
                        <a:lumOff val="25000"/>
                      </a:sys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strRef>
              <c:f>Sheet1!$A$2:$A$3</c:f>
              <c:strCache>
                <c:ptCount val="2"/>
                <c:pt idx="0">
                  <c:v>2022年</c:v>
                </c:pt>
                <c:pt idx="1">
                  <c:v>2023年</c:v>
                </c:pt>
              </c:strCache>
            </c:strRef>
          </c:cat>
          <c:val>
            <c:numRef>
              <c:f>Sheet1!$D$2:$D$3</c:f>
              <c:numCache>
                <c:formatCode>General</c:formatCode>
                <c:ptCount val="2"/>
                <c:pt idx="0">
                  <c:v>6.74</c:v>
                </c:pt>
                <c:pt idx="1">
                  <c:v>6.74</c:v>
                </c:pt>
              </c:numCache>
            </c:numRef>
          </c:val>
        </c:ser>
        <c:dLbls>
          <c:showLegendKey val="0"/>
          <c:showVal val="1"/>
          <c:showCatName val="0"/>
          <c:showSerName val="0"/>
          <c:showPercent val="0"/>
          <c:showBubbleSize val="0"/>
        </c:dLbls>
        <c:gapWidth val="219"/>
        <c:axId val="408582879"/>
        <c:axId val="408594943"/>
      </c:barChart>
      <c:catAx>
        <c:axId val="408582879"/>
        <c:scaling>
          <c:orientation val="minMax"/>
        </c:scaling>
        <c:delete val="0"/>
        <c:axPos val="l"/>
        <c:numFmt formatCode="General" sourceLinked="1"/>
        <c:majorTickMark val="none"/>
        <c:minorTickMark val="none"/>
        <c:tickLblPos val="nextTo"/>
        <c:spPr>
          <a:noFill/>
          <a:ln w="9525" cap="flat" cmpd="sng" algn="ctr">
            <a:solidFill>
              <a:sysClr val="windowText" lastClr="000000">
                <a:lumMod val="15000"/>
                <a:lumOff val="85000"/>
              </a:sysClr>
            </a:solidFill>
            <a:round/>
          </a:ln>
          <a:effectLst/>
        </c:spPr>
        <c:txPr>
          <a:bodyPr rot="-6000000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crossAx val="408594943"/>
        <c:crosses val="autoZero"/>
        <c:auto val="1"/>
        <c:lblAlgn val="ctr"/>
        <c:lblOffset val="100"/>
        <c:noMultiLvlLbl val="0"/>
      </c:catAx>
      <c:valAx>
        <c:axId val="408594943"/>
        <c:scaling>
          <c:orientation val="minMax"/>
        </c:scaling>
        <c:delete val="0"/>
        <c:axPos val="b"/>
        <c:majorGridlines>
          <c:spPr>
            <a:ln w="9525" cap="flat" cmpd="sng" algn="ctr">
              <a:solidFill>
                <a:sysClr val="windowText" lastClr="000000">
                  <a:lumMod val="15000"/>
                  <a:lumOff val="85000"/>
                </a:sys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crossAx val="408582879"/>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legend>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9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spPr>
      <a:ln w="19050">
        <a:solidFill>
          <a:sysClr val="window" lastClr="FFFFFF"/>
        </a:solidFill>
      </a:ln>
    </cs:spPr>
  </cs:dataPoint>
  <cs:dataPoint3D>
    <cs:lnRef idx="0"/>
    <cs:fillRef idx="1">
      <cs:styleClr val="auto"/>
    </cs:fillRef>
    <cs:effectRef idx="0"/>
    <cs:fontRef idx="minor">
      <a:sysClr val="windowText" lastClr="000000"/>
    </cs:fontRef>
    <cs:spPr>
      <a:ln w="25400">
        <a:solidFill>
          <a:sysClr val="window" lastClr="FFFFFF"/>
        </a:solidFill>
      </a:ln>
    </cs:spPr>
  </cs:dataPoint3D>
  <cs:dataPointLine>
    <cs:lnRef idx="0">
      <cs:styleClr val="auto"/>
    </cs:lnRef>
    <cs:fillRef idx="0"/>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0"/>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75000"/>
          <a:lumOff val="25000"/>
        </a:sysClr>
      </a:solidFill>
      <a:ln w="9525" cap="flat" cmpd="sng" algn="ctr">
        <a:solidFill>
          <a:sysClr val="windowText" lastClr="000000">
            <a:lumMod val="65000"/>
            <a:lumOff val="35000"/>
          </a:sysClr>
        </a:solidFill>
        <a:round/>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50000"/>
            <a:lumOff val="50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cap="flat" cmpd="sng" algn="ctr">
        <a:solidFill>
          <a:sysClr val="windowText" lastClr="000000">
            <a:lumMod val="65000"/>
            <a:lumOff val="35000"/>
          </a:sysClr>
        </a:solidFill>
        <a:round/>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2.xml><?xml version="1.0" encoding="utf-8"?>
<cs:chartStyle xmlns:cs="http://schemas.microsoft.com/office/drawing/2012/chartStyle" xmlns:a="http://schemas.openxmlformats.org/drawingml/2006/main" id="216">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1"/>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75000"/>
          <a:lumOff val="25000"/>
        </a:sysClr>
      </a:solidFill>
      <a:ln w="9525" cap="flat" cmpd="sng" algn="ctr">
        <a:solidFill>
          <a:sysClr val="windowText" lastClr="000000">
            <a:lumMod val="65000"/>
            <a:lumOff val="35000"/>
          </a:sysClr>
        </a:solidFill>
        <a:round/>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50000"/>
            <a:lumOff val="50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cap="flat" cmpd="sng" algn="ctr">
        <a:solidFill>
          <a:sysClr val="windowText" lastClr="000000">
            <a:lumMod val="65000"/>
            <a:lumOff val="35000"/>
          </a:sysClr>
        </a:solidFill>
        <a:round/>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1"/>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65000"/>
          <a:lumOff val="35000"/>
        </a:sysClr>
      </a:solidFill>
      <a:ln w="9525">
        <a:solidFill>
          <a:sysClr val="windowText" lastClr="000000">
            <a:lumMod val="65000"/>
            <a:lumOff val="35000"/>
          </a:sysClr>
        </a:solidFill>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75000"/>
            <a:lumOff val="25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a:solidFill>
          <a:sysClr val="windowText" lastClr="000000">
            <a:lumMod val="15000"/>
            <a:lumOff val="85000"/>
          </a:sysClr>
        </a:solidFill>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4.xml><?xml version="1.0" encoding="utf-8"?>
<cs:chartStyle xmlns:cs="http://schemas.microsoft.com/office/drawing/2012/chartStyle" xmlns:a="http://schemas.openxmlformats.org/drawingml/2006/main" id="216">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1"/>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75000"/>
          <a:lumOff val="25000"/>
        </a:sysClr>
      </a:solidFill>
      <a:ln w="9525" cap="flat" cmpd="sng" algn="ctr">
        <a:solidFill>
          <a:sysClr val="windowText" lastClr="000000">
            <a:lumMod val="65000"/>
            <a:lumOff val="35000"/>
          </a:sysClr>
        </a:solidFill>
        <a:round/>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50000"/>
            <a:lumOff val="50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cap="flat" cmpd="sng" algn="ctr">
        <a:solidFill>
          <a:sysClr val="windowText" lastClr="000000">
            <a:lumMod val="65000"/>
            <a:lumOff val="35000"/>
          </a:sysClr>
        </a:solidFill>
        <a:round/>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9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spPr>
      <a:ln w="19050">
        <a:solidFill>
          <a:sysClr val="window" lastClr="FFFFFF"/>
        </a:solidFill>
      </a:ln>
    </cs:spPr>
  </cs:dataPoint>
  <cs:dataPoint3D>
    <cs:lnRef idx="0"/>
    <cs:fillRef idx="1">
      <cs:styleClr val="auto"/>
    </cs:fillRef>
    <cs:effectRef idx="0"/>
    <cs:fontRef idx="minor">
      <a:sysClr val="windowText" lastClr="000000"/>
    </cs:fontRef>
    <cs:spPr>
      <a:ln w="25400">
        <a:solidFill>
          <a:sysClr val="window" lastClr="FFFFFF"/>
        </a:solidFill>
      </a:ln>
    </cs:spPr>
  </cs:dataPoint3D>
  <cs:dataPointLine>
    <cs:lnRef idx="0">
      <cs:styleClr val="auto"/>
    </cs:lnRef>
    <cs:fillRef idx="0"/>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0"/>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75000"/>
          <a:lumOff val="25000"/>
        </a:sysClr>
      </a:solidFill>
      <a:ln w="9525" cap="flat" cmpd="sng" algn="ctr">
        <a:solidFill>
          <a:sysClr val="windowText" lastClr="000000">
            <a:lumMod val="65000"/>
            <a:lumOff val="35000"/>
          </a:sysClr>
        </a:solidFill>
        <a:round/>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50000"/>
            <a:lumOff val="50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cap="flat" cmpd="sng" algn="ctr">
        <a:solidFill>
          <a:sysClr val="windowText" lastClr="000000">
            <a:lumMod val="65000"/>
            <a:lumOff val="35000"/>
          </a:sysClr>
        </a:solidFill>
        <a:round/>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2483</Words>
  <Characters>2782</Characters>
  <Lines>20</Lines>
  <Paragraphs>5</Paragraphs>
  <TotalTime>1</TotalTime>
  <ScaleCrop>false</ScaleCrop>
  <LinksUpToDate>false</LinksUpToDate>
  <CharactersWithSpaces>2813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2022-05-23T00:38:00Z</dcterms:created>
  <dc:creator>Administrator</dc:creator>
  <cp:lastModifiedBy>Administrator</cp:lastModifiedBy>
  <dcterms:modified xsi:type="dcterms:W3CDTF">2023-03-08T00:23:51Z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4EC545D752324EC7B51C1830C6704E49</vt:lpwstr>
  </property>
</Properties>
</file>