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2023年</w:t>
      </w:r>
      <w:r>
        <w:rPr>
          <w:rFonts w:hint="eastAsia" w:ascii="黑体" w:hAnsi="黑体" w:eastAsia="黑体" w:cs="黑体"/>
          <w:b/>
          <w:bCs/>
          <w:sz w:val="44"/>
          <w:szCs w:val="44"/>
        </w:rPr>
        <w:t>淮滨县乡村振兴局部门预算说明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淮滨县乡村振兴局</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20" w:firstLineChars="100"/>
        <w:rPr>
          <w:rFonts w:hint="eastAsia" w:ascii="仿宋" w:hAnsi="仿宋" w:eastAsia="仿宋"/>
          <w:sz w:val="32"/>
          <w:szCs w:val="32"/>
        </w:rPr>
      </w:pPr>
      <w:r>
        <w:rPr>
          <w:rFonts w:hint="eastAsia" w:ascii="仿宋" w:hAnsi="仿宋" w:eastAsia="仿宋"/>
          <w:sz w:val="32"/>
          <w:szCs w:val="32"/>
        </w:rPr>
        <w:t>二、</w:t>
      </w:r>
      <w:r>
        <w:rPr>
          <w:rFonts w:hint="eastAsia" w:ascii="黑体" w:hAnsi="黑体" w:eastAsia="黑体" w:cs="黑体"/>
          <w:sz w:val="32"/>
          <w:szCs w:val="32"/>
        </w:rPr>
        <w:t>内设机构设置情况</w:t>
      </w:r>
    </w:p>
    <w:p>
      <w:pPr>
        <w:kinsoku w:val="0"/>
        <w:overflowPunct w:val="0"/>
        <w:autoSpaceDE w:val="0"/>
        <w:autoSpaceDN w:val="0"/>
        <w:adjustRightInd w:val="0"/>
        <w:spacing w:line="560" w:lineRule="exact"/>
        <w:ind w:firstLine="320" w:firstLineChars="100"/>
        <w:rPr>
          <w:rFonts w:hint="eastAsia" w:ascii="仿宋" w:hAnsi="仿宋" w:eastAsia="仿宋"/>
          <w:sz w:val="32"/>
          <w:szCs w:val="32"/>
          <w:lang w:eastAsia="zh-CN"/>
        </w:rPr>
      </w:pPr>
      <w:r>
        <w:rPr>
          <w:rFonts w:hint="eastAsia" w:ascii="仿宋" w:hAnsi="仿宋" w:eastAsia="仿宋"/>
          <w:sz w:val="32"/>
          <w:szCs w:val="32"/>
          <w:lang w:eastAsia="zh-CN"/>
        </w:rPr>
        <w:t>三、</w:t>
      </w:r>
      <w:r>
        <w:rPr>
          <w:rFonts w:hint="eastAsia" w:ascii="黑体" w:hAnsi="黑体" w:eastAsia="黑体" w:cs="黑体"/>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bookmarkStart w:id="0" w:name="_GoBack"/>
      <w:bookmarkEnd w:id="0"/>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淮滨县乡村振兴局</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附件：淮滨县乡村振兴局</w:t>
      </w:r>
      <w:r>
        <w:rPr>
          <w:rFonts w:hint="eastAsia" w:ascii="黑体" w:hAnsi="黑体" w:eastAsia="黑体" w:cs="Times New Roman"/>
          <w:sz w:val="32"/>
          <w:szCs w:val="32"/>
          <w:lang w:eastAsia="zh-CN"/>
        </w:rPr>
        <w:t>2023年</w:t>
      </w:r>
      <w:r>
        <w:rPr>
          <w:rFonts w:hint="eastAsia" w:ascii="黑体" w:hAnsi="黑体" w:eastAsia="黑体" w:cs="Times New Roman"/>
          <w:sz w:val="32"/>
          <w:szCs w:val="32"/>
        </w:rPr>
        <w:t>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hint="eastAsia" w:ascii="黑体" w:hAnsi="黑体" w:eastAsia="黑体" w:cs="黑体"/>
          <w:b/>
          <w:sz w:val="36"/>
          <w:szCs w:val="36"/>
        </w:rPr>
        <w:t>淮滨县乡村振兴局</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淮滨县乡村振兴局</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rPr>
        <w:t>淮滨县乡村振兴局</w:t>
      </w:r>
      <w:r>
        <w:rPr>
          <w:rFonts w:ascii="仿宋_GB2312" w:hAnsi="仿宋_GB2312" w:eastAsia="仿宋_GB2312" w:cs="仿宋_GB2312"/>
          <w:bCs/>
          <w:szCs w:val="32"/>
        </w:rPr>
        <w:t>主要职责是：</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ascii="仿宋_GB2312" w:hAnsi="仿宋_GB2312" w:eastAsia="仿宋_GB2312" w:cs="仿宋_GB2312"/>
          <w:color w:val="000000"/>
          <w:sz w:val="32"/>
          <w:szCs w:val="32"/>
          <w:shd w:val="clear" w:color="auto" w:fill="FFFFFF"/>
        </w:rPr>
        <w:t>贯彻落实国家、省、市有关农业综合开发和扶贫开发工作的方针、政策，紧密结合试验区建设，研究拟订全县农业综合开发和扶贫开发的实施措施，并监督检查执行情况。</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ascii="仿宋_GB2312" w:hAnsi="仿宋_GB2312" w:eastAsia="仿宋_GB2312" w:cs="仿宋_GB2312"/>
          <w:color w:val="000000"/>
          <w:sz w:val="32"/>
          <w:szCs w:val="32"/>
          <w:shd w:val="clear" w:color="auto" w:fill="FFFFFF"/>
        </w:rPr>
        <w:t>以扶贫开发和农业综合开发项目为抓手，按照“渠道不乱、用途不变”的总体要求，整合资源、整合资金集中用于新农村建设示范点建设，培训典型、打造亮点，加快推进淮滨县农村改革发展综合试验区建设。</w:t>
      </w:r>
    </w:p>
    <w:p>
      <w:pPr>
        <w:pStyle w:val="3"/>
        <w:numPr>
          <w:ilvl w:val="0"/>
          <w:numId w:val="4"/>
        </w:numPr>
        <w:tabs>
          <w:tab w:val="left" w:pos="880"/>
        </w:tabs>
        <w:kinsoku w:val="0"/>
        <w:overflowPunct w:val="0"/>
        <w:spacing w:before="0"/>
        <w:ind w:left="420" w:leftChars="200" w:firstLine="320" w:firstLineChars="100"/>
        <w:jc w:val="left"/>
        <w:rPr>
          <w:rFonts w:ascii="仿宋_GB2312" w:hAnsi="仿宋_GB2312" w:eastAsia="仿宋_GB2312" w:cs="仿宋_GB2312"/>
          <w:color w:val="000000"/>
          <w:sz w:val="32"/>
          <w:szCs w:val="32"/>
        </w:rPr>
      </w:pPr>
      <w:r>
        <w:rPr>
          <w:rFonts w:hint="eastAsia" w:ascii="仿宋_GB2312" w:hAnsi="仿宋_GB2312" w:eastAsia="仿宋_GB2312" w:cs="仿宋_GB2312"/>
          <w:bCs/>
          <w:szCs w:val="32"/>
          <w:lang w:eastAsia="zh-CN"/>
        </w:rPr>
        <w:t>、</w:t>
      </w:r>
      <w:r>
        <w:rPr>
          <w:rFonts w:hint="eastAsia" w:ascii="仿宋_GB2312" w:hAnsi="仿宋_GB2312" w:eastAsia="仿宋_GB2312" w:cs="仿宋_GB2312"/>
          <w:color w:val="000000"/>
          <w:sz w:val="32"/>
          <w:szCs w:val="32"/>
          <w:shd w:val="clear" w:color="auto" w:fill="FFFFFF"/>
        </w:rPr>
        <w:t>按照权限审核报批扶贫开发项目和农业综合开发项目年度计划;监督、检查项目的执行情况，并组织项目的竣工验收。</w:t>
      </w:r>
    </w:p>
    <w:p>
      <w:pPr>
        <w:pStyle w:val="3"/>
        <w:numPr>
          <w:ilvl w:val="0"/>
          <w:numId w:val="4"/>
        </w:numPr>
        <w:tabs>
          <w:tab w:val="left" w:pos="880"/>
        </w:tabs>
        <w:kinsoku w:val="0"/>
        <w:overflowPunct w:val="0"/>
        <w:spacing w:before="0"/>
        <w:ind w:left="420" w:leftChars="200" w:firstLine="320" w:firstLineChars="100"/>
        <w:jc w:val="left"/>
        <w:rPr>
          <w:rFonts w:ascii="仿宋_GB2312" w:hAnsi="仿宋_GB2312" w:eastAsia="仿宋_GB2312" w:cs="仿宋_GB2312"/>
          <w:color w:val="000000"/>
          <w:sz w:val="32"/>
          <w:szCs w:val="32"/>
        </w:rPr>
      </w:pPr>
      <w:r>
        <w:rPr>
          <w:rFonts w:hint="eastAsia" w:ascii="仿宋_GB2312" w:hAnsi="仿宋_GB2312" w:eastAsia="仿宋_GB2312" w:cs="仿宋_GB2312"/>
          <w:bCs/>
          <w:szCs w:val="32"/>
          <w:lang w:eastAsia="zh-CN"/>
        </w:rPr>
        <w:t>、</w:t>
      </w:r>
      <w:r>
        <w:rPr>
          <w:rFonts w:hint="eastAsia" w:ascii="仿宋_GB2312" w:hAnsi="仿宋_GB2312" w:eastAsia="仿宋_GB2312" w:cs="仿宋_GB2312"/>
          <w:color w:val="000000"/>
          <w:sz w:val="32"/>
          <w:szCs w:val="32"/>
          <w:shd w:val="clear" w:color="auto" w:fill="FFFFFF"/>
        </w:rPr>
        <w:t>负责扶贫开发、农业综合开发的调查研究和宣传工作;组织全县社会扶贫，督促、指导、协调对口扶贫工作;负责扶贫开发责任目标的考核工作。</w:t>
      </w:r>
    </w:p>
    <w:p>
      <w:pPr>
        <w:pStyle w:val="3"/>
        <w:widowControl w:val="0"/>
        <w:numPr>
          <w:ilvl w:val="0"/>
          <w:numId w:val="0"/>
        </w:numPr>
        <w:tabs>
          <w:tab w:val="left" w:pos="880"/>
        </w:tabs>
        <w:kinsoku w:val="0"/>
        <w:overflowPunct w:val="0"/>
        <w:spacing w:before="0"/>
        <w:jc w:val="left"/>
        <w:rPr>
          <w:rFonts w:hint="default" w:ascii="仿宋_GB2312" w:hAnsi="仿宋_GB2312" w:eastAsia="仿宋_GB2312" w:cs="仿宋_GB2312"/>
          <w:bCs/>
          <w:szCs w:val="32"/>
        </w:rPr>
      </w:pP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ascii="仿宋_GB2312" w:hAnsi="仿宋_GB2312" w:eastAsia="仿宋_GB2312" w:cs="仿宋_GB2312"/>
          <w:color w:val="000000"/>
          <w:sz w:val="32"/>
          <w:szCs w:val="32"/>
          <w:shd w:val="clear" w:color="auto" w:fill="FFFFFF"/>
        </w:rPr>
        <w:t>争取扶贫开发和农业综合开发利用国外资金项目，并组织实施。</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ascii="仿宋_GB2312" w:hAnsi="仿宋_GB2312" w:eastAsia="仿宋_GB2312" w:cs="仿宋_GB2312"/>
          <w:color w:val="000000"/>
          <w:sz w:val="32"/>
          <w:szCs w:val="32"/>
          <w:shd w:val="clear" w:color="auto" w:fill="FFFFFF"/>
        </w:rPr>
        <w:t>负责机关及直属单位的电子政务工作。</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ascii="仿宋_GB2312" w:hAnsi="仿宋_GB2312" w:eastAsia="仿宋_GB2312" w:cs="仿宋_GB2312"/>
          <w:color w:val="000000"/>
          <w:sz w:val="32"/>
          <w:szCs w:val="32"/>
          <w:shd w:val="clear" w:color="auto" w:fill="FFFFFF"/>
        </w:rPr>
        <w:t>承办县政府交办的其他事项。</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淮滨县乡村振兴局</w:t>
      </w:r>
      <w:r>
        <w:rPr>
          <w:rFonts w:hint="eastAsia" w:ascii="黑体" w:hAnsi="黑体" w:eastAsia="黑体" w:cs="黑体"/>
          <w:bCs/>
          <w:szCs w:val="32"/>
          <w:lang w:eastAsia="zh-CN"/>
        </w:rPr>
        <w:t>内设机构设置</w:t>
      </w:r>
      <w:r>
        <w:rPr>
          <w:rFonts w:ascii="黑体" w:hAnsi="黑体" w:eastAsia="黑体" w:cs="黑体"/>
          <w:bCs/>
          <w:szCs w:val="32"/>
        </w:rPr>
        <w:t>情况</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淮滨县</w:t>
      </w:r>
      <w:r>
        <w:rPr>
          <w:rFonts w:hint="eastAsia" w:ascii="仿宋_GB2312" w:hAnsi="仿宋_GB2312" w:eastAsia="仿宋_GB2312" w:cs="仿宋_GB2312"/>
          <w:sz w:val="32"/>
          <w:szCs w:val="32"/>
        </w:rPr>
        <w:t>乡村振兴局</w:t>
      </w:r>
      <w:r>
        <w:rPr>
          <w:rFonts w:hint="eastAsia" w:ascii="仿宋_GB2312" w:hAnsi="仿宋_GB2312" w:eastAsia="仿宋_GB2312" w:cs="仿宋_GB2312"/>
          <w:sz w:val="32"/>
          <w:szCs w:val="32"/>
          <w:lang w:eastAsia="zh-CN"/>
        </w:rPr>
        <w:t>内设机构设置</w:t>
      </w:r>
      <w:r>
        <w:rPr>
          <w:rFonts w:hint="eastAsia" w:ascii="仿宋_GB2312" w:hAnsi="仿宋_GB2312" w:eastAsia="仿宋_GB2312" w:cs="仿宋_GB2312"/>
          <w:bCs/>
          <w:sz w:val="32"/>
          <w:szCs w:val="32"/>
        </w:rPr>
        <w:t>包括：财务股、宣传教育股、行业社会扶贫股、考核评价股、扶贫开发项目股、综合股、信息中心、老促会等股室的预算。</w:t>
      </w:r>
    </w:p>
    <w:p>
      <w:pPr>
        <w:ind w:firstLine="640" w:firstLineChars="200"/>
        <w:jc w:val="left"/>
        <w:rPr>
          <w:rFonts w:ascii="仿宋_GB2312" w:hAnsi="仿宋_GB2312" w:eastAsia="仿宋_GB2312" w:cs="仿宋_GB2312"/>
          <w:bCs/>
          <w:sz w:val="32"/>
          <w:szCs w:val="32"/>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淮滨县乡村振兴局</w:t>
      </w:r>
      <w:r>
        <w:rPr>
          <w:rFonts w:ascii="黑体" w:hAnsi="黑体" w:eastAsia="黑体" w:cs="黑体"/>
          <w:bCs/>
          <w:szCs w:val="32"/>
        </w:rPr>
        <w:t>预算单位构成情况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淮滨县</w:t>
      </w:r>
      <w:r>
        <w:rPr>
          <w:rFonts w:hint="eastAsia" w:ascii="仿宋_GB2312" w:hAnsi="仿宋_GB2312" w:eastAsia="仿宋_GB2312" w:cs="仿宋_GB2312"/>
          <w:sz w:val="32"/>
          <w:szCs w:val="32"/>
        </w:rPr>
        <w:t>乡村振兴局</w:t>
      </w:r>
      <w:r>
        <w:rPr>
          <w:rFonts w:hint="eastAsia" w:ascii="仿宋_GB2312" w:hAnsi="仿宋_GB2312" w:eastAsia="仿宋_GB2312" w:cs="仿宋_GB2312"/>
          <w:bCs/>
          <w:sz w:val="32"/>
          <w:szCs w:val="32"/>
        </w:rPr>
        <w:t>202</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年部门预算包括局机关本级预算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本单位无所属二级机构预算。</w:t>
      </w:r>
    </w:p>
    <w:p>
      <w:pPr>
        <w:pStyle w:val="3"/>
        <w:numPr>
          <w:ilvl w:val="0"/>
          <w:numId w:val="0"/>
        </w:numPr>
        <w:tabs>
          <w:tab w:val="left" w:pos="880"/>
        </w:tabs>
        <w:kinsoku w:val="0"/>
        <w:overflowPunct w:val="0"/>
        <w:spacing w:before="0"/>
        <w:ind w:leftChars="200"/>
        <w:jc w:val="left"/>
        <w:rPr>
          <w:rFonts w:hint="default" w:ascii="黑体" w:hAnsi="黑体" w:eastAsia="黑体" w:cs="黑体"/>
          <w:bCs/>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淮滨县乡村振兴局</w:t>
      </w:r>
      <w:r>
        <w:rPr>
          <w:rFonts w:hint="eastAsia" w:ascii="黑体" w:hAnsi="黑体" w:eastAsia="黑体" w:cs="黑体"/>
          <w:b/>
          <w:bCs/>
          <w:sz w:val="36"/>
          <w:szCs w:val="36"/>
          <w:lang w:eastAsia="zh-CN"/>
        </w:rPr>
        <w:t>2023年</w:t>
      </w:r>
      <w:r>
        <w:rPr>
          <w:rFonts w:hint="eastAsia" w:ascii="黑体" w:hAnsi="黑体" w:eastAsia="黑体" w:cs="黑体"/>
          <w:b/>
          <w:bCs/>
          <w:sz w:val="36"/>
          <w:szCs w:val="36"/>
        </w:rPr>
        <w:t>度部门预算情况说明</w:t>
      </w:r>
    </w:p>
    <w:p>
      <w:pPr>
        <w:jc w:val="center"/>
        <w:rPr>
          <w:rFonts w:ascii="黑体" w:hAnsi="黑体" w:eastAsia="黑体" w:cs="黑体"/>
          <w:b/>
          <w:bCs/>
          <w:sz w:val="36"/>
          <w:szCs w:val="36"/>
        </w:rPr>
      </w:pPr>
    </w:p>
    <w:p>
      <w:pPr>
        <w:numPr>
          <w:ilvl w:val="0"/>
          <w:numId w:val="5"/>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ascii="仿宋" w:hAnsi="仿宋" w:eastAsia="仿宋" w:cs="仿宋"/>
          <w:sz w:val="32"/>
        </w:rPr>
      </w:pPr>
      <w:r>
        <w:rPr>
          <w:rFonts w:hint="eastAsia" w:ascii="仿宋" w:hAnsi="仿宋" w:eastAsia="仿宋" w:cs="仿宋"/>
          <w:sz w:val="32"/>
          <w:szCs w:val="32"/>
        </w:rPr>
        <w:t>淮滨县乡村振兴局</w:t>
      </w:r>
      <w:r>
        <w:rPr>
          <w:rFonts w:hint="eastAsia" w:ascii="仿宋" w:hAnsi="仿宋" w:eastAsia="仿宋" w:cs="仿宋"/>
          <w:sz w:val="32"/>
          <w:szCs w:val="32"/>
          <w:lang w:eastAsia="zh-CN"/>
        </w:rPr>
        <w:t>2023年</w:t>
      </w:r>
      <w:r>
        <w:rPr>
          <w:rFonts w:hint="eastAsia" w:ascii="仿宋" w:hAnsi="仿宋" w:eastAsia="仿宋" w:cs="仿宋"/>
          <w:sz w:val="32"/>
          <w:szCs w:val="32"/>
        </w:rPr>
        <w:t>收入总计358.96万元，支出总计358.96万元,与202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年相比，收、支总计各减少</w:t>
      </w:r>
      <w:r>
        <w:rPr>
          <w:rFonts w:hint="eastAsia" w:ascii="仿宋" w:hAnsi="仿宋" w:eastAsia="仿宋" w:cs="仿宋"/>
          <w:sz w:val="32"/>
          <w:szCs w:val="32"/>
          <w:lang w:val="en-US" w:eastAsia="zh-CN"/>
        </w:rPr>
        <w:t>12.04</w:t>
      </w:r>
      <w:r>
        <w:rPr>
          <w:rFonts w:hint="eastAsia" w:ascii="仿宋" w:hAnsi="仿宋" w:eastAsia="仿宋" w:cs="仿宋"/>
          <w:sz w:val="32"/>
          <w:szCs w:val="32"/>
        </w:rPr>
        <w:t>万元，下降</w:t>
      </w:r>
      <w:r>
        <w:rPr>
          <w:rFonts w:hint="eastAsia" w:ascii="仿宋" w:hAnsi="仿宋" w:eastAsia="仿宋" w:cs="仿宋"/>
          <w:sz w:val="32"/>
          <w:szCs w:val="32"/>
          <w:lang w:val="en-US" w:eastAsia="zh-CN"/>
        </w:rPr>
        <w:t>3.2</w:t>
      </w:r>
      <w:r>
        <w:rPr>
          <w:rFonts w:hint="eastAsia" w:ascii="仿宋" w:hAnsi="仿宋" w:eastAsia="仿宋" w:cs="仿宋"/>
          <w:sz w:val="32"/>
          <w:szCs w:val="32"/>
        </w:rPr>
        <w:t>%。主要原因是</w:t>
      </w:r>
      <w:r>
        <w:rPr>
          <w:rFonts w:hint="eastAsia" w:ascii="仿宋" w:hAnsi="仿宋" w:eastAsia="仿宋" w:cs="仿宋"/>
          <w:sz w:val="32"/>
          <w:lang w:val="en-US" w:eastAsia="zh-CN"/>
        </w:rPr>
        <w:t>压缩开支，坚持厉行节约。</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4445" t="4445" r="1460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jc w:val="left"/>
        <w:rPr>
          <w:rFonts w:ascii="仿宋" w:hAnsi="仿宋" w:eastAsia="仿宋" w:cs="仿宋"/>
          <w:sz w:val="32"/>
          <w:szCs w:val="32"/>
        </w:rPr>
      </w:pPr>
    </w:p>
    <w:p>
      <w:pPr>
        <w:numPr>
          <w:ilvl w:val="0"/>
          <w:numId w:val="5"/>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淮滨县乡村振兴局</w:t>
      </w:r>
      <w:r>
        <w:rPr>
          <w:rFonts w:hint="eastAsia" w:ascii="仿宋" w:hAnsi="仿宋" w:eastAsia="仿宋" w:cs="仿宋"/>
          <w:sz w:val="32"/>
          <w:lang w:eastAsia="zh-CN"/>
        </w:rPr>
        <w:t>2023年</w:t>
      </w:r>
      <w:r>
        <w:rPr>
          <w:rFonts w:hint="eastAsia" w:ascii="仿宋" w:hAnsi="仿宋" w:eastAsia="仿宋" w:cs="仿宋"/>
          <w:sz w:val="32"/>
        </w:rPr>
        <w:t>收入合计</w:t>
      </w:r>
      <w:r>
        <w:rPr>
          <w:rFonts w:hint="eastAsia" w:ascii="仿宋" w:hAnsi="仿宋" w:eastAsia="仿宋" w:cs="仿宋"/>
          <w:sz w:val="32"/>
          <w:szCs w:val="32"/>
        </w:rPr>
        <w:t>358.96</w:t>
      </w:r>
      <w:r>
        <w:rPr>
          <w:rFonts w:hint="eastAsia" w:ascii="仿宋" w:hAnsi="仿宋" w:eastAsia="仿宋" w:cs="仿宋"/>
          <w:sz w:val="32"/>
        </w:rPr>
        <w:t>万元，其中：一般公共预算收入</w:t>
      </w:r>
      <w:r>
        <w:rPr>
          <w:rFonts w:hint="eastAsia" w:ascii="仿宋" w:hAnsi="仿宋" w:eastAsia="仿宋" w:cs="仿宋"/>
          <w:sz w:val="32"/>
          <w:szCs w:val="32"/>
        </w:rPr>
        <w:t>358.96</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4445" t="4445" r="8255" b="1587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淮滨县乡村振兴局</w:t>
      </w:r>
      <w:r>
        <w:rPr>
          <w:rFonts w:hint="eastAsia" w:ascii="仿宋" w:hAnsi="仿宋" w:eastAsia="仿宋" w:cs="仿宋"/>
          <w:sz w:val="32"/>
          <w:lang w:eastAsia="zh-CN"/>
        </w:rPr>
        <w:t>2023年</w:t>
      </w:r>
      <w:r>
        <w:rPr>
          <w:rFonts w:hint="eastAsia" w:ascii="仿宋" w:hAnsi="仿宋" w:eastAsia="仿宋" w:cs="仿宋"/>
          <w:sz w:val="32"/>
        </w:rPr>
        <w:t>支出合计</w:t>
      </w:r>
      <w:r>
        <w:rPr>
          <w:rFonts w:hint="eastAsia" w:ascii="仿宋" w:hAnsi="仿宋" w:eastAsia="仿宋" w:cs="仿宋"/>
          <w:sz w:val="32"/>
          <w:szCs w:val="32"/>
        </w:rPr>
        <w:t>358.96</w:t>
      </w:r>
      <w:r>
        <w:rPr>
          <w:rFonts w:hint="eastAsia" w:ascii="仿宋" w:hAnsi="仿宋" w:eastAsia="仿宋" w:cs="仿宋"/>
          <w:sz w:val="32"/>
        </w:rPr>
        <w:t>万元，其中：基本支出</w:t>
      </w:r>
      <w:r>
        <w:rPr>
          <w:rFonts w:hint="eastAsia" w:ascii="仿宋" w:hAnsi="仿宋" w:eastAsia="仿宋" w:cs="仿宋"/>
          <w:sz w:val="32"/>
          <w:lang w:val="en-US" w:eastAsia="zh-CN"/>
        </w:rPr>
        <w:t>210.73</w:t>
      </w:r>
      <w:r>
        <w:rPr>
          <w:rFonts w:hint="eastAsia" w:ascii="仿宋" w:hAnsi="仿宋" w:eastAsia="仿宋" w:cs="仿宋"/>
          <w:sz w:val="32"/>
        </w:rPr>
        <w:t>万元，占</w:t>
      </w:r>
      <w:r>
        <w:rPr>
          <w:rFonts w:hint="eastAsia" w:ascii="仿宋" w:hAnsi="仿宋" w:eastAsia="仿宋" w:cs="仿宋"/>
          <w:sz w:val="32"/>
          <w:lang w:val="en-US" w:eastAsia="zh-CN"/>
        </w:rPr>
        <w:t>59</w:t>
      </w:r>
      <w:r>
        <w:rPr>
          <w:rFonts w:hint="eastAsia" w:ascii="仿宋" w:hAnsi="仿宋" w:eastAsia="仿宋" w:cs="仿宋"/>
          <w:sz w:val="32"/>
        </w:rPr>
        <w:t>%；项目支出</w:t>
      </w:r>
      <w:r>
        <w:rPr>
          <w:rFonts w:hint="eastAsia" w:ascii="仿宋" w:hAnsi="仿宋" w:eastAsia="仿宋" w:cs="仿宋"/>
          <w:sz w:val="32"/>
          <w:lang w:val="en-US" w:eastAsia="zh-CN"/>
        </w:rPr>
        <w:t>148.23</w:t>
      </w:r>
      <w:r>
        <w:rPr>
          <w:rFonts w:hint="eastAsia" w:ascii="仿宋" w:hAnsi="仿宋" w:eastAsia="仿宋" w:cs="仿宋"/>
          <w:sz w:val="32"/>
        </w:rPr>
        <w:t>万元，占</w:t>
      </w:r>
      <w:r>
        <w:rPr>
          <w:rFonts w:hint="eastAsia" w:ascii="仿宋" w:hAnsi="仿宋" w:eastAsia="仿宋" w:cs="仿宋"/>
          <w:sz w:val="32"/>
          <w:lang w:val="en-US" w:eastAsia="zh-CN"/>
        </w:rPr>
        <w:t>41</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69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5"/>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淮滨县乡村振兴局</w:t>
      </w:r>
      <w:r>
        <w:rPr>
          <w:rFonts w:hint="eastAsia" w:ascii="仿宋" w:hAnsi="仿宋" w:eastAsia="仿宋" w:cs="仿宋"/>
          <w:sz w:val="32"/>
          <w:lang w:eastAsia="zh-CN"/>
        </w:rPr>
        <w:t>2023年</w:t>
      </w:r>
      <w:r>
        <w:rPr>
          <w:rFonts w:hint="eastAsia" w:ascii="仿宋" w:hAnsi="仿宋" w:eastAsia="仿宋" w:cs="仿宋"/>
          <w:sz w:val="32"/>
        </w:rPr>
        <w:t>一般公共预算收支预算</w:t>
      </w:r>
      <w:r>
        <w:rPr>
          <w:rFonts w:hint="eastAsia" w:ascii="仿宋" w:hAnsi="仿宋" w:eastAsia="仿宋" w:cs="仿宋"/>
          <w:sz w:val="32"/>
          <w:szCs w:val="32"/>
        </w:rPr>
        <w:t>358.96</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2022年</w:t>
      </w:r>
      <w:r>
        <w:rPr>
          <w:rFonts w:hint="eastAsia" w:ascii="仿宋" w:hAnsi="仿宋" w:eastAsia="仿宋" w:cs="仿宋"/>
          <w:sz w:val="32"/>
        </w:rPr>
        <w:t>相比，一般公共预算收支预算</w:t>
      </w:r>
      <w:r>
        <w:rPr>
          <w:rFonts w:hint="eastAsia" w:ascii="仿宋" w:hAnsi="仿宋" w:eastAsia="仿宋" w:cs="仿宋"/>
          <w:sz w:val="32"/>
          <w:szCs w:val="32"/>
        </w:rPr>
        <w:t>减少</w:t>
      </w:r>
      <w:r>
        <w:rPr>
          <w:rFonts w:hint="eastAsia" w:ascii="仿宋" w:hAnsi="仿宋" w:eastAsia="仿宋" w:cs="仿宋"/>
          <w:sz w:val="32"/>
          <w:szCs w:val="32"/>
          <w:lang w:val="en-US" w:eastAsia="zh-CN"/>
        </w:rPr>
        <w:t>12.04</w:t>
      </w:r>
      <w:r>
        <w:rPr>
          <w:rFonts w:hint="eastAsia" w:ascii="仿宋" w:hAnsi="仿宋" w:eastAsia="仿宋" w:cs="仿宋"/>
          <w:sz w:val="32"/>
          <w:szCs w:val="32"/>
        </w:rPr>
        <w:t>万元，下降</w:t>
      </w:r>
      <w:r>
        <w:rPr>
          <w:rFonts w:hint="eastAsia" w:ascii="仿宋" w:hAnsi="仿宋" w:eastAsia="仿宋" w:cs="仿宋"/>
          <w:sz w:val="32"/>
          <w:szCs w:val="32"/>
          <w:lang w:val="en-US" w:eastAsia="zh-CN"/>
        </w:rPr>
        <w:t>3.2</w:t>
      </w:r>
      <w:r>
        <w:rPr>
          <w:rFonts w:hint="eastAsia" w:ascii="仿宋" w:hAnsi="仿宋" w:eastAsia="仿宋" w:cs="仿宋"/>
          <w:sz w:val="32"/>
          <w:szCs w:val="32"/>
        </w:rPr>
        <w:t>%。主要原因是</w:t>
      </w:r>
      <w:r>
        <w:rPr>
          <w:rFonts w:hint="eastAsia" w:ascii="仿宋" w:hAnsi="仿宋" w:eastAsia="仿宋" w:cs="仿宋"/>
          <w:sz w:val="32"/>
          <w:lang w:val="en-US" w:eastAsia="zh-CN"/>
        </w:rPr>
        <w:t>压缩开支，坚持厉行节约。</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4445" t="4445" r="17145" b="1206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淮滨县乡村振兴局</w:t>
      </w:r>
      <w:r>
        <w:rPr>
          <w:rFonts w:hint="eastAsia" w:ascii="仿宋" w:hAnsi="仿宋" w:eastAsia="仿宋" w:cs="仿宋"/>
          <w:sz w:val="32"/>
          <w:lang w:eastAsia="zh-CN"/>
        </w:rPr>
        <w:t>2023年</w:t>
      </w:r>
      <w:r>
        <w:rPr>
          <w:rFonts w:hint="eastAsia" w:ascii="仿宋" w:hAnsi="仿宋" w:eastAsia="仿宋" w:cs="仿宋"/>
          <w:sz w:val="32"/>
        </w:rPr>
        <w:t>一般公共预算支出年初预算为</w:t>
      </w:r>
      <w:r>
        <w:rPr>
          <w:rFonts w:hint="eastAsia" w:ascii="仿宋" w:hAnsi="仿宋" w:eastAsia="仿宋" w:cs="仿宋"/>
          <w:sz w:val="32"/>
          <w:szCs w:val="32"/>
        </w:rPr>
        <w:t>358.96</w:t>
      </w:r>
      <w:r>
        <w:rPr>
          <w:rFonts w:hint="eastAsia" w:ascii="仿宋" w:hAnsi="仿宋" w:eastAsia="仿宋" w:cs="仿宋"/>
          <w:sz w:val="32"/>
        </w:rPr>
        <w:t>万元。其中：基本支出</w:t>
      </w:r>
      <w:r>
        <w:rPr>
          <w:rFonts w:hint="eastAsia" w:ascii="仿宋" w:hAnsi="仿宋" w:eastAsia="仿宋" w:cs="仿宋"/>
          <w:sz w:val="32"/>
          <w:lang w:val="en-US" w:eastAsia="zh-CN"/>
        </w:rPr>
        <w:t>210.73</w:t>
      </w:r>
      <w:r>
        <w:rPr>
          <w:rFonts w:hint="eastAsia" w:ascii="仿宋" w:hAnsi="仿宋" w:eastAsia="仿宋" w:cs="仿宋"/>
          <w:sz w:val="32"/>
        </w:rPr>
        <w:t>万元，占</w:t>
      </w:r>
      <w:r>
        <w:rPr>
          <w:rFonts w:hint="eastAsia" w:ascii="仿宋" w:hAnsi="仿宋" w:eastAsia="仿宋" w:cs="仿宋"/>
          <w:sz w:val="32"/>
          <w:lang w:val="en-US" w:eastAsia="zh-CN"/>
        </w:rPr>
        <w:t>59</w:t>
      </w:r>
      <w:r>
        <w:rPr>
          <w:rFonts w:hint="eastAsia" w:ascii="仿宋" w:hAnsi="仿宋" w:eastAsia="仿宋" w:cs="仿宋"/>
          <w:sz w:val="32"/>
        </w:rPr>
        <w:t>%;项目支出</w:t>
      </w:r>
      <w:r>
        <w:rPr>
          <w:rFonts w:hint="eastAsia" w:ascii="仿宋" w:hAnsi="仿宋" w:eastAsia="仿宋" w:cs="仿宋"/>
          <w:sz w:val="32"/>
          <w:lang w:val="en-US" w:eastAsia="zh-CN"/>
        </w:rPr>
        <w:t>148.23</w:t>
      </w:r>
      <w:r>
        <w:rPr>
          <w:rFonts w:hint="eastAsia" w:ascii="仿宋" w:hAnsi="仿宋" w:eastAsia="仿宋" w:cs="仿宋"/>
          <w:sz w:val="32"/>
        </w:rPr>
        <w:t>万元，占</w:t>
      </w:r>
      <w:r>
        <w:rPr>
          <w:rFonts w:hint="eastAsia" w:ascii="仿宋" w:hAnsi="仿宋" w:eastAsia="仿宋" w:cs="仿宋"/>
          <w:sz w:val="32"/>
          <w:lang w:val="en-US" w:eastAsia="zh-CN"/>
        </w:rPr>
        <w:t>41</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5"/>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淮滨县乡村振兴局</w:t>
      </w:r>
      <w:r>
        <w:rPr>
          <w:rFonts w:hint="eastAsia" w:ascii="仿宋" w:hAnsi="仿宋" w:eastAsia="仿宋" w:cs="仿宋"/>
          <w:color w:val="000000"/>
          <w:sz w:val="32"/>
          <w:szCs w:val="32"/>
          <w:lang w:eastAsia="zh-CN"/>
        </w:rPr>
        <w:t>2023年</w:t>
      </w:r>
      <w:r>
        <w:rPr>
          <w:rFonts w:hint="eastAsia" w:ascii="仿宋" w:hAnsi="仿宋" w:eastAsia="仿宋" w:cs="仿宋"/>
          <w:color w:val="000000"/>
          <w:sz w:val="32"/>
          <w:szCs w:val="32"/>
        </w:rPr>
        <w:t>一般公共预算基本支出年初预算为</w:t>
      </w:r>
      <w:r>
        <w:rPr>
          <w:rFonts w:hint="eastAsia" w:ascii="仿宋" w:hAnsi="仿宋" w:eastAsia="仿宋" w:cs="仿宋"/>
          <w:sz w:val="32"/>
          <w:lang w:val="en-US" w:eastAsia="zh-CN"/>
        </w:rPr>
        <w:t>210.73</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186.71</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89</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24.02</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5"/>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淮滨县乡村振兴局</w:t>
      </w:r>
      <w:r>
        <w:rPr>
          <w:rFonts w:hint="eastAsia" w:ascii="仿宋" w:hAnsi="仿宋" w:eastAsia="仿宋" w:cs="仿宋"/>
          <w:sz w:val="32"/>
          <w:szCs w:val="32"/>
          <w:lang w:eastAsia="zh-CN"/>
        </w:rPr>
        <w:t>2023年</w:t>
      </w:r>
      <w:r>
        <w:rPr>
          <w:rFonts w:hint="eastAsia" w:ascii="仿宋" w:hAnsi="仿宋" w:eastAsia="仿宋" w:cs="仿宋"/>
          <w:sz w:val="32"/>
          <w:szCs w:val="32"/>
        </w:rPr>
        <w:t>“三公”经费支出预算为</w:t>
      </w:r>
      <w:r>
        <w:rPr>
          <w:rFonts w:hint="eastAsia" w:ascii="仿宋" w:hAnsi="仿宋" w:eastAsia="仿宋" w:cs="仿宋"/>
          <w:sz w:val="32"/>
          <w:szCs w:val="32"/>
          <w:lang w:val="en-US" w:eastAsia="zh-CN"/>
        </w:rPr>
        <w:t>14.04</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rPr>
        <w:t>1.43万元。主要用于按规定开支的各类公务接待支出。预算数与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rPr>
        <w:t>12.61万元，其中：公务用车运行维护费12.61万元，公务用车购置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hint="eastAsia" w:ascii="仿宋" w:hAnsi="仿宋" w:eastAsia="仿宋_GB2312" w:cs="仿宋"/>
          <w:sz w:val="32"/>
          <w:lang w:eastAsia="zh-CN"/>
        </w:rPr>
      </w:pPr>
      <w:r>
        <w:rPr>
          <w:rFonts w:hint="eastAsia" w:ascii="仿宋_GB2312" w:hAnsi="仿宋_GB2312" w:eastAsia="仿宋_GB2312" w:cs="仿宋_GB2312"/>
          <w:sz w:val="32"/>
        </w:rPr>
        <w:t>我单位</w:t>
      </w:r>
      <w:r>
        <w:rPr>
          <w:rFonts w:hint="eastAsia" w:ascii="仿宋_GB2312" w:hAnsi="仿宋_GB2312" w:eastAsia="仿宋_GB2312" w:cs="仿宋_GB2312"/>
          <w:sz w:val="32"/>
          <w:lang w:eastAsia="zh-CN"/>
        </w:rPr>
        <w:t>2023年</w:t>
      </w:r>
      <w:r>
        <w:rPr>
          <w:rFonts w:hint="eastAsia" w:ascii="仿宋_GB2312" w:eastAsia="仿宋_GB2312"/>
          <w:sz w:val="32"/>
          <w:szCs w:val="32"/>
        </w:rPr>
        <w:t>没有政府性基金预算拨款收入，也没有政府性基金预算安排的支出</w:t>
      </w:r>
      <w:r>
        <w:rPr>
          <w:rFonts w:hint="eastAsia" w:ascii="仿宋_GB2312" w:eastAsia="仿宋_GB2312"/>
          <w:sz w:val="32"/>
          <w:szCs w:val="32"/>
          <w:lang w:eastAsia="zh-CN"/>
        </w:rPr>
        <w:t>。</w:t>
      </w:r>
    </w:p>
    <w:p>
      <w:pPr>
        <w:numPr>
          <w:ilvl w:val="0"/>
          <w:numId w:val="5"/>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szCs w:val="32"/>
        </w:rPr>
        <w:t>淮滨县乡村振兴局</w:t>
      </w:r>
      <w:r>
        <w:rPr>
          <w:rFonts w:hint="eastAsia" w:ascii="仿宋" w:hAnsi="仿宋" w:eastAsia="仿宋" w:cs="仿宋"/>
          <w:sz w:val="32"/>
        </w:rPr>
        <w:t>202</w:t>
      </w:r>
      <w:r>
        <w:rPr>
          <w:rFonts w:hint="eastAsia" w:ascii="仿宋" w:hAnsi="仿宋" w:eastAsia="仿宋" w:cs="仿宋"/>
          <w:sz w:val="32"/>
          <w:lang w:val="en-US" w:eastAsia="zh-CN"/>
        </w:rPr>
        <w:t>3</w:t>
      </w:r>
      <w:r>
        <w:rPr>
          <w:rFonts w:hint="eastAsia" w:ascii="仿宋" w:hAnsi="仿宋" w:eastAsia="仿宋" w:cs="仿宋"/>
          <w:sz w:val="32"/>
        </w:rPr>
        <w:t>年</w:t>
      </w:r>
      <w:r>
        <w:rPr>
          <w:rFonts w:hint="eastAsia" w:ascii="仿宋" w:hAnsi="仿宋" w:eastAsia="仿宋" w:cs="仿宋"/>
          <w:sz w:val="32"/>
          <w:lang w:eastAsia="zh-CN"/>
        </w:rPr>
        <w:t>机关</w:t>
      </w:r>
      <w:r>
        <w:rPr>
          <w:rFonts w:hint="eastAsia" w:ascii="仿宋" w:hAnsi="仿宋" w:eastAsia="仿宋" w:cs="仿宋"/>
          <w:sz w:val="32"/>
        </w:rPr>
        <w:t>运行经费支出预算</w:t>
      </w:r>
      <w:r>
        <w:rPr>
          <w:rFonts w:hint="eastAsia" w:ascii="仿宋" w:hAnsi="仿宋" w:eastAsia="仿宋" w:cs="仿宋"/>
          <w:sz w:val="32"/>
          <w:lang w:val="en-US" w:eastAsia="zh-CN"/>
        </w:rPr>
        <w:t>24.02</w:t>
      </w:r>
      <w:r>
        <w:rPr>
          <w:rFonts w:hint="eastAsia" w:ascii="仿宋" w:hAnsi="仿宋" w:eastAsia="仿宋" w:cs="仿宋"/>
          <w:sz w:val="32"/>
        </w:rPr>
        <w:t>万元，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比202</w:t>
      </w:r>
      <w:r>
        <w:rPr>
          <w:rFonts w:hint="eastAsia" w:ascii="仿宋" w:hAnsi="仿宋" w:eastAsia="仿宋" w:cs="仿宋"/>
          <w:sz w:val="32"/>
          <w:lang w:val="en-US" w:eastAsia="zh-CN"/>
        </w:rPr>
        <w:t>2</w:t>
      </w:r>
      <w:r>
        <w:rPr>
          <w:rFonts w:hint="eastAsia" w:ascii="仿宋" w:hAnsi="仿宋" w:eastAsia="仿宋" w:cs="仿宋"/>
          <w:sz w:val="32"/>
        </w:rPr>
        <w:t>年</w:t>
      </w:r>
      <w:r>
        <w:rPr>
          <w:rFonts w:hint="eastAsia" w:ascii="仿宋" w:hAnsi="仿宋" w:eastAsia="仿宋" w:cs="仿宋"/>
          <w:sz w:val="32"/>
          <w:lang w:val="en-US" w:eastAsia="zh-CN"/>
        </w:rPr>
        <w:t>减少3.98</w:t>
      </w:r>
      <w:r>
        <w:rPr>
          <w:rFonts w:hint="eastAsia" w:ascii="仿宋" w:hAnsi="仿宋" w:eastAsia="仿宋" w:cs="仿宋"/>
          <w:sz w:val="32"/>
        </w:rPr>
        <w:t>万元，</w:t>
      </w:r>
      <w:r>
        <w:rPr>
          <w:rFonts w:hint="eastAsia" w:ascii="仿宋" w:hAnsi="仿宋" w:eastAsia="仿宋" w:cs="仿宋"/>
          <w:sz w:val="32"/>
          <w:lang w:val="en-US" w:eastAsia="zh-CN"/>
        </w:rPr>
        <w:t>下降14.2</w:t>
      </w:r>
      <w:r>
        <w:rPr>
          <w:rFonts w:hint="eastAsia" w:ascii="仿宋" w:hAnsi="仿宋" w:eastAsia="仿宋" w:cs="仿宋"/>
          <w:sz w:val="32"/>
        </w:rPr>
        <w:t>%，主要原因：</w:t>
      </w:r>
      <w:r>
        <w:rPr>
          <w:rFonts w:hint="eastAsia" w:ascii="仿宋" w:hAnsi="仿宋" w:eastAsia="仿宋" w:cs="仿宋"/>
          <w:sz w:val="32"/>
          <w:lang w:val="en-US" w:eastAsia="zh-CN"/>
        </w:rPr>
        <w:t>压缩开支，坚持厉行节约。</w:t>
      </w:r>
    </w:p>
    <w:p>
      <w:pPr>
        <w:ind w:firstLine="640"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6"/>
        </w:numPr>
        <w:ind w:firstLine="640"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预算项目均按要求编制了绩效目标，从 项目产出、项目效益、满意度等方面设置了绩效目标，综合 反映项目预期完成的数量、实效、质量，预期达到的社会经 济效益、可持续影响以及对象满意度等情况。</w:t>
      </w:r>
    </w:p>
    <w:p>
      <w:pPr>
        <w:numPr>
          <w:ilvl w:val="0"/>
          <w:numId w:val="6"/>
        </w:numPr>
        <w:ind w:firstLine="640"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2022年</w:t>
      </w:r>
      <w:r>
        <w:rPr>
          <w:rFonts w:hint="eastAsia" w:ascii="仿宋" w:hAnsi="仿宋" w:eastAsia="仿宋" w:cs="仿宋"/>
          <w:sz w:val="32"/>
        </w:rPr>
        <w:t>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0"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项。主要是:</w:t>
      </w:r>
      <w:r>
        <w:rPr>
          <w:rFonts w:hint="eastAsia" w:ascii="仿宋" w:hAnsi="仿宋" w:eastAsia="仿宋" w:cs="仿宋"/>
          <w:sz w:val="32"/>
          <w:lang w:val="en-US" w:eastAsia="zh-CN"/>
        </w:rPr>
        <w:t>无</w:t>
      </w:r>
      <w:r>
        <w:rPr>
          <w:rFonts w:hint="eastAsia" w:ascii="仿宋" w:hAnsi="仿宋" w:eastAsia="仿宋" w:cs="仿宋"/>
          <w:sz w:val="32"/>
        </w:rPr>
        <w:t>专项资金。我单位将按照《预算法》等有关规定， 积极做好项目分配前期准备工作，在规定的时间内向财政部门提出资金分配意见，根据有关要求做好项目申报公开等相关工作。</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7"/>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7"/>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附件：淮滨县乡村振兴局</w:t>
      </w:r>
      <w:r>
        <w:rPr>
          <w:rFonts w:hint="eastAsia" w:ascii="黑体" w:hAnsi="黑体" w:eastAsia="黑体" w:cs="黑体"/>
          <w:sz w:val="32"/>
          <w:lang w:eastAsia="zh-CN"/>
        </w:rPr>
        <w:t>2023年</w:t>
      </w:r>
      <w:r>
        <w:rPr>
          <w:rFonts w:hint="eastAsia" w:ascii="黑体" w:hAnsi="黑体" w:eastAsia="黑体" w:cs="黑体"/>
          <w:sz w:val="32"/>
        </w:rPr>
        <w:t>部门预算表</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1D09A37"/>
    <w:multiLevelType w:val="singleLevel"/>
    <w:tmpl w:val="61D09A37"/>
    <w:lvl w:ilvl="0" w:tentative="0">
      <w:start w:val="1"/>
      <w:numFmt w:val="chineseCounting"/>
      <w:suff w:val="nothing"/>
      <w:lvlText w:val="（%1）"/>
      <w:lvlJc w:val="left"/>
      <w:rPr>
        <w:rFonts w:hint="eastAsia"/>
      </w:rPr>
    </w:lvl>
  </w:abstractNum>
  <w:abstractNum w:abstractNumId="5">
    <w:nsid w:val="6EC1A300"/>
    <w:multiLevelType w:val="singleLevel"/>
    <w:tmpl w:val="6EC1A300"/>
    <w:lvl w:ilvl="0" w:tentative="0">
      <w:start w:val="1"/>
      <w:numFmt w:val="chineseCounting"/>
      <w:suff w:val="nothing"/>
      <w:lvlText w:val="%1、"/>
      <w:lvlJc w:val="left"/>
      <w:rPr>
        <w:rFonts w:hint="eastAsia"/>
      </w:rPr>
    </w:lvl>
  </w:abstractNum>
  <w:abstractNum w:abstractNumId="6">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5"/>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hMjhjMjNjOTM1YWNhMWIzZjU0NWRkZTEzMTAyZTIifQ=="/>
    <w:docVar w:name="KSO_WPS_MARK_KEY" w:val="841a7cc2-c802-4f50-8d4b-19657e8c4c18"/>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37B79F7"/>
    <w:rsid w:val="041D2A27"/>
    <w:rsid w:val="05377B18"/>
    <w:rsid w:val="06440A7A"/>
    <w:rsid w:val="071D4AEC"/>
    <w:rsid w:val="084542FA"/>
    <w:rsid w:val="0A6251B2"/>
    <w:rsid w:val="0D0F4ED6"/>
    <w:rsid w:val="0D513137"/>
    <w:rsid w:val="10602789"/>
    <w:rsid w:val="123258EF"/>
    <w:rsid w:val="12EF1A32"/>
    <w:rsid w:val="144A1E7D"/>
    <w:rsid w:val="15F07B94"/>
    <w:rsid w:val="173B6758"/>
    <w:rsid w:val="191C5F4B"/>
    <w:rsid w:val="1B351FAC"/>
    <w:rsid w:val="1CA53161"/>
    <w:rsid w:val="1D0460DA"/>
    <w:rsid w:val="1D2E3157"/>
    <w:rsid w:val="1D8B342B"/>
    <w:rsid w:val="1F046865"/>
    <w:rsid w:val="1FE67D19"/>
    <w:rsid w:val="20C53DD2"/>
    <w:rsid w:val="216F2A69"/>
    <w:rsid w:val="228003BD"/>
    <w:rsid w:val="228C104B"/>
    <w:rsid w:val="246B28E3"/>
    <w:rsid w:val="24DA1A42"/>
    <w:rsid w:val="274F7F6E"/>
    <w:rsid w:val="279A1B15"/>
    <w:rsid w:val="27A42993"/>
    <w:rsid w:val="28196722"/>
    <w:rsid w:val="28447CD2"/>
    <w:rsid w:val="2A07545B"/>
    <w:rsid w:val="2AA67AA4"/>
    <w:rsid w:val="2AA72B5A"/>
    <w:rsid w:val="2AA8279A"/>
    <w:rsid w:val="2ACE5F14"/>
    <w:rsid w:val="2B4C6898"/>
    <w:rsid w:val="2C081B10"/>
    <w:rsid w:val="2D4A0B6E"/>
    <w:rsid w:val="2F072B71"/>
    <w:rsid w:val="2F8530AA"/>
    <w:rsid w:val="32476D3D"/>
    <w:rsid w:val="33ED121E"/>
    <w:rsid w:val="3402116D"/>
    <w:rsid w:val="34030A42"/>
    <w:rsid w:val="34E010E6"/>
    <w:rsid w:val="358856A2"/>
    <w:rsid w:val="3699743B"/>
    <w:rsid w:val="38237904"/>
    <w:rsid w:val="3872263A"/>
    <w:rsid w:val="393375D7"/>
    <w:rsid w:val="39D84127"/>
    <w:rsid w:val="3A2B0CF2"/>
    <w:rsid w:val="3A865F28"/>
    <w:rsid w:val="3C1F6635"/>
    <w:rsid w:val="3D3D4FC4"/>
    <w:rsid w:val="3E5A6C85"/>
    <w:rsid w:val="3FB6105E"/>
    <w:rsid w:val="404E74E8"/>
    <w:rsid w:val="419D0727"/>
    <w:rsid w:val="41FF59D4"/>
    <w:rsid w:val="42660F2F"/>
    <w:rsid w:val="43572B58"/>
    <w:rsid w:val="45554E75"/>
    <w:rsid w:val="456A4DC4"/>
    <w:rsid w:val="469D4D26"/>
    <w:rsid w:val="46D01A4F"/>
    <w:rsid w:val="474973FF"/>
    <w:rsid w:val="483D40CA"/>
    <w:rsid w:val="4B86222C"/>
    <w:rsid w:val="4BBC3BEF"/>
    <w:rsid w:val="4CC72AFC"/>
    <w:rsid w:val="4E10402F"/>
    <w:rsid w:val="519E1D35"/>
    <w:rsid w:val="55855303"/>
    <w:rsid w:val="567E1F8B"/>
    <w:rsid w:val="56CE6835"/>
    <w:rsid w:val="56E7105D"/>
    <w:rsid w:val="57F873A0"/>
    <w:rsid w:val="5B5558DD"/>
    <w:rsid w:val="5EFA28BD"/>
    <w:rsid w:val="5F625217"/>
    <w:rsid w:val="5FB94CDF"/>
    <w:rsid w:val="61F061FA"/>
    <w:rsid w:val="62724E61"/>
    <w:rsid w:val="63514A76"/>
    <w:rsid w:val="647F6552"/>
    <w:rsid w:val="64BB489D"/>
    <w:rsid w:val="65921CF6"/>
    <w:rsid w:val="65B732B6"/>
    <w:rsid w:val="65DB5214"/>
    <w:rsid w:val="66A82BFF"/>
    <w:rsid w:val="66D841F4"/>
    <w:rsid w:val="67AE693B"/>
    <w:rsid w:val="67F105D6"/>
    <w:rsid w:val="69F65D89"/>
    <w:rsid w:val="6AAD2EDA"/>
    <w:rsid w:val="6C715A72"/>
    <w:rsid w:val="6D0B08CD"/>
    <w:rsid w:val="6EEF1D13"/>
    <w:rsid w:val="709753BD"/>
    <w:rsid w:val="71BD526D"/>
    <w:rsid w:val="72AE7D36"/>
    <w:rsid w:val="73C546A0"/>
    <w:rsid w:val="746F63D8"/>
    <w:rsid w:val="747B790C"/>
    <w:rsid w:val="75A37A3E"/>
    <w:rsid w:val="75E31EA6"/>
    <w:rsid w:val="768A2321"/>
    <w:rsid w:val="76D0242A"/>
    <w:rsid w:val="791401EC"/>
    <w:rsid w:val="792702FB"/>
    <w:rsid w:val="79936A94"/>
    <w:rsid w:val="7B6C0247"/>
    <w:rsid w:val="7EE527EB"/>
    <w:rsid w:val="7F5636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2"/>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3"/>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Calibri" w:hAnsi="Calibri" w:eastAsia="宋体" w:cs="Times New Roman"/>
      <w:kern w:val="2"/>
      <w:sz w:val="21"/>
      <w:szCs w:val="24"/>
    </w:rPr>
  </w:style>
  <w:style w:type="character" w:customStyle="1" w:styleId="12">
    <w:name w:val="批注框文本 字符"/>
    <w:basedOn w:val="9"/>
    <w:link w:val="4"/>
    <w:qFormat/>
    <w:uiPriority w:val="0"/>
    <w:rPr>
      <w:rFonts w:ascii="Calibri" w:hAnsi="Calibri" w:eastAsia="宋体" w:cs="Times New Roman"/>
      <w:kern w:val="2"/>
      <w:sz w:val="18"/>
      <w:szCs w:val="18"/>
    </w:rPr>
  </w:style>
  <w:style w:type="character" w:customStyle="1" w:styleId="13">
    <w:name w:val="批注主题 字符"/>
    <w:basedOn w:val="11"/>
    <w:link w:val="6"/>
    <w:qFormat/>
    <w:uiPriority w:val="0"/>
    <w:rPr>
      <w:rFonts w:ascii="Calibri" w:hAnsi="Calibri"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371</c:v>
                </c:pt>
                <c:pt idx="1">
                  <c:v>358.96</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371</c:v>
                </c:pt>
                <c:pt idx="1">
                  <c:v>358.96</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rgbClr val="5B9BD5"/>
              </a:solidFill>
              <a:ln w="19050">
                <a:solidFill>
                  <a:sysClr val="window" lastClr="FFFFFF"/>
                </a:solidFill>
              </a:ln>
              <a:effectLst/>
            </c:spPr>
          </c:dPt>
          <c:dPt>
            <c:idx val="1"/>
            <c:invertIfNegative val="0"/>
            <c:bubble3D val="0"/>
            <c:spPr>
              <a:solidFill>
                <a:srgbClr val="ED7D31"/>
              </a:solidFill>
              <a:ln w="19050">
                <a:solidFill>
                  <a:sysClr val="window" lastClr="FFFFFF"/>
                </a:solidFill>
              </a:ln>
              <a:effectLst/>
            </c:spPr>
          </c:dPt>
          <c:dPt>
            <c:idx val="2"/>
            <c:invertIfNegative val="0"/>
            <c:bubble3D val="0"/>
            <c:spPr>
              <a:solidFill>
                <a:srgbClr val="A5A5A5"/>
              </a:solidFill>
              <a:ln w="19050">
                <a:solidFill>
                  <a:sysClr val="window" lastClr="FFFFFF"/>
                </a:solidFill>
              </a:ln>
              <a:effectLst/>
            </c:spPr>
          </c:dPt>
          <c:dPt>
            <c:idx val="3"/>
            <c:invertIfNegative val="0"/>
            <c:bubble3D val="0"/>
            <c:spPr>
              <a:solidFill>
                <a:srgbClr val="FFC000"/>
              </a:solidFill>
              <a:ln w="19050">
                <a:solidFill>
                  <a:sysClr val="window" lastClr="FFFFFF"/>
                </a:solidFill>
              </a:ln>
              <a:effectLst/>
            </c:spPr>
          </c:dPt>
          <c:dPt>
            <c:idx val="4"/>
            <c:invertIfNegative val="0"/>
            <c:bubble3D val="0"/>
            <c:spPr>
              <a:solidFill>
                <a:srgbClr val="4472C4"/>
              </a:solidFill>
              <a:ln w="19050">
                <a:solidFill>
                  <a:sysClr val="window" lastClr="FFFFFF"/>
                </a:solidFill>
              </a:ln>
              <a:effectLst/>
            </c:spPr>
          </c:dPt>
          <c:dPt>
            <c:idx val="5"/>
            <c:invertIfNegative val="0"/>
            <c:bubble3D val="0"/>
            <c:spPr>
              <a:solidFill>
                <a:srgbClr val="70AD47"/>
              </a:solidFill>
              <a:ln w="19050">
                <a:solidFill>
                  <a:sysClr val="window" lastClr="FFFFFF"/>
                </a:solidFill>
              </a:ln>
              <a:effectLst/>
            </c:spPr>
          </c:dPt>
          <c:dPt>
            <c:idx val="6"/>
            <c:invertIfNegative val="0"/>
            <c:bubble3D val="0"/>
            <c:spPr>
              <a:solidFill>
                <a:srgbClr val="5B9BD5">
                  <a:lumMod val="60000"/>
                </a:srgbClr>
              </a:solidFill>
              <a:ln w="19050">
                <a:solidFill>
                  <a:sysClr val="window" lastClr="FFFFFF"/>
                </a:solidFill>
              </a:ln>
              <a:effectLst/>
            </c:spPr>
          </c:dPt>
          <c:dPt>
            <c:idx val="7"/>
            <c:invertIfNegative val="0"/>
            <c:bubble3D val="0"/>
            <c:spPr>
              <a:solidFill>
                <a:srgbClr val="ED7D31">
                  <a:lumMod val="60000"/>
                </a:srgbClr>
              </a:solidFill>
              <a:ln w="19050">
                <a:solidFill>
                  <a:sysClr val="window" lastClr="FFFFFF"/>
                </a:solidFill>
              </a:ln>
              <a:effectLst/>
            </c:spPr>
          </c:dPt>
          <c:dPt>
            <c:idx val="8"/>
            <c:invertIfNegative val="0"/>
            <c:bubble3D val="0"/>
            <c:spPr>
              <a:solidFill>
                <a:srgbClr val="A5A5A5">
                  <a:lumMod val="60000"/>
                </a:srgbClr>
              </a:solidFill>
              <a:ln w="19050">
                <a:solidFill>
                  <a:sysClr val="window" lastClr="FFFFFF"/>
                </a:solidFill>
              </a:ln>
              <a:effectLst/>
            </c:spPr>
          </c:dPt>
          <c:dPt>
            <c:idx val="9"/>
            <c:invertIfNegative val="0"/>
            <c:bubble3D val="0"/>
            <c:spPr>
              <a:solidFill>
                <a:srgbClr val="FFC000">
                  <a:lumMod val="60000"/>
                </a:srgbClr>
              </a:solidFill>
              <a:ln w="19050">
                <a:solidFill>
                  <a:sysClr val="window" lastClr="FFFFFF"/>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358.96</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210.73</c:v>
                </c:pt>
                <c:pt idx="1">
                  <c:v>148.23</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371</c:v>
                </c:pt>
                <c:pt idx="1">
                  <c:v>358.96</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371</c:v>
                </c:pt>
                <c:pt idx="1">
                  <c:v>358.96</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defTabSz="914400">
              <a:defRPr lang="zh-CN" sz="1400" b="1" i="0" u="none" strike="noStrike" kern="1200" spc="0" baseline="0">
                <a:solidFill>
                  <a:sysClr val="windowText" lastClr="000000">
                    <a:lumMod val="65000"/>
                    <a:lumOff val="35000"/>
                  </a:sys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210.73</c:v>
                </c:pt>
                <c:pt idx="1">
                  <c:v>148.23</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186.71</c:v>
                </c:pt>
                <c:pt idx="1">
                  <c:v>24.02</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0" i="0" u="none" strike="noStrike" kern="1200" spc="0" baseline="0">
                <a:solidFill>
                  <a:sysClr val="windowText" lastClr="000000">
                    <a:lumMod val="65000"/>
                    <a:lumOff val="35000"/>
                  </a:sys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2115583075335"/>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1.43</c:v>
                </c:pt>
                <c:pt idx="1">
                  <c:v>1.43</c:v>
                </c:pt>
              </c:numCache>
            </c:numRef>
          </c:val>
        </c:ser>
        <c:ser>
          <c:idx val="2"/>
          <c:order val="2"/>
          <c:tx>
            <c:strRef>
              <c:f>Sheet1!$D$1</c:f>
              <c:strCache>
                <c:ptCount val="1"/>
                <c:pt idx="0">
                  <c:v>公务用车购置及运行费</c:v>
                </c:pt>
              </c:strCache>
            </c:strRef>
          </c:tx>
          <c:spPr>
            <a:solidFill>
              <a:srgbClr val="A5A5A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12.61</c:v>
                </c:pt>
                <c:pt idx="1">
                  <c:v>12.61</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2541</Words>
  <Characters>2844</Characters>
  <Lines>20</Lines>
  <Paragraphs>5</Paragraphs>
  <TotalTime>0</TotalTime>
  <ScaleCrop>false</ScaleCrop>
  <LinksUpToDate>false</LinksUpToDate>
  <CharactersWithSpaces>2872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Administrator</cp:lastModifiedBy>
  <dcterms:modified xsi:type="dcterms:W3CDTF">2023-03-07T03:01:23Z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4EC545D752324EC7B51C1830C6704E49</vt:lpwstr>
  </property>
</Properties>
</file>