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年淮滨县</w:t>
      </w:r>
      <w:r>
        <w:rPr>
          <w:rFonts w:hint="eastAsia" w:ascii="黑体" w:hAnsi="黑体" w:eastAsia="黑体" w:cs="黑体"/>
          <w:b/>
          <w:bCs/>
          <w:sz w:val="44"/>
          <w:szCs w:val="44"/>
          <w:lang w:val="en-US" w:eastAsia="zh-CN"/>
        </w:rPr>
        <w:t>生态农业发展服务中心</w:t>
      </w:r>
      <w:r>
        <w:rPr>
          <w:rFonts w:hint="eastAsia" w:ascii="黑体" w:hAnsi="黑体" w:eastAsia="黑体" w:cs="黑体"/>
          <w:b/>
          <w:bCs/>
          <w:sz w:val="44"/>
          <w:szCs w:val="44"/>
        </w:rPr>
        <w:t>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w:t>
      </w:r>
      <w:r>
        <w:rPr>
          <w:rFonts w:hint="eastAsia" w:ascii="黑体" w:hAnsi="黑体" w:eastAsia="黑体" w:cs="黑体"/>
          <w:spacing w:val="-7"/>
          <w:sz w:val="32"/>
          <w:szCs w:val="32"/>
          <w:lang w:eastAsia="zh-CN"/>
        </w:rPr>
        <w:t>淮滨县生态农业发展服务中心</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20" w:firstLineChars="100"/>
        <w:rPr>
          <w:rFonts w:hint="eastAsia" w:ascii="仿宋" w:hAnsi="仿宋" w:eastAsia="仿宋"/>
          <w:sz w:val="32"/>
          <w:szCs w:val="32"/>
        </w:rPr>
      </w:pPr>
      <w:r>
        <w:rPr>
          <w:rFonts w:hint="eastAsia" w:ascii="仿宋" w:hAnsi="仿宋" w:eastAsia="仿宋"/>
          <w:sz w:val="32"/>
          <w:szCs w:val="32"/>
        </w:rPr>
        <w:t>二、</w:t>
      </w:r>
      <w:r>
        <w:rPr>
          <w:rFonts w:hint="eastAsia" w:ascii="黑体" w:hAnsi="黑体" w:eastAsia="黑体" w:cs="黑体"/>
          <w:sz w:val="32"/>
          <w:szCs w:val="32"/>
        </w:rPr>
        <w:t>内设机构设置情况</w:t>
      </w:r>
    </w:p>
    <w:p>
      <w:pPr>
        <w:kinsoku w:val="0"/>
        <w:overflowPunct w:val="0"/>
        <w:autoSpaceDE w:val="0"/>
        <w:autoSpaceDN w:val="0"/>
        <w:adjustRightInd w:val="0"/>
        <w:spacing w:line="560" w:lineRule="exact"/>
        <w:ind w:firstLine="320" w:firstLineChars="100"/>
        <w:rPr>
          <w:rFonts w:hint="eastAsia" w:ascii="仿宋" w:hAnsi="仿宋" w:eastAsia="仿宋"/>
          <w:sz w:val="32"/>
          <w:szCs w:val="32"/>
          <w:lang w:eastAsia="zh-CN"/>
        </w:rPr>
      </w:pPr>
      <w:r>
        <w:rPr>
          <w:rFonts w:hint="eastAsia" w:ascii="仿宋" w:hAnsi="仿宋" w:eastAsia="仿宋"/>
          <w:sz w:val="32"/>
          <w:szCs w:val="32"/>
          <w:lang w:eastAsia="zh-CN"/>
        </w:rPr>
        <w:t>三、</w:t>
      </w:r>
      <w:r>
        <w:rPr>
          <w:rFonts w:hint="eastAsia" w:ascii="黑体" w:hAnsi="黑体" w:eastAsia="黑体" w:cs="黑体"/>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w:t>
      </w:r>
      <w:r>
        <w:rPr>
          <w:rFonts w:hint="eastAsia" w:ascii="黑体" w:hAnsi="黑体" w:eastAsia="黑体" w:cs="Times New Roman"/>
          <w:spacing w:val="-5"/>
          <w:sz w:val="32"/>
          <w:szCs w:val="32"/>
          <w:lang w:eastAsia="zh-CN"/>
        </w:rPr>
        <w:t>淮滨县生态农业发展服务中心</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lang w:eastAsia="zh-CN"/>
        </w:rPr>
        <w:t>2023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w:t>
      </w:r>
      <w:r>
        <w:rPr>
          <w:rFonts w:hint="eastAsia" w:ascii="黑体" w:hAnsi="黑体" w:eastAsia="黑体" w:cs="Times New Roman"/>
          <w:sz w:val="32"/>
          <w:szCs w:val="32"/>
          <w:lang w:eastAsia="zh-CN"/>
        </w:rPr>
        <w:t>淮滨县生态农业发展服务中心2023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hint="eastAsia" w:ascii="黑体" w:hAnsi="黑体" w:eastAsia="黑体" w:cs="黑体"/>
          <w:b/>
          <w:sz w:val="36"/>
          <w:szCs w:val="36"/>
          <w:lang w:eastAsia="zh-CN"/>
        </w:rPr>
        <w:t>淮滨县生态农业发展服务中心</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3" w:firstLineChars="200"/>
        <w:jc w:val="left"/>
        <w:rPr>
          <w:rFonts w:hint="default" w:ascii="黑体" w:hAnsi="黑体" w:eastAsia="黑体" w:cs="黑体"/>
          <w:b/>
          <w:bCs w:val="0"/>
          <w:szCs w:val="32"/>
        </w:rPr>
      </w:pPr>
      <w:r>
        <w:rPr>
          <w:rFonts w:hint="eastAsia" w:ascii="黑体" w:hAnsi="黑体" w:eastAsia="黑体" w:cs="黑体"/>
          <w:b/>
          <w:bCs w:val="0"/>
          <w:szCs w:val="32"/>
          <w:lang w:eastAsia="zh-CN"/>
        </w:rPr>
        <w:t>淮滨县生态农业发展服务中心</w:t>
      </w:r>
      <w:r>
        <w:rPr>
          <w:rFonts w:ascii="黑体" w:hAnsi="黑体" w:eastAsia="黑体" w:cs="黑体"/>
          <w:b/>
          <w:bCs w:val="0"/>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lang w:eastAsia="zh-CN"/>
        </w:rPr>
        <w:t>淮滨县生态农业发展服务中心</w:t>
      </w:r>
      <w:r>
        <w:rPr>
          <w:rFonts w:ascii="仿宋_GB2312" w:hAnsi="仿宋_GB2312" w:eastAsia="仿宋_GB2312" w:cs="仿宋_GB2312"/>
          <w:bCs/>
          <w:szCs w:val="32"/>
        </w:rPr>
        <w:t>主要职责是：</w:t>
      </w:r>
    </w:p>
    <w:p>
      <w:pPr>
        <w:pStyle w:val="3"/>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（一）承担拟订全县生态农业中长期发展规划及组织实施的技术支撑和服务保障工作。</w:t>
      </w:r>
    </w:p>
    <w:p>
      <w:pPr>
        <w:pStyle w:val="3"/>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（二）承担蔬菜基地、蔬菜集约化育苗建设及管理的技术支撑工作。参与拟订无公害、绿色、有机等蔬菜生产标准，指导全县蔬菜生产。指导蔬菜种植设施升级换代和自动化改造。承担蔬菜品牌建设工作。</w:t>
      </w:r>
    </w:p>
    <w:p>
      <w:pPr>
        <w:pStyle w:val="3"/>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（三）承担蔬菜科技攻关、科技成果管理、科技队伍教育管理培训等工作。承担蔬菜、设施蔬菜、食用菌新品种、新技术、新模式的引进、试验、示范、推广工作。</w:t>
      </w:r>
    </w:p>
    <w:p>
      <w:pPr>
        <w:pStyle w:val="3"/>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（四）承担全县蔬菜生产科研资金、重点项目建设资金管理的服务保障工作。承担实施温室大棚等政策性蔬菜保险工作的服务保障。</w:t>
      </w:r>
    </w:p>
    <w:p>
      <w:pPr>
        <w:pStyle w:val="3"/>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（五）指导蔬菜产业融合发展，发展蔬菜精深加工及蔬菜休闲观光采摘等。</w:t>
      </w:r>
    </w:p>
    <w:p>
      <w:pPr>
        <w:pStyle w:val="3"/>
        <w:tabs>
          <w:tab w:val="left" w:pos="880"/>
        </w:tabs>
        <w:kinsoku w:val="0"/>
        <w:overflowPunct w:val="0"/>
        <w:spacing w:before="0"/>
        <w:ind w:left="420" w:leftChars="200" w:firstLine="320" w:firstLineChars="100"/>
        <w:jc w:val="left"/>
        <w:rPr>
          <w:rFonts w:hint="eastAsia"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（六）承担本行业领域安全生产技术支撑和服务保障工作。</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lang w:val="en-US" w:eastAsia="zh-CN"/>
        </w:rPr>
      </w:pPr>
      <w:r>
        <w:rPr>
          <w:rFonts w:hint="eastAsia" w:ascii="仿宋_GB2312" w:hAnsi="仿宋_GB2312" w:eastAsia="仿宋_GB2312" w:cs="仿宋_GB2312"/>
          <w:bCs/>
          <w:szCs w:val="32"/>
          <w:lang w:val="en-US" w:eastAsia="zh-CN"/>
        </w:rPr>
        <w:t>（七）承办县委、县政府交办的其他工作。</w:t>
      </w:r>
    </w:p>
    <w:p>
      <w:pPr>
        <w:pStyle w:val="3"/>
        <w:numPr>
          <w:ilvl w:val="0"/>
          <w:numId w:val="3"/>
        </w:numPr>
        <w:tabs>
          <w:tab w:val="left" w:pos="880"/>
        </w:tabs>
        <w:kinsoku w:val="0"/>
        <w:overflowPunct w:val="0"/>
        <w:spacing w:before="0"/>
        <w:ind w:firstLine="643" w:firstLineChars="200"/>
        <w:jc w:val="left"/>
        <w:rPr>
          <w:rFonts w:hint="default" w:ascii="黑体" w:hAnsi="黑体" w:eastAsia="黑体" w:cs="黑体"/>
          <w:b/>
          <w:bCs w:val="0"/>
          <w:szCs w:val="32"/>
        </w:rPr>
      </w:pPr>
      <w:r>
        <w:rPr>
          <w:rFonts w:hint="eastAsia" w:ascii="黑体" w:hAnsi="黑体" w:eastAsia="黑体" w:cs="黑体"/>
          <w:b/>
          <w:bCs w:val="0"/>
          <w:szCs w:val="32"/>
          <w:lang w:eastAsia="zh-CN"/>
        </w:rPr>
        <w:t>淮滨县生态农业发展服务内设机构设置情况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淮滨县生态农业发展服务中心为一级事业单位，现有</w:t>
      </w:r>
      <w:r>
        <w:rPr>
          <w:rFonts w:hint="eastAsia" w:ascii="仿宋_GB2312" w:hAnsi="仿宋_GB2312" w:eastAsia="仿宋_GB2312" w:cs="仿宋_GB2312"/>
          <w:bCs/>
          <w:sz w:val="32"/>
          <w:szCs w:val="32"/>
        </w:rPr>
        <w:t>：办公室、</w:t>
      </w:r>
      <w:r>
        <w:rPr>
          <w:rFonts w:hint="eastAsia" w:ascii="仿宋_GB2312" w:hAnsi="仿宋_GB2312" w:eastAsia="仿宋_GB2312" w:cs="仿宋_GB2312"/>
          <w:bCs/>
          <w:sz w:val="32"/>
          <w:szCs w:val="32"/>
          <w:lang w:eastAsia="zh-CN"/>
        </w:rPr>
        <w:t>财务</w:t>
      </w:r>
      <w:r>
        <w:rPr>
          <w:rFonts w:hint="eastAsia" w:ascii="仿宋_GB2312" w:hAnsi="仿宋_GB2312" w:eastAsia="仿宋_GB2312" w:cs="仿宋_GB2312"/>
          <w:bCs/>
          <w:sz w:val="32"/>
          <w:szCs w:val="32"/>
        </w:rPr>
        <w:t>室等</w:t>
      </w:r>
      <w:r>
        <w:rPr>
          <w:rFonts w:hint="eastAsia" w:ascii="仿宋_GB2312" w:hAnsi="仿宋_GB2312" w:eastAsia="仿宋_GB2312" w:cs="仿宋_GB2312"/>
          <w:bCs/>
          <w:sz w:val="32"/>
          <w:szCs w:val="32"/>
          <w:lang w:eastAsia="zh-CN"/>
        </w:rPr>
        <w:t>科</w:t>
      </w:r>
      <w:r>
        <w:rPr>
          <w:rFonts w:hint="eastAsia" w:ascii="仿宋_GB2312" w:hAnsi="仿宋_GB2312" w:eastAsia="仿宋_GB2312" w:cs="仿宋_GB2312"/>
          <w:bCs/>
          <w:sz w:val="32"/>
          <w:szCs w:val="32"/>
        </w:rPr>
        <w:t>室的预算。</w:t>
      </w:r>
    </w:p>
    <w:p>
      <w:pPr>
        <w:ind w:firstLine="640" w:firstLineChars="200"/>
        <w:jc w:val="left"/>
        <w:rPr>
          <w:rFonts w:ascii="仿宋_GB2312" w:hAnsi="仿宋_GB2312" w:eastAsia="仿宋_GB2312" w:cs="仿宋_GB2312"/>
          <w:bCs/>
          <w:sz w:val="32"/>
          <w:szCs w:val="32"/>
        </w:rPr>
      </w:pPr>
    </w:p>
    <w:p>
      <w:pPr>
        <w:pStyle w:val="3"/>
        <w:numPr>
          <w:ilvl w:val="0"/>
          <w:numId w:val="3"/>
        </w:numPr>
        <w:tabs>
          <w:tab w:val="left" w:pos="880"/>
        </w:tabs>
        <w:kinsoku w:val="0"/>
        <w:overflowPunct w:val="0"/>
        <w:spacing w:before="0"/>
        <w:ind w:firstLine="643" w:firstLineChars="200"/>
        <w:jc w:val="left"/>
        <w:rPr>
          <w:rFonts w:hint="default" w:ascii="黑体" w:hAnsi="黑体" w:eastAsia="黑体" w:cs="黑体"/>
          <w:b/>
          <w:bCs w:val="0"/>
          <w:szCs w:val="32"/>
        </w:rPr>
      </w:pPr>
      <w:r>
        <w:rPr>
          <w:rFonts w:hint="eastAsia" w:ascii="黑体" w:hAnsi="黑体" w:eastAsia="黑体" w:cs="黑体"/>
          <w:b/>
          <w:bCs w:val="0"/>
          <w:szCs w:val="32"/>
          <w:lang w:eastAsia="zh-CN"/>
        </w:rPr>
        <w:t>淮滨县生态农业发展服务中心</w:t>
      </w:r>
      <w:r>
        <w:rPr>
          <w:rFonts w:ascii="黑体" w:hAnsi="黑体" w:eastAsia="黑体" w:cs="黑体"/>
          <w:b/>
          <w:bCs w:val="0"/>
          <w:szCs w:val="32"/>
        </w:rPr>
        <w:t>构成情况</w:t>
      </w:r>
    </w:p>
    <w:p>
      <w:pPr>
        <w:ind w:firstLine="640" w:firstLineChars="200"/>
        <w:jc w:val="left"/>
        <w:rPr>
          <w:rFonts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淮滨县生态农业发展服务中心2023</w:t>
      </w:r>
      <w:r>
        <w:rPr>
          <w:rFonts w:hint="eastAsia" w:ascii="仿宋_GB2312" w:hAnsi="仿宋_GB2312" w:eastAsia="仿宋_GB2312" w:cs="仿宋_GB2312"/>
          <w:bCs/>
          <w:sz w:val="32"/>
          <w:szCs w:val="32"/>
        </w:rPr>
        <w:t>年部门预算</w:t>
      </w:r>
      <w:r>
        <w:rPr>
          <w:rFonts w:hint="eastAsia" w:ascii="仿宋_GB2312" w:hAnsi="仿宋_GB2312" w:eastAsia="仿宋_GB2312" w:cs="仿宋_GB2312"/>
          <w:bCs/>
          <w:sz w:val="32"/>
          <w:szCs w:val="32"/>
          <w:lang w:eastAsia="zh-CN"/>
        </w:rPr>
        <w:t>包</w:t>
      </w:r>
      <w:r>
        <w:rPr>
          <w:rFonts w:hint="eastAsia" w:cs="仿宋"/>
          <w:b w:val="0"/>
          <w:bCs/>
          <w:sz w:val="32"/>
          <w:szCs w:val="32"/>
          <w:lang w:val="en-US" w:eastAsia="zh-CN"/>
        </w:rPr>
        <w:t>括</w:t>
      </w:r>
      <w:r>
        <w:rPr>
          <w:rFonts w:hint="eastAsia" w:ascii="仿宋_GB2312" w:hAnsi="仿宋_GB2312" w:eastAsia="仿宋_GB2312" w:cs="仿宋_GB2312"/>
          <w:bCs/>
          <w:sz w:val="32"/>
          <w:szCs w:val="32"/>
        </w:rPr>
        <w:t>本级预算</w:t>
      </w:r>
      <w:r>
        <w:rPr>
          <w:rFonts w:hint="eastAsia"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rPr>
        <w:t>本单位无所属二级机构预算。</w:t>
      </w:r>
    </w:p>
    <w:p>
      <w:pPr>
        <w:ind w:firstLine="640" w:firstLineChars="200"/>
        <w:jc w:val="left"/>
        <w:rPr>
          <w:rFonts w:hint="eastAsia" w:ascii="仿宋_GB2312" w:hAnsi="仿宋_GB2312" w:eastAsia="仿宋_GB2312" w:cs="仿宋_GB2312"/>
          <w:bCs/>
          <w:sz w:val="32"/>
          <w:szCs w:val="32"/>
          <w:lang w:eastAsia="zh-CN"/>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lang w:eastAsia="zh-CN"/>
        </w:rPr>
        <w:t>淮滨县生态农业发展服务中心2023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default" w:ascii="仿宋" w:hAnsi="仿宋" w:eastAsia="仿宋" w:cs="仿宋"/>
          <w:sz w:val="32"/>
          <w:szCs w:val="32"/>
          <w:lang w:val="en-US"/>
        </w:rPr>
      </w:pPr>
      <w:r>
        <w:rPr>
          <w:rFonts w:hint="eastAsia" w:ascii="仿宋" w:hAnsi="仿宋" w:eastAsia="仿宋" w:cs="仿宋"/>
          <w:sz w:val="32"/>
          <w:szCs w:val="32"/>
          <w:lang w:eastAsia="zh-CN"/>
        </w:rPr>
        <w:t>淮滨县生态农业发展服务中心2023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51.89</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51.89</w:t>
      </w:r>
      <w:r>
        <w:rPr>
          <w:rFonts w:hint="eastAsia" w:ascii="仿宋" w:hAnsi="仿宋" w:eastAsia="仿宋" w:cs="仿宋"/>
          <w:sz w:val="32"/>
          <w:szCs w:val="32"/>
        </w:rPr>
        <w:t>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w:t>
      </w:r>
      <w:r>
        <w:rPr>
          <w:rFonts w:hint="eastAsia" w:ascii="仿宋" w:hAnsi="仿宋" w:eastAsia="仿宋" w:cs="仿宋"/>
          <w:sz w:val="32"/>
          <w:szCs w:val="32"/>
          <w:lang w:val="en-US" w:eastAsia="zh-CN"/>
        </w:rPr>
        <w:t>增加0</w:t>
      </w:r>
      <w:r>
        <w:rPr>
          <w:rFonts w:hint="eastAsia" w:ascii="仿宋" w:hAnsi="仿宋" w:eastAsia="仿宋" w:cs="仿宋"/>
          <w:sz w:val="32"/>
          <w:szCs w:val="32"/>
        </w:rPr>
        <w:t>万元，</w:t>
      </w:r>
      <w:r>
        <w:rPr>
          <w:rFonts w:hint="eastAsia" w:ascii="仿宋" w:hAnsi="仿宋" w:eastAsia="仿宋" w:cs="仿宋"/>
          <w:sz w:val="32"/>
          <w:szCs w:val="32"/>
          <w:lang w:val="en-US" w:eastAsia="zh-CN"/>
        </w:rPr>
        <w:t>增加了0</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本单位为新增单位。</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淮滨县生态农业发展服务中心2023</w:t>
      </w:r>
      <w:r>
        <w:rPr>
          <w:rFonts w:hint="eastAsia" w:ascii="仿宋" w:hAnsi="仿宋" w:eastAsia="仿宋" w:cs="仿宋"/>
          <w:sz w:val="32"/>
        </w:rPr>
        <w:t>年收入合计</w:t>
      </w:r>
      <w:r>
        <w:rPr>
          <w:rFonts w:hint="eastAsia" w:ascii="仿宋" w:hAnsi="仿宋" w:eastAsia="仿宋" w:cs="仿宋"/>
          <w:sz w:val="32"/>
          <w:szCs w:val="32"/>
          <w:lang w:val="en-US" w:eastAsia="zh-CN"/>
        </w:rPr>
        <w:t>51.59</w:t>
      </w:r>
      <w:r>
        <w:rPr>
          <w:rFonts w:hint="eastAsia" w:ascii="仿宋" w:hAnsi="仿宋" w:eastAsia="仿宋" w:cs="仿宋"/>
          <w:sz w:val="32"/>
        </w:rPr>
        <w:t>万元，其中：一般公共预算收入</w:t>
      </w:r>
      <w:r>
        <w:rPr>
          <w:rFonts w:hint="eastAsia" w:ascii="仿宋" w:hAnsi="仿宋" w:eastAsia="仿宋" w:cs="仿宋"/>
          <w:sz w:val="32"/>
          <w:szCs w:val="32"/>
          <w:lang w:val="en-US" w:eastAsia="zh-CN"/>
        </w:rPr>
        <w:t>51.89</w:t>
      </w:r>
      <w:r>
        <w:rPr>
          <w:rFonts w:hint="eastAsia" w:ascii="仿宋" w:hAnsi="仿宋" w:eastAsia="仿宋" w:cs="仿宋"/>
          <w:sz w:val="32"/>
        </w:rPr>
        <w:t>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4445" t="4445" r="8255" b="1587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淮滨县生态农业发展服务中心2023</w:t>
      </w:r>
      <w:r>
        <w:rPr>
          <w:rFonts w:hint="eastAsia" w:ascii="仿宋" w:hAnsi="仿宋" w:eastAsia="仿宋" w:cs="仿宋"/>
          <w:sz w:val="32"/>
        </w:rPr>
        <w:t>年支出合计</w:t>
      </w:r>
      <w:r>
        <w:rPr>
          <w:rFonts w:hint="eastAsia" w:ascii="仿宋" w:hAnsi="仿宋" w:eastAsia="仿宋" w:cs="仿宋"/>
          <w:sz w:val="32"/>
          <w:lang w:val="en-US" w:eastAsia="zh-CN"/>
        </w:rPr>
        <w:t>51.89</w:t>
      </w:r>
      <w:r>
        <w:rPr>
          <w:rFonts w:hint="eastAsia" w:ascii="仿宋" w:hAnsi="仿宋" w:eastAsia="仿宋" w:cs="仿宋"/>
          <w:sz w:val="32"/>
        </w:rPr>
        <w:t>万元，其中：基本支出</w:t>
      </w:r>
      <w:r>
        <w:rPr>
          <w:rFonts w:hint="eastAsia" w:ascii="仿宋" w:hAnsi="仿宋" w:eastAsia="仿宋" w:cs="仿宋"/>
          <w:sz w:val="32"/>
          <w:lang w:val="en-US" w:eastAsia="zh-CN"/>
        </w:rPr>
        <w:t>23.89</w:t>
      </w:r>
      <w:r>
        <w:rPr>
          <w:rFonts w:hint="eastAsia" w:ascii="仿宋" w:hAnsi="仿宋" w:eastAsia="仿宋" w:cs="仿宋"/>
          <w:sz w:val="32"/>
        </w:rPr>
        <w:t>万元，占</w:t>
      </w:r>
      <w:r>
        <w:rPr>
          <w:rFonts w:hint="eastAsia" w:ascii="仿宋" w:hAnsi="仿宋" w:eastAsia="仿宋" w:cs="仿宋"/>
          <w:sz w:val="32"/>
          <w:lang w:val="en-US" w:eastAsia="zh-CN"/>
        </w:rPr>
        <w:t>46</w:t>
      </w:r>
      <w:r>
        <w:rPr>
          <w:rFonts w:hint="eastAsia" w:ascii="仿宋" w:hAnsi="仿宋" w:eastAsia="仿宋" w:cs="仿宋"/>
          <w:sz w:val="32"/>
        </w:rPr>
        <w:t>%；项目支出</w:t>
      </w:r>
      <w:r>
        <w:rPr>
          <w:rFonts w:hint="eastAsia" w:ascii="仿宋" w:hAnsi="仿宋" w:eastAsia="仿宋" w:cs="仿宋"/>
          <w:sz w:val="32"/>
          <w:lang w:val="en-US" w:eastAsia="zh-CN"/>
        </w:rPr>
        <w:t>28</w:t>
      </w:r>
      <w:r>
        <w:rPr>
          <w:rFonts w:hint="eastAsia" w:ascii="仿宋" w:hAnsi="仿宋" w:eastAsia="仿宋" w:cs="仿宋"/>
          <w:sz w:val="32"/>
        </w:rPr>
        <w:t>万元，占</w:t>
      </w:r>
      <w:r>
        <w:rPr>
          <w:rFonts w:hint="eastAsia" w:ascii="仿宋" w:hAnsi="仿宋" w:eastAsia="仿宋" w:cs="仿宋"/>
          <w:sz w:val="32"/>
          <w:lang w:val="en-US" w:eastAsia="zh-CN"/>
        </w:rPr>
        <w:t>54</w:t>
      </w:r>
      <w:r>
        <w:rPr>
          <w:rFonts w:hint="eastAsia" w:ascii="仿宋" w:hAnsi="仿宋" w:eastAsia="仿宋" w:cs="仿宋"/>
          <w:sz w:val="32"/>
        </w:rPr>
        <w:t>%。</w:t>
      </w:r>
    </w:p>
    <w:p>
      <w:pPr>
        <w:jc w:val="left"/>
        <w:rPr>
          <w:rFonts w:hint="eastAsia"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jc w:val="left"/>
        <w:rPr>
          <w:rFonts w:hint="eastAsia" w:ascii="仿宋" w:hAnsi="仿宋" w:eastAsia="仿宋" w:cs="仿宋"/>
          <w:sz w:val="32"/>
        </w:rPr>
      </w:pPr>
    </w:p>
    <w:p>
      <w:pPr>
        <w:jc w:val="left"/>
        <w:rPr>
          <w:rFonts w:hint="eastAsia" w:ascii="仿宋" w:hAnsi="仿宋" w:eastAsia="仿宋" w:cs="仿宋"/>
          <w:sz w:val="32"/>
        </w:rPr>
      </w:pP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淮滨县生态农业发展服务中心2023</w:t>
      </w:r>
      <w:r>
        <w:rPr>
          <w:rFonts w:hint="eastAsia" w:ascii="仿宋" w:hAnsi="仿宋" w:eastAsia="仿宋" w:cs="仿宋"/>
          <w:sz w:val="32"/>
        </w:rPr>
        <w:t>年一般公共预算收支预算</w:t>
      </w:r>
      <w:r>
        <w:rPr>
          <w:rFonts w:hint="eastAsia" w:ascii="仿宋" w:hAnsi="仿宋" w:eastAsia="仿宋" w:cs="仿宋"/>
          <w:sz w:val="32"/>
          <w:lang w:val="en-US" w:eastAsia="zh-CN"/>
        </w:rPr>
        <w:t>51.89</w:t>
      </w:r>
      <w:r>
        <w:rPr>
          <w:rFonts w:hint="eastAsia" w:ascii="仿宋" w:hAnsi="仿宋" w:eastAsia="仿宋" w:cs="仿宋"/>
          <w:sz w:val="32"/>
        </w:rPr>
        <w:t>万元，无政府性基金预算和国有资本经营预算。与</w:t>
      </w:r>
      <w:r>
        <w:rPr>
          <w:rFonts w:hint="eastAsia" w:ascii="仿宋" w:hAnsi="仿宋" w:eastAsia="仿宋" w:cs="仿宋"/>
          <w:sz w:val="32"/>
          <w:lang w:eastAsia="zh-CN"/>
        </w:rPr>
        <w:t>2022</w:t>
      </w:r>
      <w:r>
        <w:rPr>
          <w:rFonts w:hint="eastAsia" w:ascii="仿宋" w:hAnsi="仿宋" w:eastAsia="仿宋" w:cs="仿宋"/>
          <w:sz w:val="32"/>
        </w:rPr>
        <w:t>年相比，一般公共预算收支预算</w:t>
      </w:r>
      <w:r>
        <w:rPr>
          <w:rFonts w:hint="eastAsia" w:ascii="仿宋" w:hAnsi="仿宋" w:eastAsia="仿宋" w:cs="仿宋"/>
          <w:sz w:val="32"/>
          <w:szCs w:val="32"/>
          <w:lang w:val="en-US" w:eastAsia="zh-CN"/>
        </w:rPr>
        <w:t>增加0</w:t>
      </w:r>
      <w:r>
        <w:rPr>
          <w:rFonts w:hint="eastAsia" w:ascii="仿宋" w:hAnsi="仿宋" w:eastAsia="仿宋" w:cs="仿宋"/>
          <w:sz w:val="32"/>
          <w:szCs w:val="32"/>
        </w:rPr>
        <w:t>万元，</w:t>
      </w:r>
      <w:r>
        <w:rPr>
          <w:rFonts w:hint="eastAsia" w:ascii="仿宋" w:hAnsi="仿宋" w:eastAsia="仿宋" w:cs="仿宋"/>
          <w:sz w:val="32"/>
          <w:szCs w:val="32"/>
          <w:lang w:val="en-US" w:eastAsia="zh-CN"/>
        </w:rPr>
        <w:t>增加了0</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本单位为新增单位。</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lang w:eastAsia="zh-CN"/>
        </w:rPr>
        <w:t>淮滨县生态农业发展服务中心2023</w:t>
      </w:r>
      <w:r>
        <w:rPr>
          <w:rFonts w:hint="eastAsia" w:ascii="仿宋" w:hAnsi="仿宋" w:eastAsia="仿宋" w:cs="仿宋"/>
          <w:sz w:val="32"/>
        </w:rPr>
        <w:t>年一般公共预算支出年初预算合计</w:t>
      </w:r>
      <w:r>
        <w:rPr>
          <w:rFonts w:hint="eastAsia" w:ascii="仿宋" w:hAnsi="仿宋" w:eastAsia="仿宋" w:cs="仿宋"/>
          <w:sz w:val="32"/>
          <w:lang w:val="en-US" w:eastAsia="zh-CN"/>
        </w:rPr>
        <w:t>51.89</w:t>
      </w:r>
      <w:r>
        <w:rPr>
          <w:rFonts w:hint="eastAsia" w:ascii="仿宋" w:hAnsi="仿宋" w:eastAsia="仿宋" w:cs="仿宋"/>
          <w:sz w:val="32"/>
        </w:rPr>
        <w:t>万元，其中：基本支出</w:t>
      </w:r>
      <w:r>
        <w:rPr>
          <w:rFonts w:hint="eastAsia" w:ascii="仿宋" w:hAnsi="仿宋" w:eastAsia="仿宋" w:cs="仿宋"/>
          <w:sz w:val="32"/>
          <w:lang w:val="en-US" w:eastAsia="zh-CN"/>
        </w:rPr>
        <w:t>23.89</w:t>
      </w:r>
      <w:r>
        <w:rPr>
          <w:rFonts w:hint="eastAsia" w:ascii="仿宋" w:hAnsi="仿宋" w:eastAsia="仿宋" w:cs="仿宋"/>
          <w:sz w:val="32"/>
        </w:rPr>
        <w:t>万元，占</w:t>
      </w:r>
      <w:r>
        <w:rPr>
          <w:rFonts w:hint="eastAsia" w:ascii="仿宋" w:hAnsi="仿宋" w:eastAsia="仿宋" w:cs="仿宋"/>
          <w:sz w:val="32"/>
          <w:lang w:val="en-US" w:eastAsia="zh-CN"/>
        </w:rPr>
        <w:t>46</w:t>
      </w:r>
      <w:r>
        <w:rPr>
          <w:rFonts w:hint="eastAsia" w:ascii="仿宋" w:hAnsi="仿宋" w:eastAsia="仿宋" w:cs="仿宋"/>
          <w:sz w:val="32"/>
        </w:rPr>
        <w:t>%；项目支出</w:t>
      </w:r>
      <w:r>
        <w:rPr>
          <w:rFonts w:hint="eastAsia" w:ascii="仿宋" w:hAnsi="仿宋" w:eastAsia="仿宋" w:cs="仿宋"/>
          <w:sz w:val="32"/>
          <w:lang w:val="en-US" w:eastAsia="zh-CN"/>
        </w:rPr>
        <w:t>28</w:t>
      </w:r>
      <w:r>
        <w:rPr>
          <w:rFonts w:hint="eastAsia" w:ascii="仿宋" w:hAnsi="仿宋" w:eastAsia="仿宋" w:cs="仿宋"/>
          <w:sz w:val="32"/>
        </w:rPr>
        <w:t>万元，占</w:t>
      </w:r>
      <w:r>
        <w:rPr>
          <w:rFonts w:hint="eastAsia" w:ascii="仿宋" w:hAnsi="仿宋" w:eastAsia="仿宋" w:cs="仿宋"/>
          <w:sz w:val="32"/>
          <w:lang w:val="en-US" w:eastAsia="zh-CN"/>
        </w:rPr>
        <w:t>54</w:t>
      </w:r>
      <w:r>
        <w:rPr>
          <w:rFonts w:hint="eastAsia" w:ascii="仿宋" w:hAnsi="仿宋" w:eastAsia="仿宋" w:cs="仿宋"/>
          <w:sz w:val="32"/>
        </w:rPr>
        <w:t>%。</w:t>
      </w:r>
    </w:p>
    <w:p>
      <w:pPr>
        <w:ind w:firstLine="640" w:firstLineChars="200"/>
        <w:jc w:val="left"/>
        <w:rPr>
          <w:rFonts w:ascii="仿宋" w:hAnsi="仿宋" w:eastAsia="仿宋" w:cs="仿宋"/>
          <w:sz w:val="32"/>
        </w:rPr>
      </w:pP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0" t="0" r="2540" b="9525"/>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lang w:eastAsia="zh-CN"/>
        </w:rPr>
        <w:t>淮滨县生态农业发展服务中心2023</w:t>
      </w:r>
      <w:r>
        <w:rPr>
          <w:rFonts w:hint="eastAsia" w:ascii="仿宋" w:hAnsi="仿宋" w:eastAsia="仿宋" w:cs="仿宋"/>
          <w:color w:val="000000"/>
          <w:sz w:val="32"/>
          <w:szCs w:val="32"/>
        </w:rPr>
        <w:t xml:space="preserve">年一般公共预算基本支出年初预算为 </w:t>
      </w:r>
      <w:r>
        <w:rPr>
          <w:rFonts w:hint="eastAsia" w:ascii="仿宋" w:hAnsi="仿宋" w:eastAsia="仿宋" w:cs="仿宋"/>
          <w:color w:val="000000"/>
          <w:sz w:val="32"/>
          <w:szCs w:val="32"/>
          <w:lang w:val="en-US" w:eastAsia="zh-CN"/>
        </w:rPr>
        <w:t>23.89</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22.91</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96</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0.98</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w:t>
      </w:r>
    </w:p>
    <w:p>
      <w:pPr>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pPr>
        <w:jc w:val="left"/>
        <w:rPr>
          <w:rFonts w:hint="eastAsia" w:ascii="仿宋" w:hAnsi="仿宋" w:eastAsia="仿宋" w:cs="仿宋"/>
          <w:sz w:val="32"/>
          <w:szCs w:val="32"/>
        </w:rPr>
      </w:pPr>
    </w:p>
    <w:p>
      <w:pPr>
        <w:jc w:val="left"/>
        <w:rPr>
          <w:rFonts w:hint="eastAsia" w:ascii="仿宋" w:hAnsi="仿宋" w:eastAsia="仿宋" w:cs="仿宋"/>
          <w:sz w:val="32"/>
          <w:szCs w:val="32"/>
        </w:rPr>
      </w:pP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7"/>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lang w:eastAsia="zh-CN"/>
        </w:rPr>
        <w:t>淮滨县生态农业发展服务中心2023</w:t>
      </w:r>
      <w:r>
        <w:rPr>
          <w:rFonts w:hint="eastAsia" w:ascii="仿宋" w:hAnsi="仿宋" w:eastAsia="仿宋" w:cs="仿宋"/>
          <w:sz w:val="32"/>
          <w:szCs w:val="32"/>
        </w:rPr>
        <w:t>年“三公”经费支出预算为</w:t>
      </w:r>
      <w:r>
        <w:rPr>
          <w:rFonts w:hint="eastAsia" w:ascii="仿宋" w:hAnsi="仿宋" w:eastAsia="仿宋" w:cs="仿宋"/>
          <w:sz w:val="32"/>
          <w:szCs w:val="32"/>
          <w:lang w:val="en-US" w:eastAsia="zh-CN"/>
        </w:rPr>
        <w:t>0</w:t>
      </w:r>
      <w:r>
        <w:rPr>
          <w:rFonts w:hint="eastAsia" w:ascii="仿宋" w:hAnsi="仿宋" w:eastAsia="仿宋" w:cs="仿宋"/>
          <w:sz w:val="32"/>
          <w:szCs w:val="32"/>
        </w:rPr>
        <w:t>万元,比</w:t>
      </w:r>
      <w:r>
        <w:rPr>
          <w:rFonts w:hint="eastAsia" w:ascii="仿宋" w:hAnsi="仿宋" w:eastAsia="仿宋" w:cs="仿宋"/>
          <w:sz w:val="32"/>
          <w:szCs w:val="32"/>
          <w:lang w:eastAsia="zh-CN"/>
        </w:rPr>
        <w:t>2022</w:t>
      </w:r>
      <w:r>
        <w:rPr>
          <w:rFonts w:hint="eastAsia" w:ascii="仿宋" w:hAnsi="仿宋" w:eastAsia="仿宋" w:cs="仿宋"/>
          <w:sz w:val="32"/>
          <w:szCs w:val="32"/>
        </w:rPr>
        <w:t>年</w:t>
      </w:r>
      <w:r>
        <w:rPr>
          <w:rFonts w:hint="eastAsia" w:ascii="仿宋" w:hAnsi="仿宋" w:eastAsia="仿宋" w:cs="仿宋"/>
          <w:sz w:val="32"/>
          <w:szCs w:val="32"/>
          <w:lang w:val="en-US" w:eastAsia="zh-CN"/>
        </w:rPr>
        <w:t>增加0</w:t>
      </w:r>
      <w:r>
        <w:rPr>
          <w:rFonts w:hint="eastAsia" w:ascii="仿宋" w:hAnsi="仿宋" w:eastAsia="仿宋" w:cs="仿宋"/>
          <w:sz w:val="32"/>
          <w:szCs w:val="32"/>
        </w:rPr>
        <w:t>万元，</w:t>
      </w:r>
      <w:r>
        <w:rPr>
          <w:rFonts w:hint="eastAsia" w:ascii="仿宋" w:hAnsi="仿宋" w:eastAsia="仿宋" w:cs="仿宋"/>
          <w:sz w:val="32"/>
          <w:szCs w:val="32"/>
          <w:lang w:val="en-US" w:eastAsia="zh-CN"/>
        </w:rPr>
        <w:t>增长0%</w:t>
      </w:r>
      <w:r>
        <w:rPr>
          <w:rFonts w:hint="eastAsia" w:ascii="仿宋" w:hAnsi="仿宋" w:eastAsia="仿宋" w:cs="仿宋"/>
          <w:sz w:val="32"/>
          <w:szCs w:val="32"/>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b/>
          <w:bCs/>
          <w:sz w:val="32"/>
          <w:szCs w:val="32"/>
          <w:lang w:val="en-US" w:eastAsia="zh-CN"/>
        </w:rPr>
        <w:t>0</w:t>
      </w:r>
      <w:r>
        <w:rPr>
          <w:rFonts w:hint="eastAsia" w:ascii="仿宋" w:hAnsi="仿宋" w:eastAsia="仿宋" w:cs="仿宋"/>
          <w:sz w:val="32"/>
          <w:szCs w:val="32"/>
        </w:rPr>
        <w:t>万元。主要用于按规定开支的各类公务接待支出。预算数与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b/>
          <w:bCs/>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hint="eastAsia" w:ascii="仿宋" w:hAnsi="仿宋" w:eastAsia="仿宋_GB2312" w:cs="仿宋"/>
          <w:sz w:val="32"/>
          <w:lang w:eastAsia="zh-CN"/>
        </w:rPr>
      </w:pPr>
      <w:r>
        <w:rPr>
          <w:rFonts w:hint="eastAsia" w:ascii="仿宋_GB2312" w:hAnsi="仿宋_GB2312" w:eastAsia="仿宋_GB2312" w:cs="仿宋_GB2312"/>
          <w:sz w:val="32"/>
        </w:rPr>
        <w:t>我单位2023年</w:t>
      </w:r>
      <w:r>
        <w:rPr>
          <w:rFonts w:hint="eastAsia" w:ascii="仿宋_GB2312" w:eastAsia="仿宋_GB2312"/>
          <w:sz w:val="32"/>
          <w:szCs w:val="32"/>
        </w:rPr>
        <w:t>没有政府性基金预算拨款收入，也没有政府性基金预算安排的支出</w:t>
      </w:r>
      <w:r>
        <w:rPr>
          <w:rFonts w:hint="eastAsia" w:ascii="仿宋_GB2312" w:eastAsia="仿宋_GB2312"/>
          <w:sz w:val="32"/>
          <w:szCs w:val="32"/>
          <w:lang w:eastAsia="zh-CN"/>
        </w:rPr>
        <w:t>。</w:t>
      </w:r>
    </w:p>
    <w:p>
      <w:pPr>
        <w:numPr>
          <w:numId w:val="0"/>
        </w:numPr>
        <w:ind w:left="630" w:leftChars="0"/>
        <w:jc w:val="left"/>
        <w:rPr>
          <w:rFonts w:ascii="黑体" w:hAnsi="黑体" w:eastAsia="黑体"/>
          <w:sz w:val="32"/>
        </w:rPr>
      </w:pP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年运行经费支出预算</w:t>
      </w:r>
      <w:r>
        <w:rPr>
          <w:rFonts w:hint="eastAsia" w:ascii="仿宋" w:hAnsi="仿宋" w:eastAsia="仿宋" w:cs="仿宋"/>
          <w:sz w:val="32"/>
          <w:lang w:val="en-US" w:eastAsia="zh-CN"/>
        </w:rPr>
        <w:t>28</w:t>
      </w:r>
      <w:r>
        <w:rPr>
          <w:rFonts w:hint="eastAsia" w:ascii="仿宋" w:hAnsi="仿宋" w:eastAsia="仿宋" w:cs="仿宋"/>
          <w:sz w:val="32"/>
        </w:rPr>
        <w:t>万元，主要保障机构正常运转及正常履职需要，用于购买货物和服务的支出。包括办公费、</w:t>
      </w:r>
      <w:r>
        <w:rPr>
          <w:rFonts w:hint="eastAsia" w:ascii="仿宋" w:hAnsi="仿宋" w:eastAsia="仿宋" w:cs="仿宋"/>
          <w:sz w:val="32"/>
          <w:lang w:val="en-US" w:eastAsia="zh-CN"/>
        </w:rPr>
        <w:t>劳务</w:t>
      </w:r>
      <w:r>
        <w:rPr>
          <w:rFonts w:hint="eastAsia" w:ascii="仿宋" w:hAnsi="仿宋" w:eastAsia="仿宋" w:cs="仿宋"/>
          <w:sz w:val="32"/>
        </w:rPr>
        <w:t>费、</w:t>
      </w:r>
      <w:r>
        <w:rPr>
          <w:rFonts w:hint="eastAsia" w:ascii="仿宋" w:hAnsi="仿宋" w:eastAsia="仿宋" w:cs="仿宋"/>
          <w:sz w:val="32"/>
          <w:lang w:val="en-US" w:eastAsia="zh-CN"/>
        </w:rPr>
        <w:t>其他商品和服务支出</w:t>
      </w:r>
      <w:r>
        <w:rPr>
          <w:rFonts w:hint="eastAsia" w:ascii="仿宋" w:hAnsi="仿宋" w:eastAsia="仿宋" w:cs="仿宋"/>
          <w:sz w:val="32"/>
        </w:rPr>
        <w:t>。</w:t>
      </w:r>
    </w:p>
    <w:p>
      <w:pPr>
        <w:ind w:firstLine="640"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年政府采购预算安排</w:t>
      </w:r>
      <w:r>
        <w:rPr>
          <w:rFonts w:hint="eastAsia" w:ascii="仿宋" w:hAnsi="仿宋" w:eastAsia="仿宋" w:cs="仿宋"/>
          <w:sz w:val="32"/>
          <w:lang w:val="en-US" w:eastAsia="zh-CN"/>
        </w:rPr>
        <w:t>0</w:t>
      </w:r>
      <w:r>
        <w:rPr>
          <w:rFonts w:hint="eastAsia" w:ascii="仿宋" w:hAnsi="仿宋" w:eastAsia="仿宋" w:cs="仿宋"/>
          <w:sz w:val="32"/>
        </w:rPr>
        <w:t>万元，其中：货物类采购预算</w:t>
      </w:r>
      <w:r>
        <w:rPr>
          <w:rFonts w:hint="eastAsia" w:ascii="仿宋" w:hAnsi="仿宋" w:eastAsia="仿宋" w:cs="仿宋"/>
          <w:sz w:val="32"/>
          <w:lang w:val="en-US" w:eastAsia="zh-CN"/>
        </w:rPr>
        <w:t>0</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0"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default" w:ascii="仿宋" w:hAnsi="仿宋" w:eastAsia="仿宋" w:cs="仿宋"/>
          <w:sz w:val="32"/>
          <w:lang w:val="en-US" w:eastAsia="zh-CN"/>
        </w:rPr>
      </w:pPr>
      <w:r>
        <w:rPr>
          <w:rFonts w:hint="eastAsia" w:ascii="仿宋" w:hAnsi="仿宋" w:eastAsia="仿宋" w:cs="仿宋"/>
          <w:sz w:val="32"/>
          <w:lang w:val="en-US" w:eastAsia="zh-CN"/>
        </w:rPr>
        <w:t>2023年部门预算金额共计51.89</w:t>
      </w:r>
      <w:bookmarkStart w:id="0" w:name="_GoBack"/>
      <w:bookmarkEnd w:id="0"/>
      <w:r>
        <w:rPr>
          <w:rFonts w:hint="eastAsia" w:ascii="仿宋" w:hAnsi="仿宋" w:eastAsia="仿宋" w:cs="仿宋"/>
          <w:sz w:val="32"/>
          <w:lang w:val="en-US" w:eastAsia="zh-CN"/>
        </w:rPr>
        <w:t>万元，其中项目共2个，金额为28万元。</w:t>
      </w:r>
    </w:p>
    <w:p>
      <w:pPr>
        <w:ind w:firstLine="640" w:firstLineChars="200"/>
        <w:jc w:val="left"/>
        <w:rPr>
          <w:rFonts w:hint="eastAsia" w:ascii="仿宋" w:hAnsi="仿宋" w:eastAsia="仿宋" w:cs="仿宋"/>
          <w:sz w:val="32"/>
        </w:rPr>
      </w:pPr>
    </w:p>
    <w:p>
      <w:pPr>
        <w:numPr>
          <w:ilvl w:val="0"/>
          <w:numId w:val="5"/>
        </w:numPr>
        <w:ind w:firstLine="640"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0"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黑体" w:hAnsi="黑体" w:eastAsia="黑体"/>
          <w:b/>
          <w:bCs/>
          <w:sz w:val="36"/>
          <w:szCs w:val="36"/>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w:t>
      </w:r>
    </w:p>
    <w:p>
      <w:pPr>
        <w:jc w:val="center"/>
        <w:rPr>
          <w:rFonts w:hint="eastAsia" w:ascii="黑体" w:hAnsi="黑体" w:eastAsia="黑体"/>
          <w:b/>
          <w:bCs/>
          <w:sz w:val="36"/>
          <w:szCs w:val="36"/>
        </w:rPr>
      </w:pPr>
    </w:p>
    <w:p>
      <w:pPr>
        <w:jc w:val="center"/>
        <w:rPr>
          <w:rFonts w:hint="eastAsia" w:ascii="黑体" w:hAnsi="黑体" w:eastAsia="黑体"/>
          <w:b/>
          <w:bCs/>
          <w:sz w:val="36"/>
          <w:szCs w:val="36"/>
        </w:rPr>
      </w:pPr>
    </w:p>
    <w:p>
      <w:pPr>
        <w:jc w:val="center"/>
        <w:rPr>
          <w:rFonts w:hint="eastAsia"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560" w:firstLineChars="200"/>
        <w:jc w:val="left"/>
        <w:rPr>
          <w:rFonts w:ascii="仿宋" w:hAnsi="仿宋" w:eastAsia="仿宋" w:cs="仿宋"/>
          <w:sz w:val="28"/>
          <w:szCs w:val="28"/>
        </w:rPr>
      </w:pPr>
      <w:r>
        <w:rPr>
          <w:rFonts w:hint="eastAsia" w:ascii="仿宋" w:hAnsi="仿宋" w:eastAsia="仿宋" w:cs="仿宋"/>
          <w:sz w:val="28"/>
          <w:szCs w:val="28"/>
        </w:rPr>
        <w:t xml:space="preserve">财政拨款收入：是指县级财政当年拨付的资金。 </w:t>
      </w:r>
    </w:p>
    <w:p>
      <w:pPr>
        <w:numPr>
          <w:ilvl w:val="0"/>
          <w:numId w:val="6"/>
        </w:numPr>
        <w:ind w:firstLine="560" w:firstLineChars="200"/>
        <w:jc w:val="left"/>
        <w:rPr>
          <w:rFonts w:ascii="仿宋" w:hAnsi="仿宋" w:eastAsia="仿宋" w:cs="仿宋"/>
          <w:sz w:val="28"/>
          <w:szCs w:val="28"/>
        </w:rPr>
      </w:pPr>
      <w:r>
        <w:rPr>
          <w:rFonts w:hint="eastAsia" w:ascii="仿宋" w:hAnsi="仿宋" w:eastAsia="仿宋" w:cs="仿宋"/>
          <w:sz w:val="28"/>
          <w:szCs w:val="28"/>
        </w:rPr>
        <w:t>事业收入：是指事业单位开展专业活动及辅助活动</w:t>
      </w:r>
    </w:p>
    <w:p>
      <w:pPr>
        <w:jc w:val="left"/>
        <w:rPr>
          <w:rFonts w:ascii="仿宋" w:hAnsi="仿宋" w:eastAsia="仿宋" w:cs="仿宋"/>
          <w:sz w:val="28"/>
          <w:szCs w:val="28"/>
        </w:rPr>
      </w:pPr>
      <w:r>
        <w:rPr>
          <w:rFonts w:hint="eastAsia" w:ascii="仿宋" w:hAnsi="仿宋" w:eastAsia="仿宋" w:cs="仿宋"/>
          <w:sz w:val="28"/>
          <w:szCs w:val="28"/>
        </w:rPr>
        <w:t>所取得的收入。</w:t>
      </w:r>
    </w:p>
    <w:p>
      <w:pPr>
        <w:numPr>
          <w:ilvl w:val="0"/>
          <w:numId w:val="6"/>
        </w:numPr>
        <w:ind w:firstLine="560" w:firstLineChars="200"/>
        <w:jc w:val="left"/>
        <w:rPr>
          <w:rFonts w:ascii="宋体" w:hAnsi="宋体" w:eastAsia="宋体" w:cs="宋体"/>
          <w:color w:val="333333"/>
          <w:sz w:val="28"/>
          <w:szCs w:val="28"/>
        </w:rPr>
      </w:pPr>
      <w:r>
        <w:rPr>
          <w:rFonts w:hint="eastAsia" w:ascii="仿宋" w:hAnsi="仿宋" w:eastAsia="仿宋" w:cs="仿宋"/>
          <w:sz w:val="28"/>
          <w:szCs w:val="28"/>
        </w:rPr>
        <w:t>其他收入：是指部门取得的除“财政拨款”、“事 业收入”、“事业单位经营收入”等以外的收入。</w:t>
      </w:r>
    </w:p>
    <w:p>
      <w:pPr>
        <w:numPr>
          <w:ilvl w:val="0"/>
          <w:numId w:val="6"/>
        </w:numPr>
        <w:ind w:firstLine="560" w:firstLineChars="200"/>
        <w:jc w:val="left"/>
        <w:rPr>
          <w:rFonts w:ascii="仿宋" w:hAnsi="仿宋" w:eastAsia="仿宋" w:cs="仿宋"/>
          <w:sz w:val="28"/>
          <w:szCs w:val="28"/>
        </w:rPr>
      </w:pPr>
      <w:r>
        <w:rPr>
          <w:rFonts w:ascii="仿宋" w:hAnsi="仿宋" w:eastAsia="仿宋" w:cs="仿宋"/>
          <w:color w:val="333333"/>
          <w:sz w:val="28"/>
          <w:szCs w:val="28"/>
          <w:shd w:val="clear" w:color="auto" w:fill="FFFFFF"/>
        </w:rPr>
        <w:t>上年结转：</w:t>
      </w:r>
      <w:r>
        <w:rPr>
          <w:rFonts w:hint="eastAsia" w:ascii="仿宋" w:hAnsi="仿宋" w:eastAsia="仿宋" w:cs="仿宋"/>
          <w:color w:val="333333"/>
          <w:sz w:val="28"/>
          <w:szCs w:val="28"/>
          <w:shd w:val="clear" w:color="auto" w:fill="FFFFFF"/>
        </w:rPr>
        <w:t>指以前年度安排、结转到本年仍按原用途继续使用的资金。</w:t>
      </w:r>
    </w:p>
    <w:p>
      <w:pPr>
        <w:numPr>
          <w:ilvl w:val="0"/>
          <w:numId w:val="6"/>
        </w:numPr>
        <w:ind w:firstLine="560" w:firstLineChars="200"/>
        <w:jc w:val="left"/>
        <w:rPr>
          <w:rFonts w:ascii="仿宋" w:hAnsi="仿宋" w:eastAsia="仿宋" w:cs="仿宋"/>
          <w:sz w:val="28"/>
          <w:szCs w:val="28"/>
        </w:rPr>
      </w:pPr>
      <w:r>
        <w:rPr>
          <w:rFonts w:ascii="仿宋" w:hAnsi="仿宋" w:eastAsia="仿宋" w:cs="仿宋"/>
          <w:color w:val="333333"/>
          <w:sz w:val="28"/>
          <w:szCs w:val="28"/>
          <w:shd w:val="clear" w:color="auto" w:fill="FFFFFF"/>
        </w:rPr>
        <w:t>结转下年：</w:t>
      </w:r>
      <w:r>
        <w:rPr>
          <w:rFonts w:hint="eastAsia" w:ascii="仿宋" w:hAnsi="仿宋" w:eastAsia="仿宋" w:cs="仿宋"/>
          <w:color w:val="333333"/>
          <w:sz w:val="28"/>
          <w:szCs w:val="28"/>
          <w:shd w:val="clear" w:color="auto" w:fill="FFFFFF"/>
        </w:rPr>
        <w:t>指以前年度预算安排、因客观条件发生变化无法按原计划实施，需以后年度按原用途继续使用的资金。</w:t>
      </w:r>
    </w:p>
    <w:p>
      <w:pPr>
        <w:numPr>
          <w:ilvl w:val="0"/>
          <w:numId w:val="6"/>
        </w:numPr>
        <w:ind w:firstLine="560" w:firstLineChars="200"/>
        <w:jc w:val="left"/>
        <w:rPr>
          <w:rFonts w:ascii="仿宋" w:hAnsi="仿宋" w:eastAsia="仿宋" w:cs="仿宋"/>
          <w:sz w:val="28"/>
          <w:szCs w:val="28"/>
        </w:rPr>
      </w:pPr>
      <w:r>
        <w:rPr>
          <w:rFonts w:hint="eastAsia" w:ascii="仿宋" w:hAnsi="仿宋" w:eastAsia="仿宋" w:cs="仿宋"/>
          <w:sz w:val="28"/>
          <w:szCs w:val="28"/>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560" w:firstLineChars="200"/>
        <w:jc w:val="left"/>
        <w:rPr>
          <w:rFonts w:ascii="仿宋" w:hAnsi="仿宋" w:eastAsia="仿宋" w:cs="仿宋"/>
          <w:sz w:val="28"/>
          <w:szCs w:val="28"/>
        </w:rPr>
      </w:pPr>
      <w:r>
        <w:rPr>
          <w:rFonts w:hint="eastAsia" w:ascii="仿宋" w:hAnsi="仿宋" w:eastAsia="仿宋" w:cs="仿宋"/>
          <w:sz w:val="28"/>
          <w:szCs w:val="28"/>
        </w:rPr>
        <w:t>基本支出：是指为保障机构正常运转、完成日常工 作任务所必需的开支，其内容包括人员经费和日常公用经费 两部分。</w:t>
      </w:r>
    </w:p>
    <w:p>
      <w:pPr>
        <w:numPr>
          <w:ilvl w:val="0"/>
          <w:numId w:val="6"/>
        </w:numPr>
        <w:ind w:firstLine="560" w:firstLineChars="200"/>
        <w:jc w:val="left"/>
        <w:rPr>
          <w:rFonts w:ascii="仿宋" w:hAnsi="仿宋" w:eastAsia="仿宋" w:cs="仿宋"/>
          <w:sz w:val="28"/>
          <w:szCs w:val="28"/>
        </w:rPr>
      </w:pPr>
      <w:r>
        <w:rPr>
          <w:rFonts w:hint="eastAsia" w:ascii="仿宋" w:hAnsi="仿宋" w:eastAsia="仿宋" w:cs="仿宋"/>
          <w:sz w:val="28"/>
          <w:szCs w:val="28"/>
        </w:rPr>
        <w:t>项目支出：是指在基本支出之外，为完成特定的行政工作任务或事业发展目标所发生的支出。</w:t>
      </w:r>
    </w:p>
    <w:p>
      <w:pPr>
        <w:numPr>
          <w:ilvl w:val="0"/>
          <w:numId w:val="6"/>
        </w:numPr>
        <w:ind w:firstLine="560" w:firstLineChars="200"/>
        <w:jc w:val="left"/>
        <w:rPr>
          <w:rFonts w:ascii="仿宋" w:hAnsi="仿宋" w:eastAsia="仿宋" w:cs="仿宋"/>
          <w:sz w:val="28"/>
          <w:szCs w:val="28"/>
        </w:rPr>
      </w:pPr>
      <w:r>
        <w:rPr>
          <w:rFonts w:hint="eastAsia" w:ascii="仿宋" w:hAnsi="仿宋" w:eastAsia="仿宋" w:cs="仿宋"/>
          <w:sz w:val="28"/>
          <w:szCs w:val="28"/>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28"/>
          <w:szCs w:val="28"/>
        </w:rPr>
      </w:pPr>
      <w:r>
        <w:rPr>
          <w:rFonts w:hint="eastAsia" w:ascii="仿宋" w:hAnsi="仿宋" w:eastAsia="仿宋" w:cs="仿宋"/>
          <w:sz w:val="28"/>
          <w:szCs w:val="28"/>
        </w:rPr>
        <w:t>（含外宾接待）支出。</w:t>
      </w:r>
    </w:p>
    <w:p>
      <w:pPr>
        <w:numPr>
          <w:ilvl w:val="0"/>
          <w:numId w:val="6"/>
        </w:numPr>
        <w:ind w:firstLine="560" w:firstLineChars="200"/>
        <w:jc w:val="left"/>
        <w:rPr>
          <w:rFonts w:ascii="仿宋" w:hAnsi="仿宋" w:eastAsia="仿宋" w:cs="仿宋"/>
          <w:sz w:val="28"/>
          <w:szCs w:val="28"/>
        </w:rPr>
      </w:pPr>
      <w:r>
        <w:rPr>
          <w:rFonts w:hint="eastAsia" w:ascii="仿宋" w:hAnsi="仿宋" w:eastAsia="仿宋" w:cs="仿宋"/>
          <w:sz w:val="28"/>
          <w:szCs w:val="28"/>
          <w:lang w:eastAsia="zh-CN"/>
        </w:rPr>
        <w:t>行政（事业）单位机构运转</w:t>
      </w:r>
      <w:r>
        <w:rPr>
          <w:rFonts w:hint="eastAsia" w:ascii="仿宋" w:hAnsi="仿宋" w:eastAsia="仿宋" w:cs="仿宋"/>
          <w:sz w:val="28"/>
          <w:szCs w:val="28"/>
        </w:rPr>
        <w:t>经费：是指为保障行政单位（含参照公务员法管理的事业单位）运行用于购买货物和服务的各项资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numPr>
          <w:ilvl w:val="0"/>
          <w:numId w:val="6"/>
        </w:numPr>
        <w:ind w:firstLine="560" w:firstLineChars="200"/>
        <w:jc w:val="left"/>
        <w:rPr>
          <w:rFonts w:ascii="仿宋" w:hAnsi="仿宋" w:eastAsia="仿宋" w:cs="仿宋"/>
          <w:sz w:val="28"/>
          <w:szCs w:val="28"/>
        </w:rPr>
      </w:pPr>
      <w:r>
        <w:rPr>
          <w:rFonts w:ascii="仿宋_GB2312" w:hAnsi="宋体" w:eastAsia="仿宋_GB2312" w:cs="仿宋_GB2312"/>
          <w:color w:val="000000"/>
          <w:sz w:val="28"/>
          <w:szCs w:val="28"/>
          <w:shd w:val="clear" w:color="auto" w:fill="FFFFFF"/>
        </w:rPr>
        <w:t>专项转移支付：</w:t>
      </w:r>
      <w:r>
        <w:rPr>
          <w:rFonts w:hint="eastAsia" w:ascii="仿宋_GB2312" w:hAnsi="宋体" w:eastAsia="仿宋_GB2312" w:cs="仿宋_GB2312"/>
          <w:color w:val="000000"/>
          <w:sz w:val="28"/>
          <w:szCs w:val="28"/>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hint="eastAsia" w:eastAsia="黑体"/>
          <w:lang w:eastAsia="zh-CN"/>
        </w:rPr>
      </w:pPr>
      <w:r>
        <w:rPr>
          <w:rFonts w:hint="eastAsia" w:ascii="黑体" w:hAnsi="黑体" w:eastAsia="黑体" w:cs="黑体"/>
          <w:sz w:val="32"/>
        </w:rPr>
        <w:t>附件：</w:t>
      </w:r>
      <w:r>
        <w:rPr>
          <w:rFonts w:hint="eastAsia" w:ascii="黑体" w:hAnsi="黑体" w:eastAsia="黑体" w:cs="黑体"/>
          <w:sz w:val="32"/>
        </w:rPr>
        <w:object>
          <v:shape id="_x0000_i1025" o:spt="75" type="#_x0000_t75" style="height:66pt;width:72.75pt;" o:ole="t" filled="f" o:preferrelative="t" stroked="f" coordsize="21600,21600">
            <v:path/>
            <v:fill on="f" focussize="0,0"/>
            <v:stroke on="f"/>
            <v:imagedata r:id="rId14" o:title=""/>
            <o:lock v:ext="edit" aspectratio="t"/>
            <w10:wrap type="none"/>
            <w10:anchorlock/>
          </v:shape>
          <o:OLEObject Type="Embed" ProgID="Excel.Sheet.8" ShapeID="_x0000_i1025" DrawAspect="Icon" ObjectID="_1468075725" r:id="rId13">
            <o:LockedField>false</o:LockedField>
          </o:OLEObject>
        </w:objec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微软雅黑"/>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仿宋">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yODI2ZGY0M2FlNDZiNTk3NThiZDA4YzY3ZDAxNGMifQ=="/>
    <w:docVar w:name="KSO_WPS_MARK_KEY" w:val="0285c864-b09d-41b8-8aaa-60920f798491"/>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1641B6A"/>
    <w:rsid w:val="02432838"/>
    <w:rsid w:val="037B79F7"/>
    <w:rsid w:val="041D2A27"/>
    <w:rsid w:val="05377B18"/>
    <w:rsid w:val="060B6D6D"/>
    <w:rsid w:val="06440A7A"/>
    <w:rsid w:val="071D4AEC"/>
    <w:rsid w:val="084542FA"/>
    <w:rsid w:val="08B8405F"/>
    <w:rsid w:val="0A6251B2"/>
    <w:rsid w:val="0A6C0129"/>
    <w:rsid w:val="0B7F1710"/>
    <w:rsid w:val="0C8073B4"/>
    <w:rsid w:val="0D0F4ED6"/>
    <w:rsid w:val="0D513137"/>
    <w:rsid w:val="10602789"/>
    <w:rsid w:val="123258EF"/>
    <w:rsid w:val="12EF1A32"/>
    <w:rsid w:val="13A86248"/>
    <w:rsid w:val="144A1E7D"/>
    <w:rsid w:val="15F07B94"/>
    <w:rsid w:val="173B6758"/>
    <w:rsid w:val="191C5F4B"/>
    <w:rsid w:val="1B351FAC"/>
    <w:rsid w:val="1CA53161"/>
    <w:rsid w:val="1D0460DA"/>
    <w:rsid w:val="1D2E3157"/>
    <w:rsid w:val="1D634A57"/>
    <w:rsid w:val="1F046865"/>
    <w:rsid w:val="1F0925B6"/>
    <w:rsid w:val="1FE67D19"/>
    <w:rsid w:val="206C400B"/>
    <w:rsid w:val="206F17F2"/>
    <w:rsid w:val="228003BD"/>
    <w:rsid w:val="228C104B"/>
    <w:rsid w:val="246B28E3"/>
    <w:rsid w:val="24DA1A42"/>
    <w:rsid w:val="274F7F6E"/>
    <w:rsid w:val="279A1B15"/>
    <w:rsid w:val="27A42993"/>
    <w:rsid w:val="28196722"/>
    <w:rsid w:val="28447CD2"/>
    <w:rsid w:val="2AA67AA4"/>
    <w:rsid w:val="2AA8279A"/>
    <w:rsid w:val="2ACE5F14"/>
    <w:rsid w:val="2C081B10"/>
    <w:rsid w:val="2D4A0B6E"/>
    <w:rsid w:val="2F072B71"/>
    <w:rsid w:val="2F8530AA"/>
    <w:rsid w:val="3102018E"/>
    <w:rsid w:val="32153A8E"/>
    <w:rsid w:val="32476D3D"/>
    <w:rsid w:val="327410A4"/>
    <w:rsid w:val="3328107A"/>
    <w:rsid w:val="33ED121E"/>
    <w:rsid w:val="3402116D"/>
    <w:rsid w:val="34030A42"/>
    <w:rsid w:val="34E010E6"/>
    <w:rsid w:val="358856A2"/>
    <w:rsid w:val="3699743B"/>
    <w:rsid w:val="38237904"/>
    <w:rsid w:val="3872263A"/>
    <w:rsid w:val="38F94FB9"/>
    <w:rsid w:val="39D84127"/>
    <w:rsid w:val="39F25E8F"/>
    <w:rsid w:val="3A2B0CF2"/>
    <w:rsid w:val="3A865F28"/>
    <w:rsid w:val="3B01391C"/>
    <w:rsid w:val="3BAD075D"/>
    <w:rsid w:val="3C1F6635"/>
    <w:rsid w:val="3E5A6C85"/>
    <w:rsid w:val="401E6875"/>
    <w:rsid w:val="419D0727"/>
    <w:rsid w:val="41FF59D4"/>
    <w:rsid w:val="42615C0C"/>
    <w:rsid w:val="42EB19FF"/>
    <w:rsid w:val="4346458F"/>
    <w:rsid w:val="43572B58"/>
    <w:rsid w:val="4401549E"/>
    <w:rsid w:val="45554E75"/>
    <w:rsid w:val="456A4DC4"/>
    <w:rsid w:val="4656759C"/>
    <w:rsid w:val="46736FCD"/>
    <w:rsid w:val="469D4D26"/>
    <w:rsid w:val="46D01A4F"/>
    <w:rsid w:val="483D40CA"/>
    <w:rsid w:val="4B86222C"/>
    <w:rsid w:val="4B900EEE"/>
    <w:rsid w:val="4BBC3BEF"/>
    <w:rsid w:val="4CC72AFC"/>
    <w:rsid w:val="4E10402F"/>
    <w:rsid w:val="50EF68EE"/>
    <w:rsid w:val="519E1D35"/>
    <w:rsid w:val="529E38BA"/>
    <w:rsid w:val="56CE6835"/>
    <w:rsid w:val="56E7105D"/>
    <w:rsid w:val="573C2865"/>
    <w:rsid w:val="5DCF5A92"/>
    <w:rsid w:val="5FA67382"/>
    <w:rsid w:val="611072FB"/>
    <w:rsid w:val="61F061FA"/>
    <w:rsid w:val="62835FF1"/>
    <w:rsid w:val="63514A76"/>
    <w:rsid w:val="647F6552"/>
    <w:rsid w:val="64BB489D"/>
    <w:rsid w:val="658226FC"/>
    <w:rsid w:val="65921CF6"/>
    <w:rsid w:val="65DB5214"/>
    <w:rsid w:val="66A82BFF"/>
    <w:rsid w:val="67AE693B"/>
    <w:rsid w:val="67F105D6"/>
    <w:rsid w:val="69F65D89"/>
    <w:rsid w:val="6AAD2EDA"/>
    <w:rsid w:val="6B5C73C5"/>
    <w:rsid w:val="6C715A72"/>
    <w:rsid w:val="6EEF1D13"/>
    <w:rsid w:val="71BD526D"/>
    <w:rsid w:val="73800C97"/>
    <w:rsid w:val="746F63D8"/>
    <w:rsid w:val="747B790C"/>
    <w:rsid w:val="75384D17"/>
    <w:rsid w:val="75A37A3E"/>
    <w:rsid w:val="75E31EA6"/>
    <w:rsid w:val="76840576"/>
    <w:rsid w:val="768A2321"/>
    <w:rsid w:val="76D0242A"/>
    <w:rsid w:val="786B56D6"/>
    <w:rsid w:val="791401EC"/>
    <w:rsid w:val="792702FB"/>
    <w:rsid w:val="7B6C0247"/>
    <w:rsid w:val="7C0971FF"/>
    <w:rsid w:val="7C1B5EED"/>
    <w:rsid w:val="7EE527EB"/>
    <w:rsid w:val="7F5636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5"/>
    <w:qFormat/>
    <w:uiPriority w:val="0"/>
    <w:rPr>
      <w:sz w:val="18"/>
      <w:szCs w:val="18"/>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annotation subject"/>
    <w:basedOn w:val="2"/>
    <w:next w:val="2"/>
    <w:link w:val="14"/>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qFormat/>
    <w:uiPriority w:val="0"/>
    <w:rPr>
      <w:sz w:val="21"/>
      <w:szCs w:val="21"/>
    </w:rPr>
  </w:style>
  <w:style w:type="character" w:customStyle="1" w:styleId="13">
    <w:name w:val="批注文字 字符"/>
    <w:basedOn w:val="11"/>
    <w:link w:val="2"/>
    <w:qFormat/>
    <w:uiPriority w:val="0"/>
    <w:rPr>
      <w:rFonts w:asciiTheme="minorHAnsi" w:hAnsiTheme="minorHAnsi" w:eastAsiaTheme="minorEastAsia" w:cstheme="minorBidi"/>
      <w:kern w:val="2"/>
      <w:sz w:val="21"/>
      <w:szCs w:val="24"/>
    </w:rPr>
  </w:style>
  <w:style w:type="character" w:customStyle="1" w:styleId="14">
    <w:name w:val="批注主题 字符"/>
    <w:basedOn w:val="13"/>
    <w:link w:val="8"/>
    <w:qFormat/>
    <w:uiPriority w:val="0"/>
    <w:rPr>
      <w:rFonts w:asciiTheme="minorHAnsi" w:hAnsiTheme="minorHAnsi" w:eastAsiaTheme="minorEastAsia" w:cstheme="minorBidi"/>
      <w:b/>
      <w:bCs/>
      <w:kern w:val="2"/>
      <w:sz w:val="21"/>
      <w:szCs w:val="24"/>
    </w:rPr>
  </w:style>
  <w:style w:type="character" w:customStyle="1" w:styleId="15">
    <w:name w:val="批注框文本 字符"/>
    <w:basedOn w:val="11"/>
    <w:link w:val="4"/>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4.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2.xlsx"/></Relationships>
</file>

<file path=word/charts/_rels/chart6.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4.xlsx"/></Relationships>
</file>

<file path=word/charts/_rels/chart7.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manualLayout>
          <c:layoutTarget val="inner"/>
          <c:xMode val="edge"/>
          <c:yMode val="edge"/>
          <c:x val="0.0658263971462545"/>
          <c:y val="0.13563545745817"/>
          <c:w val="0.909797859690844"/>
          <c:h val="0.697650409398362"/>
        </c:manualLayout>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0</c:v>
                </c:pt>
                <c:pt idx="1">
                  <c:v>51.89</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0</c:v>
                </c:pt>
                <c:pt idx="1">
                  <c:v>51.89</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51.89</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23.89</c:v>
                </c:pt>
                <c:pt idx="1">
                  <c:v>28</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0</c:v>
                </c:pt>
                <c:pt idx="1">
                  <c:v>51.89</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0</c:v>
                </c:pt>
                <c:pt idx="1">
                  <c:v>51.89</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23.89</c:v>
                </c:pt>
                <c:pt idx="1">
                  <c:v>28</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22.91</c:v>
                </c:pt>
                <c:pt idx="1">
                  <c:v>0.98</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4179566563467"/>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0</c:v>
                </c:pt>
                <c:pt idx="1">
                  <c:v>0</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2782</Words>
  <Characters>3010</Characters>
  <Lines>20</Lines>
  <Paragraphs>5</Paragraphs>
  <TotalTime>1</TotalTime>
  <ScaleCrop>false</ScaleCrop>
  <LinksUpToDate>false</LinksUpToDate>
  <CharactersWithSpaces>3045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Administrator</cp:lastModifiedBy>
  <dcterms:modified xsi:type="dcterms:W3CDTF">2023-03-07T06:55:14Z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2F606E965C3F47A2A23C8CF82E347772</vt:lpwstr>
  </property>
</Properties>
</file>