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w:t>
      </w:r>
      <w:r>
        <w:rPr>
          <w:rFonts w:hint="eastAsia" w:ascii="黑体" w:hAnsi="黑体" w:eastAsia="黑体" w:cs="黑体"/>
          <w:b/>
          <w:bCs/>
          <w:sz w:val="44"/>
          <w:szCs w:val="44"/>
          <w:lang w:val="en-US" w:eastAsia="zh-CN"/>
        </w:rPr>
        <w:t>淮河</w:t>
      </w:r>
      <w:r>
        <w:rPr>
          <w:rFonts w:hint="eastAsia" w:ascii="黑体" w:hAnsi="黑体" w:eastAsia="黑体" w:cs="黑体"/>
          <w:b/>
          <w:bCs/>
          <w:sz w:val="44"/>
          <w:szCs w:val="44"/>
          <w:lang w:eastAsia="zh-CN"/>
        </w:rPr>
        <w:t>文化园区</w:t>
      </w:r>
      <w:r>
        <w:rPr>
          <w:rFonts w:hint="eastAsia" w:ascii="黑体" w:hAnsi="黑体" w:eastAsia="黑体" w:cs="黑体"/>
          <w:b/>
          <w:bCs/>
          <w:sz w:val="44"/>
          <w:szCs w:val="44"/>
          <w:lang w:val="en-US" w:eastAsia="zh-CN"/>
        </w:rPr>
        <w:t>服务中心</w:t>
      </w: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w:t>
      </w:r>
      <w:r>
        <w:rPr>
          <w:rFonts w:hint="eastAsia" w:ascii="黑体" w:hAnsi="黑体" w:eastAsia="黑体" w:cs="黑体"/>
          <w:spacing w:val="-7"/>
          <w:sz w:val="32"/>
          <w:szCs w:val="32"/>
          <w:lang w:eastAsia="zh-CN"/>
        </w:rPr>
        <w:t>淮滨县淮河文化园区服务中心</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16" w:firstLineChars="100"/>
        <w:rPr>
          <w:rFonts w:hint="eastAsia" w:ascii="仿宋" w:hAnsi="仿宋" w:eastAsia="仿宋" w:cs="Times New Roman"/>
          <w:w w:val="99"/>
          <w:sz w:val="32"/>
          <w:szCs w:val="32"/>
        </w:rPr>
      </w:pPr>
      <w:r>
        <w:rPr>
          <w:rFonts w:hint="eastAsia" w:ascii="仿宋" w:hAnsi="仿宋" w:eastAsia="仿宋" w:cs="Times New Roman"/>
          <w:w w:val="99"/>
          <w:sz w:val="32"/>
          <w:szCs w:val="32"/>
          <w:lang w:eastAsia="zh-CN"/>
        </w:rPr>
        <w:t>二、</w:t>
      </w:r>
      <w:r>
        <w:rPr>
          <w:rFonts w:hint="eastAsia" w:ascii="仿宋" w:hAnsi="仿宋" w:eastAsia="仿宋" w:cs="仿宋"/>
          <w:sz w:val="32"/>
          <w:szCs w:val="32"/>
        </w:rPr>
        <w:t>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w:t>
      </w:r>
      <w:r>
        <w:rPr>
          <w:rFonts w:hint="eastAsia" w:ascii="黑体" w:hAnsi="黑体" w:eastAsia="黑体" w:cs="Times New Roman"/>
          <w:spacing w:val="-5"/>
          <w:sz w:val="32"/>
          <w:szCs w:val="32"/>
          <w:lang w:eastAsia="zh-CN"/>
        </w:rPr>
        <w:t>淮滨县淮河文化园区服务中心</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w:t>
      </w:r>
      <w:r>
        <w:rPr>
          <w:rFonts w:hint="eastAsia" w:ascii="黑体" w:hAnsi="黑体" w:eastAsia="黑体" w:cs="Times New Roman"/>
          <w:sz w:val="32"/>
          <w:szCs w:val="32"/>
          <w:lang w:eastAsia="zh-CN"/>
        </w:rPr>
        <w:t>淮滨县淮河文化园区服务中心2023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lang w:eastAsia="zh-CN"/>
        </w:rPr>
        <w:t>淮滨县淮河文化园区服务中心</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lang w:eastAsia="zh-CN"/>
        </w:rPr>
        <w:t>淮滨县淮河文化园区服务中心</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lang w:eastAsia="zh-CN"/>
        </w:rPr>
        <w:t>淮滨县淮河文化园区服务中心</w:t>
      </w:r>
      <w:r>
        <w:rPr>
          <w:rFonts w:ascii="仿宋_GB2312" w:hAnsi="仿宋_GB2312" w:eastAsia="仿宋_GB2312" w:cs="仿宋_GB2312"/>
          <w:bCs/>
          <w:szCs w:val="32"/>
        </w:rPr>
        <w:t>主要职责是：</w:t>
      </w:r>
    </w:p>
    <w:p>
      <w:pPr>
        <w:spacing w:line="580" w:lineRule="exact"/>
        <w:ind w:firstLine="420" w:firstLineChars="200"/>
        <w:rPr>
          <w:rFonts w:ascii="仿宋" w:hAnsi="仿宋" w:eastAsia="仿宋"/>
          <w:sz w:val="32"/>
          <w:szCs w:val="32"/>
        </w:rPr>
      </w:pPr>
      <w:r>
        <w:rPr>
          <w:rFonts w:hint="eastAsia" w:ascii="仿宋_GB2312" w:hAnsi="仿宋_GB2312" w:eastAsia="仿宋_GB2312" w:cs="仿宋_GB2312"/>
          <w:bCs/>
          <w:szCs w:val="32"/>
          <w:lang w:val="en-US" w:eastAsia="zh-CN"/>
        </w:rPr>
        <w:t xml:space="preserve">   </w:t>
      </w:r>
      <w:r>
        <w:rPr>
          <w:rFonts w:hint="eastAsia" w:ascii="楷体" w:hAnsi="楷体" w:eastAsia="楷体"/>
          <w:b/>
          <w:sz w:val="32"/>
          <w:szCs w:val="32"/>
        </w:rPr>
        <w:t>（一）</w:t>
      </w:r>
      <w:r>
        <w:rPr>
          <w:rFonts w:hint="eastAsia" w:ascii="仿宋" w:hAnsi="仿宋" w:eastAsia="仿宋"/>
          <w:sz w:val="32"/>
          <w:szCs w:val="32"/>
        </w:rPr>
        <w:t>负责党的路线、方针、政策和县委、县政府重大决策在淮河文化园区的贯彻落实；负责制定淮河文化园区的行政管理规定并组织实施。</w:t>
      </w:r>
    </w:p>
    <w:p>
      <w:pPr>
        <w:spacing w:line="580" w:lineRule="exact"/>
        <w:ind w:firstLine="643" w:firstLineChars="200"/>
        <w:rPr>
          <w:rFonts w:ascii="仿宋" w:hAnsi="仿宋" w:eastAsia="仿宋"/>
          <w:sz w:val="32"/>
          <w:szCs w:val="32"/>
        </w:rPr>
      </w:pPr>
      <w:r>
        <w:rPr>
          <w:rFonts w:hint="eastAsia" w:ascii="楷体" w:hAnsi="楷体" w:eastAsia="楷体"/>
          <w:b/>
          <w:sz w:val="32"/>
          <w:szCs w:val="32"/>
        </w:rPr>
        <w:t>（二）</w:t>
      </w:r>
      <w:r>
        <w:rPr>
          <w:rFonts w:hint="eastAsia" w:ascii="仿宋" w:hAnsi="仿宋" w:eastAsia="仿宋"/>
          <w:sz w:val="32"/>
          <w:szCs w:val="32"/>
        </w:rPr>
        <w:t>负责编制淮河文化园区的发展规划和市场开发计划，开展对外宣传、推介和市场促销活动；负责各项目布局、规划并组织实施；负责制定文化园区区域用地、融资、财税、招商引资、人才引进等优惠政策，</w:t>
      </w:r>
      <w:r>
        <w:rPr>
          <w:rFonts w:hint="eastAsia" w:ascii="仿宋" w:hAnsi="仿宋" w:eastAsia="仿宋"/>
          <w:sz w:val="32"/>
          <w:szCs w:val="32"/>
          <w:shd w:val="clear" w:color="auto" w:fill="FFFFFF"/>
        </w:rPr>
        <w:t>经县人民政府批准后</w:t>
      </w:r>
      <w:r>
        <w:rPr>
          <w:rFonts w:hint="eastAsia" w:ascii="仿宋" w:hAnsi="仿宋" w:eastAsia="仿宋"/>
          <w:sz w:val="32"/>
          <w:szCs w:val="32"/>
        </w:rPr>
        <w:t>组织实施。</w:t>
      </w:r>
    </w:p>
    <w:p>
      <w:pPr>
        <w:spacing w:line="580" w:lineRule="exact"/>
        <w:ind w:firstLine="643" w:firstLineChars="200"/>
        <w:rPr>
          <w:rFonts w:ascii="仿宋" w:hAnsi="仿宋" w:eastAsia="仿宋"/>
          <w:sz w:val="32"/>
          <w:szCs w:val="32"/>
        </w:rPr>
      </w:pPr>
      <w:r>
        <w:rPr>
          <w:rFonts w:hint="eastAsia" w:ascii="楷体" w:hAnsi="楷体" w:eastAsia="楷体"/>
          <w:b/>
          <w:sz w:val="32"/>
          <w:szCs w:val="32"/>
        </w:rPr>
        <w:t>（三）</w:t>
      </w:r>
      <w:r>
        <w:rPr>
          <w:rFonts w:hint="eastAsia" w:ascii="仿宋" w:hAnsi="仿宋" w:eastAsia="仿宋"/>
          <w:sz w:val="32"/>
          <w:szCs w:val="32"/>
        </w:rPr>
        <w:t>负责在淮滨县城镇总体规划框架内组织编制淮河文化园区的详细规划并实施。</w:t>
      </w:r>
    </w:p>
    <w:p>
      <w:pPr>
        <w:spacing w:line="580" w:lineRule="exact"/>
        <w:ind w:firstLine="643" w:firstLineChars="200"/>
        <w:rPr>
          <w:rFonts w:ascii="仿宋" w:hAnsi="仿宋" w:eastAsia="仿宋"/>
          <w:sz w:val="32"/>
          <w:szCs w:val="32"/>
        </w:rPr>
      </w:pPr>
      <w:r>
        <w:rPr>
          <w:rFonts w:hint="eastAsia" w:ascii="楷体" w:hAnsi="楷体" w:eastAsia="楷体"/>
          <w:b/>
          <w:sz w:val="32"/>
          <w:szCs w:val="32"/>
        </w:rPr>
        <w:t>（四）</w:t>
      </w:r>
      <w:r>
        <w:rPr>
          <w:rFonts w:hint="eastAsia" w:ascii="仿宋" w:hAnsi="仿宋" w:eastAsia="仿宋"/>
          <w:sz w:val="32"/>
          <w:szCs w:val="32"/>
        </w:rPr>
        <w:t>会同县国土部门，制定淮河文化园区内土地使用方案；负责淮河文化园区内各项基础设施和公共设施的统一规划、建设与管理工作。</w:t>
      </w:r>
    </w:p>
    <w:p>
      <w:pPr>
        <w:spacing w:line="580" w:lineRule="exact"/>
        <w:ind w:firstLine="643" w:firstLineChars="200"/>
        <w:rPr>
          <w:rFonts w:ascii="仿宋" w:hAnsi="仿宋" w:eastAsia="仿宋"/>
          <w:sz w:val="32"/>
          <w:szCs w:val="32"/>
        </w:rPr>
      </w:pPr>
      <w:r>
        <w:rPr>
          <w:rFonts w:hint="eastAsia" w:ascii="楷体" w:hAnsi="楷体" w:eastAsia="楷体"/>
          <w:b/>
          <w:sz w:val="32"/>
          <w:szCs w:val="32"/>
        </w:rPr>
        <w:t>（五）</w:t>
      </w:r>
      <w:r>
        <w:rPr>
          <w:rFonts w:hint="eastAsia" w:ascii="仿宋" w:hAnsi="仿宋" w:eastAsia="仿宋"/>
          <w:sz w:val="32"/>
          <w:szCs w:val="32"/>
        </w:rPr>
        <w:t>负责淮河文化园区内各项目的服务工作。</w:t>
      </w:r>
    </w:p>
    <w:p>
      <w:pPr>
        <w:spacing w:line="580" w:lineRule="exact"/>
        <w:ind w:firstLine="643" w:firstLineChars="200"/>
        <w:rPr>
          <w:rFonts w:ascii="仿宋" w:hAnsi="仿宋" w:eastAsia="仿宋"/>
          <w:sz w:val="32"/>
          <w:szCs w:val="32"/>
        </w:rPr>
      </w:pPr>
      <w:r>
        <w:rPr>
          <w:rFonts w:hint="eastAsia" w:ascii="楷体" w:hAnsi="楷体" w:eastAsia="楷体"/>
          <w:b/>
          <w:sz w:val="32"/>
          <w:szCs w:val="32"/>
        </w:rPr>
        <w:t>（六）</w:t>
      </w:r>
      <w:r>
        <w:rPr>
          <w:rFonts w:hint="eastAsia" w:ascii="仿宋" w:hAnsi="仿宋" w:eastAsia="仿宋"/>
          <w:sz w:val="32"/>
          <w:szCs w:val="32"/>
        </w:rPr>
        <w:t>负责淮河文化园区内行政执法工作。</w:t>
      </w:r>
    </w:p>
    <w:p>
      <w:pPr>
        <w:spacing w:line="580" w:lineRule="exact"/>
        <w:ind w:firstLine="643" w:firstLineChars="200"/>
        <w:rPr>
          <w:rFonts w:hint="eastAsia" w:ascii="隶书" w:hAnsi="隶书" w:eastAsia="仿宋" w:cs="隶书"/>
          <w:sz w:val="48"/>
          <w:szCs w:val="4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1"/>
          <w:cols w:space="720" w:num="1"/>
          <w:docGrid w:type="lines" w:linePitch="312" w:charSpace="0"/>
        </w:sectPr>
      </w:pPr>
      <w:r>
        <w:rPr>
          <w:rFonts w:hint="eastAsia" w:ascii="楷体" w:hAnsi="楷体" w:eastAsia="楷体"/>
          <w:b/>
          <w:sz w:val="32"/>
          <w:szCs w:val="32"/>
        </w:rPr>
        <w:t>（七）</w:t>
      </w:r>
      <w:r>
        <w:rPr>
          <w:rFonts w:hint="eastAsia" w:ascii="仿宋" w:hAnsi="仿宋" w:eastAsia="仿宋"/>
          <w:sz w:val="32"/>
          <w:szCs w:val="32"/>
        </w:rPr>
        <w:t>承办县委、县政府交办的其他工作</w:t>
      </w:r>
      <w:r>
        <w:rPr>
          <w:rFonts w:hint="eastAsia" w:ascii="仿宋" w:hAnsi="仿宋" w:eastAsia="仿宋"/>
          <w:sz w:val="32"/>
          <w:szCs w:val="32"/>
          <w:lang w:eastAsia="zh-CN"/>
        </w:rPr>
        <w:t>。</w:t>
      </w:r>
    </w:p>
    <w:p>
      <w:pPr>
        <w:kinsoku w:val="0"/>
        <w:overflowPunct w:val="0"/>
        <w:adjustRightInd w:val="0"/>
        <w:snapToGrid w:val="0"/>
        <w:spacing w:line="360" w:lineRule="auto"/>
        <w:ind w:right="51" w:firstLine="420" w:firstLineChars="200"/>
        <w:jc w:val="left"/>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Cs/>
          <w:szCs w:val="32"/>
          <w:lang w:val="en-US" w:eastAsia="zh-CN"/>
        </w:rPr>
        <w:t xml:space="preserve">  </w:t>
      </w:r>
      <w:r>
        <w:rPr>
          <w:rFonts w:hint="eastAsia" w:ascii="仿宋_GB2312" w:hAnsi="仿宋_GB2312" w:eastAsia="仿宋_GB2312" w:cs="仿宋_GB2312"/>
          <w:b/>
          <w:bCs/>
          <w:color w:val="000000"/>
          <w:sz w:val="32"/>
          <w:szCs w:val="32"/>
        </w:rPr>
        <w:t>二、</w:t>
      </w:r>
      <w:bookmarkStart w:id="0" w:name="_GoBack"/>
      <w:r>
        <w:rPr>
          <w:rFonts w:hint="eastAsia" w:ascii="黑体" w:hAnsi="黑体" w:eastAsia="黑体" w:cs="黑体"/>
          <w:b w:val="0"/>
          <w:bCs/>
          <w:sz w:val="32"/>
          <w:szCs w:val="32"/>
          <w:lang w:eastAsia="zh-CN"/>
        </w:rPr>
        <w:t>淮滨县淮河文化园区</w:t>
      </w:r>
      <w:r>
        <w:rPr>
          <w:rFonts w:hint="eastAsia" w:ascii="黑体" w:hAnsi="黑体" w:eastAsia="黑体" w:cs="黑体"/>
          <w:b w:val="0"/>
          <w:bCs/>
          <w:color w:val="000000"/>
          <w:sz w:val="32"/>
          <w:szCs w:val="32"/>
        </w:rPr>
        <w:t>内设机构设置情况</w:t>
      </w:r>
      <w:bookmarkEnd w:id="0"/>
    </w:p>
    <w:p>
      <w:pPr>
        <w:kinsoku w:val="0"/>
        <w:overflowPunct w:val="0"/>
        <w:adjustRightInd w:val="0"/>
        <w:snapToGrid w:val="0"/>
        <w:spacing w:line="360" w:lineRule="auto"/>
        <w:ind w:right="51" w:firstLine="640" w:firstLineChars="200"/>
        <w:jc w:val="left"/>
        <w:rPr>
          <w:rFonts w:hint="default" w:ascii="仿宋_GB2312" w:hAnsi="仿宋_GB2312" w:eastAsia="仿宋_GB2312" w:cs="仿宋_GB2312"/>
          <w:bCs/>
          <w:szCs w:val="32"/>
          <w:lang w:val="en-US" w:eastAsia="zh-CN"/>
        </w:rPr>
      </w:pPr>
      <w:r>
        <w:rPr>
          <w:rFonts w:hint="eastAsia" w:ascii="仿宋_GB2312" w:hAnsi="仿宋_GB2312" w:eastAsia="仿宋_GB2312" w:cs="仿宋_GB2312"/>
          <w:bCs/>
          <w:sz w:val="32"/>
          <w:szCs w:val="32"/>
          <w:lang w:eastAsia="zh-CN"/>
        </w:rPr>
        <w:t>淮滨县淮河文化园区服务中心现有办公室、规划建设股、运营管理股、市场发展股、人事财务股等五个内设机构，无二级机构。</w:t>
      </w:r>
    </w:p>
    <w:p>
      <w:pPr>
        <w:pStyle w:val="3"/>
        <w:numPr>
          <w:ilvl w:val="0"/>
          <w:numId w:val="0"/>
        </w:numPr>
        <w:tabs>
          <w:tab w:val="left" w:pos="880"/>
        </w:tabs>
        <w:kinsoku w:val="0"/>
        <w:overflowPunct w:val="0"/>
        <w:spacing w:before="0"/>
        <w:ind w:leftChars="200"/>
        <w:jc w:val="left"/>
        <w:rPr>
          <w:rFonts w:hint="default" w:ascii="黑体" w:hAnsi="黑体" w:eastAsia="黑体" w:cs="黑体"/>
          <w:bCs/>
          <w:szCs w:val="32"/>
        </w:rPr>
      </w:pPr>
      <w:r>
        <w:rPr>
          <w:rFonts w:hint="eastAsia" w:ascii="黑体" w:hAnsi="黑体" w:eastAsia="黑体" w:cs="黑体"/>
          <w:bCs/>
          <w:szCs w:val="32"/>
          <w:lang w:eastAsia="zh-CN"/>
        </w:rPr>
        <w:t>三、淮滨县淮河文化园区服务中心</w:t>
      </w:r>
      <w:r>
        <w:rPr>
          <w:rFonts w:ascii="黑体" w:hAnsi="黑体" w:eastAsia="黑体" w:cs="黑体"/>
          <w:bCs/>
          <w:szCs w:val="32"/>
        </w:rPr>
        <w:t>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淮滨县淮河文化园区服务中心2023</w:t>
      </w:r>
      <w:r>
        <w:rPr>
          <w:rFonts w:hint="eastAsia" w:ascii="仿宋_GB2312" w:hAnsi="仿宋_GB2312" w:eastAsia="仿宋_GB2312" w:cs="仿宋_GB2312"/>
          <w:bCs/>
          <w:sz w:val="32"/>
          <w:szCs w:val="32"/>
        </w:rPr>
        <w:t>年部门预算</w:t>
      </w:r>
      <w:r>
        <w:rPr>
          <w:rFonts w:hint="eastAsia" w:ascii="仿宋_GB2312" w:hAnsi="仿宋_GB2312" w:eastAsia="仿宋_GB2312" w:cs="仿宋_GB2312"/>
          <w:bCs/>
          <w:sz w:val="32"/>
          <w:szCs w:val="32"/>
          <w:lang w:eastAsia="zh-CN"/>
        </w:rPr>
        <w:t>包</w:t>
      </w:r>
      <w:r>
        <w:rPr>
          <w:rFonts w:hint="eastAsia" w:cs="仿宋"/>
          <w:b w:val="0"/>
          <w:bCs/>
          <w:sz w:val="32"/>
          <w:szCs w:val="32"/>
          <w:lang w:val="en-US" w:eastAsia="zh-CN"/>
        </w:rPr>
        <w:t>括</w:t>
      </w:r>
      <w:r>
        <w:rPr>
          <w:rFonts w:hint="eastAsia" w:ascii="仿宋_GB2312" w:hAnsi="仿宋_GB2312" w:eastAsia="仿宋_GB2312" w:cs="仿宋_GB2312"/>
          <w:bCs/>
          <w:sz w:val="32"/>
          <w:szCs w:val="32"/>
        </w:rPr>
        <w:t>本级预算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本单位无所属二级机构预算。</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局机关本级预算包括：</w:t>
      </w:r>
      <w:r>
        <w:rPr>
          <w:rFonts w:hint="eastAsia" w:ascii="仿宋_GB2312" w:hAnsi="仿宋_GB2312" w:eastAsia="仿宋_GB2312" w:cs="仿宋_GB2312"/>
          <w:bCs/>
          <w:sz w:val="32"/>
          <w:szCs w:val="32"/>
          <w:lang w:eastAsia="zh-CN"/>
        </w:rPr>
        <w:t>办公室、规划建设股、运营管理股、市场发展股、人事财务股等</w:t>
      </w:r>
      <w:r>
        <w:rPr>
          <w:rFonts w:hint="eastAsia" w:ascii="仿宋_GB2312" w:hAnsi="仿宋_GB2312" w:eastAsia="仿宋_GB2312" w:cs="仿宋_GB2312"/>
          <w:bCs/>
          <w:sz w:val="32"/>
          <w:szCs w:val="32"/>
        </w:rPr>
        <w:t>股室的预算。</w:t>
      </w: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lang w:eastAsia="zh-CN"/>
        </w:rPr>
        <w:t>淮滨县淮河文化园区服务中心2023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default" w:ascii="仿宋" w:hAnsi="仿宋" w:eastAsia="仿宋" w:cs="仿宋"/>
          <w:sz w:val="32"/>
          <w:szCs w:val="32"/>
          <w:lang w:val="en-US"/>
        </w:rPr>
      </w:pPr>
      <w:r>
        <w:rPr>
          <w:rFonts w:hint="eastAsia" w:ascii="仿宋" w:hAnsi="仿宋" w:eastAsia="仿宋" w:cs="仿宋"/>
          <w:sz w:val="32"/>
          <w:szCs w:val="32"/>
          <w:lang w:eastAsia="zh-CN"/>
        </w:rPr>
        <w:t>淮滨县淮河文化园区服务中心2023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401.77</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401.77</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w:t>
      </w:r>
      <w:r>
        <w:rPr>
          <w:rFonts w:hint="eastAsia" w:ascii="仿宋" w:hAnsi="仿宋" w:eastAsia="仿宋" w:cs="仿宋"/>
          <w:sz w:val="32"/>
          <w:szCs w:val="32"/>
          <w:lang w:val="en-US" w:eastAsia="zh-CN"/>
        </w:rPr>
        <w:t>增加202.77</w:t>
      </w:r>
      <w:r>
        <w:rPr>
          <w:rFonts w:hint="eastAsia" w:ascii="仿宋" w:hAnsi="仿宋" w:eastAsia="仿宋" w:cs="仿宋"/>
          <w:sz w:val="32"/>
          <w:szCs w:val="32"/>
        </w:rPr>
        <w:t>万元，</w:t>
      </w:r>
      <w:r>
        <w:rPr>
          <w:rFonts w:hint="eastAsia" w:ascii="仿宋" w:hAnsi="仿宋" w:eastAsia="仿宋" w:cs="仿宋"/>
          <w:sz w:val="32"/>
          <w:szCs w:val="32"/>
          <w:lang w:val="en-US" w:eastAsia="zh-CN"/>
        </w:rPr>
        <w:t>增加了101.9</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本单位人员经费支出和项目支出有所增加。</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淮滨县淮河文化园区服务中心2023</w:t>
      </w:r>
      <w:r>
        <w:rPr>
          <w:rFonts w:hint="eastAsia" w:ascii="仿宋" w:hAnsi="仿宋" w:eastAsia="仿宋" w:cs="仿宋"/>
          <w:sz w:val="32"/>
        </w:rPr>
        <w:t>年收入合计</w:t>
      </w:r>
      <w:r>
        <w:rPr>
          <w:rFonts w:hint="eastAsia" w:ascii="仿宋" w:hAnsi="仿宋" w:eastAsia="仿宋" w:cs="仿宋"/>
          <w:sz w:val="32"/>
          <w:szCs w:val="32"/>
          <w:lang w:val="en-US" w:eastAsia="zh-CN"/>
        </w:rPr>
        <w:t>401.77</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401.77</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4445" t="4445" r="8255" b="1587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淮滨县淮河文化园区服务中心2023</w:t>
      </w:r>
      <w:r>
        <w:rPr>
          <w:rFonts w:hint="eastAsia" w:ascii="仿宋" w:hAnsi="仿宋" w:eastAsia="仿宋" w:cs="仿宋"/>
          <w:sz w:val="32"/>
        </w:rPr>
        <w:t>年支出合计</w:t>
      </w:r>
      <w:r>
        <w:rPr>
          <w:rFonts w:hint="eastAsia" w:ascii="仿宋" w:hAnsi="仿宋" w:eastAsia="仿宋" w:cs="仿宋"/>
          <w:sz w:val="32"/>
          <w:lang w:val="en-US" w:eastAsia="zh-CN"/>
        </w:rPr>
        <w:t>401.77</w:t>
      </w:r>
      <w:r>
        <w:rPr>
          <w:rFonts w:hint="eastAsia" w:ascii="仿宋" w:hAnsi="仿宋" w:eastAsia="仿宋" w:cs="仿宋"/>
          <w:sz w:val="32"/>
        </w:rPr>
        <w:t>万元，其中：基本支出</w:t>
      </w:r>
      <w:r>
        <w:rPr>
          <w:rFonts w:hint="eastAsia" w:ascii="仿宋" w:hAnsi="仿宋" w:eastAsia="仿宋" w:cs="仿宋"/>
          <w:sz w:val="32"/>
          <w:lang w:val="en-US" w:eastAsia="zh-CN"/>
        </w:rPr>
        <w:t>68.29</w:t>
      </w:r>
      <w:r>
        <w:rPr>
          <w:rFonts w:hint="eastAsia" w:ascii="仿宋" w:hAnsi="仿宋" w:eastAsia="仿宋" w:cs="仿宋"/>
          <w:sz w:val="32"/>
        </w:rPr>
        <w:t>万元，占</w:t>
      </w:r>
      <w:r>
        <w:rPr>
          <w:rFonts w:hint="eastAsia" w:ascii="仿宋" w:hAnsi="仿宋" w:eastAsia="仿宋" w:cs="仿宋"/>
          <w:sz w:val="32"/>
          <w:lang w:val="en-US" w:eastAsia="zh-CN"/>
        </w:rPr>
        <w:t>17</w:t>
      </w:r>
      <w:r>
        <w:rPr>
          <w:rFonts w:hint="eastAsia" w:ascii="仿宋" w:hAnsi="仿宋" w:eastAsia="仿宋" w:cs="仿宋"/>
          <w:sz w:val="32"/>
        </w:rPr>
        <w:t>%；项目支出</w:t>
      </w:r>
      <w:r>
        <w:rPr>
          <w:rFonts w:hint="eastAsia" w:ascii="仿宋" w:hAnsi="仿宋" w:eastAsia="仿宋" w:cs="仿宋"/>
          <w:sz w:val="32"/>
          <w:lang w:val="en-US" w:eastAsia="zh-CN"/>
        </w:rPr>
        <w:t>333.48</w:t>
      </w:r>
      <w:r>
        <w:rPr>
          <w:rFonts w:hint="eastAsia" w:ascii="仿宋" w:hAnsi="仿宋" w:eastAsia="仿宋" w:cs="仿宋"/>
          <w:sz w:val="32"/>
        </w:rPr>
        <w:t>万元，占</w:t>
      </w:r>
      <w:r>
        <w:rPr>
          <w:rFonts w:hint="eastAsia" w:ascii="仿宋" w:hAnsi="仿宋" w:eastAsia="仿宋" w:cs="仿宋"/>
          <w:sz w:val="32"/>
          <w:lang w:val="en-US" w:eastAsia="zh-CN"/>
        </w:rPr>
        <w:t>83</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淮滨县淮河文化园区服务中心2023</w:t>
      </w:r>
      <w:r>
        <w:rPr>
          <w:rFonts w:hint="eastAsia" w:ascii="仿宋" w:hAnsi="仿宋" w:eastAsia="仿宋" w:cs="仿宋"/>
          <w:sz w:val="32"/>
        </w:rPr>
        <w:t>年一般公共预算收支预算</w:t>
      </w:r>
      <w:r>
        <w:rPr>
          <w:rFonts w:hint="eastAsia" w:ascii="仿宋" w:hAnsi="仿宋" w:eastAsia="仿宋" w:cs="仿宋"/>
          <w:sz w:val="32"/>
          <w:lang w:val="en-US" w:eastAsia="zh-CN"/>
        </w:rPr>
        <w:t>401.77</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w:t>
      </w:r>
      <w:r>
        <w:rPr>
          <w:rFonts w:hint="eastAsia" w:ascii="仿宋" w:hAnsi="仿宋" w:eastAsia="仿宋" w:cs="仿宋"/>
          <w:sz w:val="32"/>
          <w:szCs w:val="32"/>
          <w:lang w:val="en-US" w:eastAsia="zh-CN"/>
        </w:rPr>
        <w:t>增加202.77</w:t>
      </w:r>
      <w:r>
        <w:rPr>
          <w:rFonts w:hint="eastAsia" w:ascii="仿宋" w:hAnsi="仿宋" w:eastAsia="仿宋" w:cs="仿宋"/>
          <w:sz w:val="32"/>
          <w:szCs w:val="32"/>
        </w:rPr>
        <w:t>万元，</w:t>
      </w:r>
      <w:r>
        <w:rPr>
          <w:rFonts w:hint="eastAsia" w:ascii="仿宋" w:hAnsi="仿宋" w:eastAsia="仿宋" w:cs="仿宋"/>
          <w:sz w:val="32"/>
          <w:szCs w:val="32"/>
          <w:lang w:val="en-US" w:eastAsia="zh-CN"/>
        </w:rPr>
        <w:t>增加了101.9</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本单位人员经费支出和项目支出有所增加</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淮滨县淮河文化园区服务中心2023</w:t>
      </w:r>
      <w:r>
        <w:rPr>
          <w:rFonts w:hint="eastAsia" w:ascii="仿宋" w:hAnsi="仿宋" w:eastAsia="仿宋" w:cs="仿宋"/>
          <w:sz w:val="32"/>
        </w:rPr>
        <w:t>年一般公共预算支出年初预算合计</w:t>
      </w:r>
      <w:r>
        <w:rPr>
          <w:rFonts w:hint="eastAsia" w:ascii="仿宋" w:hAnsi="仿宋" w:eastAsia="仿宋" w:cs="仿宋"/>
          <w:sz w:val="32"/>
          <w:lang w:val="en-US" w:eastAsia="zh-CN"/>
        </w:rPr>
        <w:t>401.77</w:t>
      </w:r>
      <w:r>
        <w:rPr>
          <w:rFonts w:hint="eastAsia" w:ascii="仿宋" w:hAnsi="仿宋" w:eastAsia="仿宋" w:cs="仿宋"/>
          <w:sz w:val="32"/>
        </w:rPr>
        <w:t>万元，其中：基本支出</w:t>
      </w:r>
      <w:r>
        <w:rPr>
          <w:rFonts w:hint="eastAsia" w:ascii="仿宋" w:hAnsi="仿宋" w:eastAsia="仿宋" w:cs="仿宋"/>
          <w:sz w:val="32"/>
          <w:lang w:val="en-US" w:eastAsia="zh-CN"/>
        </w:rPr>
        <w:t>68.29</w:t>
      </w:r>
      <w:r>
        <w:rPr>
          <w:rFonts w:hint="eastAsia" w:ascii="仿宋" w:hAnsi="仿宋" w:eastAsia="仿宋" w:cs="仿宋"/>
          <w:sz w:val="32"/>
        </w:rPr>
        <w:t>万元，占</w:t>
      </w:r>
      <w:r>
        <w:rPr>
          <w:rFonts w:hint="eastAsia" w:ascii="仿宋" w:hAnsi="仿宋" w:eastAsia="仿宋" w:cs="仿宋"/>
          <w:sz w:val="32"/>
          <w:lang w:val="en-US" w:eastAsia="zh-CN"/>
        </w:rPr>
        <w:t>17</w:t>
      </w:r>
      <w:r>
        <w:rPr>
          <w:rFonts w:hint="eastAsia" w:ascii="仿宋" w:hAnsi="仿宋" w:eastAsia="仿宋" w:cs="仿宋"/>
          <w:sz w:val="32"/>
        </w:rPr>
        <w:t>%；项目支出</w:t>
      </w:r>
      <w:r>
        <w:rPr>
          <w:rFonts w:hint="eastAsia" w:ascii="仿宋" w:hAnsi="仿宋" w:eastAsia="仿宋" w:cs="仿宋"/>
          <w:sz w:val="32"/>
          <w:lang w:val="en-US" w:eastAsia="zh-CN"/>
        </w:rPr>
        <w:t>333.48</w:t>
      </w:r>
      <w:r>
        <w:rPr>
          <w:rFonts w:hint="eastAsia" w:ascii="仿宋" w:hAnsi="仿宋" w:eastAsia="仿宋" w:cs="仿宋"/>
          <w:sz w:val="32"/>
        </w:rPr>
        <w:t>万元，占</w:t>
      </w:r>
      <w:r>
        <w:rPr>
          <w:rFonts w:hint="eastAsia" w:ascii="仿宋" w:hAnsi="仿宋" w:eastAsia="仿宋" w:cs="仿宋"/>
          <w:sz w:val="32"/>
          <w:lang w:val="en-US" w:eastAsia="zh-CN"/>
        </w:rPr>
        <w:t>83</w:t>
      </w:r>
      <w:r>
        <w:rPr>
          <w:rFonts w:hint="eastAsia" w:ascii="仿宋" w:hAnsi="仿宋" w:eastAsia="仿宋" w:cs="仿宋"/>
          <w:sz w:val="32"/>
        </w:rPr>
        <w:t>%。</w:t>
      </w:r>
    </w:p>
    <w:p>
      <w:pPr>
        <w:ind w:firstLine="640" w:firstLineChars="200"/>
        <w:jc w:val="left"/>
        <w:rPr>
          <w:rFonts w:ascii="仿宋" w:hAnsi="仿宋" w:eastAsia="仿宋" w:cs="仿宋"/>
          <w:sz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lang w:eastAsia="zh-CN"/>
        </w:rPr>
        <w:t>淮滨县淮河文化园区服务中心2023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color w:val="000000"/>
          <w:sz w:val="32"/>
          <w:szCs w:val="32"/>
          <w:lang w:val="en-US" w:eastAsia="zh-CN"/>
        </w:rPr>
        <w:t>68.29</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64.73</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95</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3.56</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7"/>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lang w:eastAsia="zh-CN"/>
        </w:rPr>
        <w:t>淮滨县淮河文化园区服务中心2023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2.42</w:t>
      </w:r>
      <w:r>
        <w:rPr>
          <w:rFonts w:hint="eastAsia" w:ascii="仿宋" w:hAnsi="仿宋" w:eastAsia="仿宋" w:cs="仿宋"/>
          <w:sz w:val="32"/>
          <w:szCs w:val="32"/>
        </w:rPr>
        <w:t>万元,比</w:t>
      </w:r>
      <w:r>
        <w:rPr>
          <w:rFonts w:hint="eastAsia" w:ascii="仿宋" w:hAnsi="仿宋" w:eastAsia="仿宋" w:cs="仿宋"/>
          <w:sz w:val="32"/>
          <w:szCs w:val="32"/>
          <w:lang w:eastAsia="zh-CN"/>
        </w:rPr>
        <w:t>2022</w:t>
      </w:r>
      <w:r>
        <w:rPr>
          <w:rFonts w:hint="eastAsia" w:ascii="仿宋" w:hAnsi="仿宋" w:eastAsia="仿宋" w:cs="仿宋"/>
          <w:sz w:val="32"/>
          <w:szCs w:val="32"/>
        </w:rPr>
        <w:t>年</w:t>
      </w:r>
      <w:r>
        <w:rPr>
          <w:rFonts w:hint="eastAsia" w:ascii="仿宋" w:hAnsi="仿宋" w:eastAsia="仿宋" w:cs="仿宋"/>
          <w:sz w:val="32"/>
          <w:szCs w:val="32"/>
          <w:lang w:val="en-US" w:eastAsia="zh-CN"/>
        </w:rPr>
        <w:t>增加0.42</w:t>
      </w:r>
      <w:r>
        <w:rPr>
          <w:rFonts w:hint="eastAsia" w:ascii="仿宋" w:hAnsi="仿宋" w:eastAsia="仿宋" w:cs="仿宋"/>
          <w:sz w:val="32"/>
          <w:szCs w:val="32"/>
        </w:rPr>
        <w:t>万元，</w:t>
      </w:r>
      <w:r>
        <w:rPr>
          <w:rFonts w:hint="eastAsia" w:ascii="仿宋" w:hAnsi="仿宋" w:eastAsia="仿宋" w:cs="仿宋"/>
          <w:sz w:val="32"/>
          <w:szCs w:val="32"/>
          <w:lang w:val="en-US" w:eastAsia="zh-CN"/>
        </w:rPr>
        <w:t>增长21%</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b/>
          <w:bCs/>
          <w:sz w:val="32"/>
          <w:szCs w:val="32"/>
          <w:lang w:val="en-US" w:eastAsia="zh-CN"/>
        </w:rPr>
        <w:t>2.42</w:t>
      </w:r>
      <w:r>
        <w:rPr>
          <w:rFonts w:hint="eastAsia" w:ascii="仿宋" w:hAnsi="仿宋" w:eastAsia="仿宋" w:cs="仿宋"/>
          <w:sz w:val="32"/>
          <w:szCs w:val="32"/>
        </w:rPr>
        <w:t>万元。主要用于按规定开支的各类公务接待支出。预算数比</w:t>
      </w:r>
      <w:r>
        <w:rPr>
          <w:rFonts w:hint="eastAsia" w:ascii="仿宋" w:hAnsi="仿宋" w:eastAsia="仿宋" w:cs="仿宋"/>
          <w:sz w:val="32"/>
          <w:szCs w:val="32"/>
          <w:lang w:eastAsia="zh-CN"/>
        </w:rPr>
        <w:t>2022</w:t>
      </w:r>
      <w:r>
        <w:rPr>
          <w:rFonts w:hint="eastAsia" w:ascii="仿宋" w:hAnsi="仿宋" w:eastAsia="仿宋" w:cs="仿宋"/>
          <w:sz w:val="32"/>
          <w:szCs w:val="32"/>
        </w:rPr>
        <w:t>年</w:t>
      </w:r>
      <w:r>
        <w:rPr>
          <w:rFonts w:hint="eastAsia" w:ascii="仿宋" w:hAnsi="仿宋" w:eastAsia="仿宋" w:cs="仿宋"/>
          <w:sz w:val="32"/>
          <w:szCs w:val="32"/>
          <w:lang w:val="en-US" w:eastAsia="zh-CN"/>
        </w:rPr>
        <w:t>增加0.42</w:t>
      </w:r>
      <w:r>
        <w:rPr>
          <w:rFonts w:hint="eastAsia" w:ascii="仿宋" w:hAnsi="仿宋" w:eastAsia="仿宋" w:cs="仿宋"/>
          <w:sz w:val="32"/>
          <w:szCs w:val="32"/>
        </w:rPr>
        <w:t>万元，</w:t>
      </w:r>
      <w:r>
        <w:rPr>
          <w:rFonts w:hint="eastAsia" w:ascii="仿宋" w:hAnsi="仿宋" w:eastAsia="仿宋" w:cs="仿宋"/>
          <w:sz w:val="32"/>
          <w:szCs w:val="32"/>
          <w:lang w:val="en-US" w:eastAsia="zh-CN"/>
        </w:rPr>
        <w:t>增长21%</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接待人次比上年有所增加。</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b/>
          <w:bCs/>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w:t>
      </w:r>
      <w:r>
        <w:rPr>
          <w:rFonts w:hint="eastAsia" w:ascii="仿宋_GB2312" w:eastAsia="仿宋_GB2312"/>
          <w:sz w:val="32"/>
          <w:szCs w:val="32"/>
        </w:rPr>
        <w:t>没有政府性基金预算拨款收入，也没有政府性基金预算安排的支出，故无数据情况说明</w:t>
      </w:r>
      <w:r>
        <w:rPr>
          <w:rFonts w:hint="eastAsia" w:ascii="仿宋" w:hAnsi="仿宋" w:eastAsia="仿宋" w:cs="仿宋"/>
          <w:sz w:val="32"/>
        </w:rPr>
        <w:t>。</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年机构运行经费支出预算</w:t>
      </w:r>
      <w:r>
        <w:rPr>
          <w:rFonts w:hint="eastAsia" w:ascii="仿宋" w:hAnsi="仿宋" w:eastAsia="仿宋" w:cs="仿宋"/>
          <w:sz w:val="32"/>
          <w:lang w:val="en-US" w:eastAsia="zh-CN"/>
        </w:rPr>
        <w:t>5.98</w:t>
      </w:r>
      <w:r>
        <w:rPr>
          <w:rFonts w:hint="eastAsia" w:ascii="仿宋" w:hAnsi="仿宋" w:eastAsia="仿宋" w:cs="仿宋"/>
          <w:sz w:val="32"/>
        </w:rPr>
        <w:t>万元，</w:t>
      </w:r>
      <w:r>
        <w:rPr>
          <w:rFonts w:hint="eastAsia" w:ascii="仿宋" w:hAnsi="仿宋" w:eastAsia="仿宋" w:cs="仿宋"/>
          <w:sz w:val="32"/>
          <w:lang w:val="en-US" w:eastAsia="zh-CN"/>
        </w:rPr>
        <w:t>比2022年度减少了65.02万元，主要原因是压缩了办公经费，减少了不必要的开支。</w:t>
      </w:r>
      <w:r>
        <w:rPr>
          <w:rFonts w:hint="eastAsia" w:ascii="仿宋" w:hAnsi="仿宋" w:eastAsia="仿宋" w:cs="仿宋"/>
          <w:sz w:val="32"/>
        </w:rPr>
        <w:t>机构运行经费主要保障机构正常运转及正常履职需要，用于购买货物和服务的支出。包括办公及印刷费、邮电费、差旅费、会议费、福利费、日常维修费及一般设备购置费、办公用房水电费、办公用房取暖费、办公用房物业管理费、</w:t>
      </w:r>
      <w:r>
        <w:rPr>
          <w:rFonts w:hint="eastAsia" w:ascii="仿宋" w:hAnsi="仿宋" w:eastAsia="仿宋" w:cs="仿宋"/>
          <w:sz w:val="32"/>
          <w:lang w:val="en-US" w:eastAsia="zh-CN"/>
        </w:rPr>
        <w:t>公务接待费</w:t>
      </w:r>
      <w:r>
        <w:rPr>
          <w:rFonts w:hint="eastAsia" w:ascii="仿宋" w:hAnsi="仿宋" w:eastAsia="仿宋" w:cs="仿宋"/>
          <w:sz w:val="32"/>
        </w:rPr>
        <w:t>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rPr>
        <w:t>年部门预算金额共计</w:t>
      </w:r>
      <w:r>
        <w:rPr>
          <w:rFonts w:hint="eastAsia" w:ascii="仿宋" w:hAnsi="仿宋" w:eastAsia="仿宋" w:cs="仿宋"/>
          <w:sz w:val="32"/>
          <w:szCs w:val="32"/>
          <w:lang w:val="en-US" w:eastAsia="zh-CN"/>
        </w:rPr>
        <w:t>401.77</w:t>
      </w:r>
      <w:r>
        <w:rPr>
          <w:rFonts w:hint="eastAsia" w:ascii="仿宋" w:hAnsi="仿宋" w:eastAsia="仿宋" w:cs="仿宋"/>
          <w:sz w:val="32"/>
        </w:rPr>
        <w:t>万元</w:t>
      </w:r>
      <w:r>
        <w:rPr>
          <w:rFonts w:hint="eastAsia" w:ascii="仿宋" w:hAnsi="仿宋" w:eastAsia="仿宋" w:cs="仿宋"/>
          <w:sz w:val="32"/>
          <w:lang w:eastAsia="zh-CN"/>
        </w:rPr>
        <w:t>，其中项目共计</w:t>
      </w:r>
      <w:r>
        <w:rPr>
          <w:rFonts w:hint="eastAsia" w:ascii="仿宋" w:hAnsi="仿宋" w:eastAsia="仿宋" w:cs="仿宋"/>
          <w:sz w:val="32"/>
          <w:lang w:val="en-US" w:eastAsia="zh-CN"/>
        </w:rPr>
        <w:t>2个，金额为333.48万元。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黑体" w:hAnsi="黑体" w:eastAsia="黑体"/>
          <w:b/>
          <w:bCs/>
          <w:sz w:val="36"/>
          <w:szCs w:val="36"/>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w:t>
      </w: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hint="eastAsia"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pPr>
      <w:r>
        <w:rPr>
          <w:rFonts w:hint="eastAsia" w:ascii="黑体" w:hAnsi="黑体" w:eastAsia="黑体" w:cs="黑体"/>
          <w:sz w:val="32"/>
        </w:rPr>
        <w:t>附件：淮滨县</w:t>
      </w:r>
      <w:r>
        <w:rPr>
          <w:rFonts w:hint="eastAsia" w:ascii="黑体" w:hAnsi="黑体" w:eastAsia="黑体" w:cs="黑体"/>
          <w:sz w:val="32"/>
          <w:lang w:val="en-US" w:eastAsia="zh-CN"/>
        </w:rPr>
        <w:t>淮河</w:t>
      </w:r>
      <w:r>
        <w:rPr>
          <w:rFonts w:hint="eastAsia" w:ascii="黑体" w:hAnsi="黑体" w:eastAsia="黑体" w:cs="黑体"/>
          <w:sz w:val="32"/>
          <w:lang w:eastAsia="zh-CN"/>
        </w:rPr>
        <w:t>文化园区2023</w:t>
      </w:r>
      <w:r>
        <w:rPr>
          <w:rFonts w:hint="eastAsia" w:ascii="黑体" w:hAnsi="黑体" w:eastAsia="黑体" w:cs="黑体"/>
          <w:sz w:val="32"/>
        </w:rPr>
        <w:t>年部门预算表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0285c864-b09d-41b8-8aaa-60920f798491"/>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2432838"/>
    <w:rsid w:val="031A0D8B"/>
    <w:rsid w:val="037B79F7"/>
    <w:rsid w:val="041D2A27"/>
    <w:rsid w:val="05377B18"/>
    <w:rsid w:val="060B6D6D"/>
    <w:rsid w:val="06440A7A"/>
    <w:rsid w:val="071D4AEC"/>
    <w:rsid w:val="084542FA"/>
    <w:rsid w:val="08B8405F"/>
    <w:rsid w:val="0A6251B2"/>
    <w:rsid w:val="0A6C0129"/>
    <w:rsid w:val="0C8073B4"/>
    <w:rsid w:val="0D0F4ED6"/>
    <w:rsid w:val="0D513137"/>
    <w:rsid w:val="10602789"/>
    <w:rsid w:val="10DE4012"/>
    <w:rsid w:val="123258EF"/>
    <w:rsid w:val="12EF1A32"/>
    <w:rsid w:val="13A86248"/>
    <w:rsid w:val="144A1E7D"/>
    <w:rsid w:val="15F07B94"/>
    <w:rsid w:val="173B6758"/>
    <w:rsid w:val="191C5F4B"/>
    <w:rsid w:val="1B351FAC"/>
    <w:rsid w:val="1CA53161"/>
    <w:rsid w:val="1D0460DA"/>
    <w:rsid w:val="1D2E3157"/>
    <w:rsid w:val="1D634A57"/>
    <w:rsid w:val="1F046865"/>
    <w:rsid w:val="1F0925B6"/>
    <w:rsid w:val="1FE67D19"/>
    <w:rsid w:val="206F17F2"/>
    <w:rsid w:val="228003BD"/>
    <w:rsid w:val="228C104B"/>
    <w:rsid w:val="246B28E3"/>
    <w:rsid w:val="24DA1A42"/>
    <w:rsid w:val="274F7F6E"/>
    <w:rsid w:val="279A1B15"/>
    <w:rsid w:val="27A42993"/>
    <w:rsid w:val="28196722"/>
    <w:rsid w:val="28447CD2"/>
    <w:rsid w:val="2AA67AA4"/>
    <w:rsid w:val="2AA8279A"/>
    <w:rsid w:val="2ACE5F14"/>
    <w:rsid w:val="2C081B10"/>
    <w:rsid w:val="2D4A0B6E"/>
    <w:rsid w:val="2F072B71"/>
    <w:rsid w:val="2F8530AA"/>
    <w:rsid w:val="3102018E"/>
    <w:rsid w:val="32153A8E"/>
    <w:rsid w:val="32476D3D"/>
    <w:rsid w:val="327410A4"/>
    <w:rsid w:val="3328107A"/>
    <w:rsid w:val="33ED121E"/>
    <w:rsid w:val="3402116D"/>
    <w:rsid w:val="34030A42"/>
    <w:rsid w:val="34270FA5"/>
    <w:rsid w:val="34E010E6"/>
    <w:rsid w:val="358856A2"/>
    <w:rsid w:val="3699743B"/>
    <w:rsid w:val="38237904"/>
    <w:rsid w:val="3872263A"/>
    <w:rsid w:val="38F94FB9"/>
    <w:rsid w:val="39D84127"/>
    <w:rsid w:val="39F25E8F"/>
    <w:rsid w:val="3A2B0CF2"/>
    <w:rsid w:val="3A865F28"/>
    <w:rsid w:val="3B01391C"/>
    <w:rsid w:val="3BAD075D"/>
    <w:rsid w:val="3C1F6635"/>
    <w:rsid w:val="3E5A6C85"/>
    <w:rsid w:val="401E6875"/>
    <w:rsid w:val="419D0727"/>
    <w:rsid w:val="41FF59D4"/>
    <w:rsid w:val="42615C0C"/>
    <w:rsid w:val="4346458F"/>
    <w:rsid w:val="43572B58"/>
    <w:rsid w:val="4401549E"/>
    <w:rsid w:val="45554E75"/>
    <w:rsid w:val="456A4DC4"/>
    <w:rsid w:val="4656759C"/>
    <w:rsid w:val="46736FCD"/>
    <w:rsid w:val="469D4D26"/>
    <w:rsid w:val="46D01A4F"/>
    <w:rsid w:val="483D40CA"/>
    <w:rsid w:val="4B86222C"/>
    <w:rsid w:val="4B900EEE"/>
    <w:rsid w:val="4BBC3BEF"/>
    <w:rsid w:val="4CC72AFC"/>
    <w:rsid w:val="4E10402F"/>
    <w:rsid w:val="50EF68EE"/>
    <w:rsid w:val="519E1D35"/>
    <w:rsid w:val="529E38BA"/>
    <w:rsid w:val="56CE6835"/>
    <w:rsid w:val="56E7105D"/>
    <w:rsid w:val="573C2865"/>
    <w:rsid w:val="5DCF5A92"/>
    <w:rsid w:val="5FA67382"/>
    <w:rsid w:val="611072FB"/>
    <w:rsid w:val="61F061FA"/>
    <w:rsid w:val="62835FF1"/>
    <w:rsid w:val="63514A76"/>
    <w:rsid w:val="647F6552"/>
    <w:rsid w:val="64BB489D"/>
    <w:rsid w:val="658226FC"/>
    <w:rsid w:val="65921CF6"/>
    <w:rsid w:val="65DB5214"/>
    <w:rsid w:val="66A82BFF"/>
    <w:rsid w:val="67AE693B"/>
    <w:rsid w:val="67F105D6"/>
    <w:rsid w:val="68BD48FE"/>
    <w:rsid w:val="69F65D89"/>
    <w:rsid w:val="6AAD2EDA"/>
    <w:rsid w:val="6B5C73C5"/>
    <w:rsid w:val="6C715A72"/>
    <w:rsid w:val="6D9C662E"/>
    <w:rsid w:val="6EEF1D13"/>
    <w:rsid w:val="71BD526D"/>
    <w:rsid w:val="73800C97"/>
    <w:rsid w:val="746F63D8"/>
    <w:rsid w:val="747B790C"/>
    <w:rsid w:val="75384D17"/>
    <w:rsid w:val="75A37A3E"/>
    <w:rsid w:val="75E31EA6"/>
    <w:rsid w:val="768A2321"/>
    <w:rsid w:val="76D0242A"/>
    <w:rsid w:val="791401EC"/>
    <w:rsid w:val="792702FB"/>
    <w:rsid w:val="7B6C0247"/>
    <w:rsid w:val="7C0971FF"/>
    <w:rsid w:val="7C1B5EED"/>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2"/>
    <w:next w:val="2"/>
    <w:link w:val="14"/>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character" w:customStyle="1" w:styleId="13">
    <w:name w:val="批注文字 字符"/>
    <w:basedOn w:val="11"/>
    <w:link w:val="2"/>
    <w:qFormat/>
    <w:uiPriority w:val="0"/>
    <w:rPr>
      <w:rFonts w:asciiTheme="minorHAnsi" w:hAnsiTheme="minorHAnsi" w:eastAsiaTheme="minorEastAsia" w:cstheme="minorBidi"/>
      <w:kern w:val="2"/>
      <w:sz w:val="21"/>
      <w:szCs w:val="24"/>
    </w:rPr>
  </w:style>
  <w:style w:type="character" w:customStyle="1" w:styleId="14">
    <w:name w:val="批注主题 字符"/>
    <w:basedOn w:val="13"/>
    <w:link w:val="8"/>
    <w:qFormat/>
    <w:uiPriority w:val="0"/>
    <w:rPr>
      <w:rFonts w:asciiTheme="minorHAnsi" w:hAnsiTheme="minorHAnsi" w:eastAsiaTheme="minorEastAsia" w:cstheme="minorBidi"/>
      <w:b/>
      <w:bCs/>
      <w:kern w:val="2"/>
      <w:sz w:val="21"/>
      <w:szCs w:val="24"/>
    </w:rPr>
  </w:style>
  <w:style w:type="character" w:customStyle="1" w:styleId="15">
    <w:name w:val="批注框文本 字符"/>
    <w:basedOn w:val="11"/>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manualLayout>
          <c:layoutTarget val="inner"/>
          <c:xMode val="edge"/>
          <c:yMode val="edge"/>
          <c:x val="0.0658263971462545"/>
          <c:y val="0.13563545745817"/>
          <c:w val="0.909797859690844"/>
          <c:h val="0.697650409398362"/>
        </c:manualLayout>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199</c:v>
                </c:pt>
                <c:pt idx="1">
                  <c:v>401.77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199</c:v>
                </c:pt>
                <c:pt idx="1">
                  <c:v>401.77</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401.77</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68.29</c:v>
                </c:pt>
                <c:pt idx="1">
                  <c:v>333.48</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199</c:v>
                </c:pt>
                <c:pt idx="1">
                  <c:v>401.77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199</c:v>
                </c:pt>
                <c:pt idx="1">
                  <c:v>401.77</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68.29</c:v>
                </c:pt>
                <c:pt idx="1">
                  <c:v>333.48</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64.73</c:v>
                </c:pt>
                <c:pt idx="1">
                  <c:v>3.56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2</c:v>
                </c:pt>
                <c:pt idx="1">
                  <c:v>2.42</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2952</Words>
  <Characters>3200</Characters>
  <Lines>20</Lines>
  <Paragraphs>5</Paragraphs>
  <TotalTime>0</TotalTime>
  <ScaleCrop>false</ScaleCrop>
  <LinksUpToDate>false</LinksUpToDate>
  <CharactersWithSpaces>3233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2023-03-07T14:16:03Z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