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w:t>
      </w:r>
      <w:r>
        <w:rPr>
          <w:rFonts w:hint="eastAsia" w:ascii="黑体" w:hAnsi="黑体" w:eastAsia="黑体" w:cs="黑体"/>
          <w:b/>
          <w:bCs/>
          <w:sz w:val="44"/>
          <w:szCs w:val="44"/>
          <w:lang w:val="en-US" w:eastAsia="zh-CN"/>
        </w:rPr>
        <w:t>教育体育局</w:t>
      </w:r>
      <w:r>
        <w:rPr>
          <w:rFonts w:hint="eastAsia" w:ascii="黑体" w:hAnsi="黑体" w:eastAsia="黑体" w:cs="黑体"/>
          <w:b/>
          <w:bCs/>
          <w:sz w:val="44"/>
          <w:szCs w:val="44"/>
        </w:rPr>
        <w:t>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eastAsia="zh-CN"/>
        </w:rPr>
        <w:t>淮滨县教育体育局</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二、部门所属预算单位构成情况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w:t>
      </w:r>
      <w:r>
        <w:rPr>
          <w:rFonts w:hint="eastAsia" w:ascii="黑体" w:hAnsi="黑体" w:eastAsia="黑体" w:cs="Times New Roman"/>
          <w:spacing w:val="-5"/>
          <w:sz w:val="32"/>
          <w:szCs w:val="32"/>
          <w:lang w:eastAsia="zh-CN"/>
        </w:rPr>
        <w:t>淮滨县教育体育局</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w:t>
      </w:r>
      <w:r>
        <w:rPr>
          <w:rFonts w:hint="eastAsia" w:ascii="黑体" w:hAnsi="黑体" w:eastAsia="黑体" w:cs="Times New Roman"/>
          <w:sz w:val="32"/>
          <w:szCs w:val="32"/>
          <w:lang w:eastAsia="zh-CN"/>
        </w:rPr>
        <w:t>淮滨县教育体育局2023年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b/>
          <w:sz w:val="36"/>
          <w:szCs w:val="36"/>
          <w:lang w:eastAsia="zh-CN"/>
        </w:rPr>
        <w:t>淮滨县教育体育局</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淮滨县教育体育局</w:t>
      </w:r>
      <w:r>
        <w:rPr>
          <w:rFonts w:ascii="黑体" w:hAnsi="黑体" w:eastAsia="黑体" w:cs="黑体"/>
          <w:bCs/>
          <w:szCs w:val="32"/>
        </w:rPr>
        <w:t>主要职责</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bCs/>
          <w:sz w:val="32"/>
          <w:szCs w:val="32"/>
        </w:rPr>
        <w:t>、</w:t>
      </w:r>
      <w:r>
        <w:rPr>
          <w:rFonts w:hint="eastAsia" w:ascii="仿宋" w:hAnsi="仿宋" w:eastAsia="仿宋" w:cs="仿宋"/>
          <w:color w:val="auto"/>
          <w:w w:val="95"/>
          <w:sz w:val="32"/>
          <w:szCs w:val="32"/>
        </w:rPr>
        <w:t>贯彻执行国家、省、市关于教育体育工作的方针、政策和法规；研究制定全县教育体育发展战略和制度并监督执行；负责教育理论研究与宣传工作，教育教学先进经验总结与推广工作。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bCs/>
          <w:w w:val="95"/>
          <w:sz w:val="32"/>
          <w:szCs w:val="32"/>
        </w:rPr>
        <w:t>、</w:t>
      </w:r>
      <w:r>
        <w:rPr>
          <w:rFonts w:hint="eastAsia" w:ascii="仿宋" w:hAnsi="仿宋" w:eastAsia="仿宋" w:cs="仿宋"/>
          <w:color w:val="auto"/>
          <w:w w:val="95"/>
          <w:sz w:val="32"/>
          <w:szCs w:val="32"/>
        </w:rPr>
        <w:t>研究提出全县教育事业发展规划及年度计划；拟订教育事业发展规模、重点、结构和速度，并负责指导、协调、督促实施；负责全县教育信息与统计工作。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统筹管理本部门教育经费；参与拟订教育拨款、教育基建投资和筹措教育经费的政策；按照有关规定管理对我县的教育援助、教育贷款。</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负责审核全县各类学校（含社会力量举办的学校）</w:t>
      </w:r>
      <w:r>
        <w:rPr>
          <w:rFonts w:hint="eastAsia" w:ascii="仿宋" w:hAnsi="仿宋" w:eastAsia="仿宋" w:cs="仿宋"/>
          <w:color w:val="auto"/>
          <w:w w:val="95"/>
          <w:sz w:val="32"/>
          <w:szCs w:val="32"/>
          <w:lang w:eastAsia="zh-CN"/>
        </w:rPr>
        <w:t>。</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负责统筹管理基础教育、职业与成人技术教育、师范教育、电化教育等工作；指导全县各类教育的教学改革，提高教育质量，全面实施素质教育。</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负责推进全县义务教育均衡发展和促进教育公平；组织对中等以下教育、扫除青壮年文盲工作的督导检查与评估工作；负责基础教育发展水平、质量监测工作。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负责指导并抓好全县各级各类学校思想政治工作、品德教育和素质教育工作、体育卫生与艺术教育工作、国防教育及安全稳定工作。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负责指导幼儿教育和特殊教育工作。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负责指导全县各级各类学校勤工俭学的实验室建设工作。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管理全县教师队伍。负责教师资格的认定管理工作；负责教育系统的表彰奖励工作；按照县职称改革领导小组的统一安排，参与实施教师专业技术职务评审工作；归口管理教师和教育行政人员继续教育和培训工作；指导各级各类学校人事与分配制度改革。</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负责全县</w:t>
      </w:r>
      <w:r>
        <w:rPr>
          <w:rFonts w:hint="eastAsia" w:ascii="仿宋" w:hAnsi="仿宋" w:eastAsia="仿宋" w:cs="仿宋"/>
          <w:color w:val="auto"/>
          <w:w w:val="95"/>
          <w:sz w:val="32"/>
          <w:szCs w:val="32"/>
          <w:lang w:val="en-US" w:eastAsia="zh-CN"/>
        </w:rPr>
        <w:t>职业教育</w:t>
      </w:r>
      <w:r>
        <w:rPr>
          <w:rFonts w:hint="eastAsia" w:ascii="仿宋" w:hAnsi="仿宋" w:eastAsia="仿宋" w:cs="仿宋"/>
          <w:color w:val="auto"/>
          <w:w w:val="95"/>
          <w:sz w:val="32"/>
          <w:szCs w:val="32"/>
        </w:rPr>
        <w:t>毕业生的就业指导与服务工作。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负责组织全县各类高等教育、中等教育招生考试工作。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指导全县各部门、行业、社会团体依法发展体育事业。推行全民健身计划，增强人民体质，促进体育运动的普及与提高；合理布局全县体育运动项目，选拔培养体育人才；积极参与承办上级主办的体育竞赛，举办全县体育竞赛；负责搞好体育设施的规划、布局和体育产业开发利用等工作；负责体育团体和民间组织的资格审查和业务指导。</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负责全县中小学信息技术教育和农村现代远程教育工作；管理教育系统的科研工作；指导教育社会团、基金会工作；下一代工作委员会等工作。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负责全县中小学“名师工程”、“名校长工程”、“名校工程”的规划、实施和管理工作。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落实国家、省、市语言文字工作的方针、政策；落实全县语言文字规范化管理和普通话推广工作。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承担全县教育系统人事档案管理工作。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color w:val="auto"/>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负责局机关及直属单位的电子政务工作。</w:t>
      </w:r>
    </w:p>
    <w:p>
      <w:pPr>
        <w:pStyle w:val="3"/>
        <w:numPr>
          <w:ilvl w:val="0"/>
          <w:numId w:val="4"/>
        </w:numPr>
        <w:tabs>
          <w:tab w:val="left" w:pos="880"/>
        </w:tabs>
        <w:kinsoku w:val="0"/>
        <w:overflowPunct w:val="0"/>
        <w:spacing w:before="0"/>
        <w:ind w:left="310" w:leftChars="0" w:firstLine="320" w:firstLineChars="0"/>
        <w:jc w:val="left"/>
        <w:rPr>
          <w:rFonts w:hint="eastAsia" w:ascii="仿宋" w:hAnsi="仿宋" w:eastAsia="仿宋" w:cs="仿宋"/>
          <w:bCs/>
          <w:w w:val="95"/>
          <w:sz w:val="32"/>
          <w:szCs w:val="32"/>
        </w:rPr>
      </w:pPr>
      <w:r>
        <w:rPr>
          <w:rFonts w:hint="eastAsia" w:ascii="仿宋" w:hAnsi="仿宋" w:eastAsia="仿宋" w:cs="仿宋"/>
          <w:color w:val="auto"/>
          <w:w w:val="95"/>
          <w:sz w:val="32"/>
          <w:szCs w:val="32"/>
          <w:lang w:eastAsia="zh-CN"/>
        </w:rPr>
        <w:t>、</w:t>
      </w:r>
      <w:r>
        <w:rPr>
          <w:rFonts w:hint="eastAsia" w:ascii="仿宋" w:hAnsi="仿宋" w:eastAsia="仿宋" w:cs="仿宋"/>
          <w:color w:val="auto"/>
          <w:w w:val="95"/>
          <w:sz w:val="32"/>
          <w:szCs w:val="32"/>
        </w:rPr>
        <w:t>承办县政府交办的其他事项。</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淮滨县教育体育局</w:t>
      </w:r>
      <w:r>
        <w:rPr>
          <w:rFonts w:hint="eastAsia" w:ascii="黑体" w:hAnsi="黑体" w:eastAsia="黑体" w:cs="黑体"/>
          <w:bCs/>
          <w:szCs w:val="32"/>
          <w:lang w:val="en-US" w:eastAsia="zh-CN"/>
        </w:rPr>
        <w:t>内设机构设置情况</w:t>
      </w:r>
    </w:p>
    <w:p>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淮滨县</w:t>
      </w:r>
      <w:r>
        <w:rPr>
          <w:rFonts w:hint="eastAsia" w:ascii="仿宋" w:hAnsi="仿宋" w:eastAsia="仿宋" w:cs="仿宋"/>
          <w:bCs/>
          <w:sz w:val="32"/>
          <w:szCs w:val="32"/>
          <w:lang w:eastAsia="zh-CN"/>
        </w:rPr>
        <w:t>教育体育局</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年部门预算包括局机关本级预算和局属二级机构</w:t>
      </w:r>
      <w:r>
        <w:rPr>
          <w:rFonts w:hint="eastAsia" w:ascii="仿宋" w:hAnsi="仿宋" w:eastAsia="仿宋" w:cs="仿宋"/>
          <w:bCs/>
          <w:sz w:val="32"/>
          <w:szCs w:val="32"/>
          <w:lang w:val="en-US" w:eastAsia="zh-CN"/>
        </w:rPr>
        <w:t>单位</w:t>
      </w:r>
      <w:r>
        <w:rPr>
          <w:rFonts w:hint="eastAsia" w:ascii="仿宋" w:hAnsi="仿宋" w:eastAsia="仿宋" w:cs="仿宋"/>
          <w:bCs/>
          <w:sz w:val="32"/>
          <w:szCs w:val="32"/>
        </w:rPr>
        <w:t>预算。</w:t>
      </w:r>
    </w:p>
    <w:p>
      <w:pPr>
        <w:pStyle w:val="3"/>
        <w:numPr>
          <w:numId w:val="0"/>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仿宋" w:hAnsi="仿宋" w:eastAsia="仿宋" w:cs="仿宋"/>
          <w:bCs/>
          <w:sz w:val="32"/>
          <w:szCs w:val="32"/>
        </w:rPr>
        <w:t>局机关本级预算包括：办公室、</w:t>
      </w:r>
      <w:r>
        <w:rPr>
          <w:rFonts w:hint="eastAsia" w:ascii="仿宋" w:hAnsi="仿宋" w:eastAsia="仿宋" w:cs="仿宋"/>
          <w:bCs/>
          <w:sz w:val="32"/>
          <w:szCs w:val="32"/>
          <w:lang w:val="en-US" w:eastAsia="zh-CN"/>
        </w:rPr>
        <w:t>人事股</w:t>
      </w:r>
      <w:r>
        <w:rPr>
          <w:rFonts w:hint="eastAsia" w:ascii="仿宋" w:hAnsi="仿宋" w:eastAsia="仿宋" w:cs="仿宋"/>
          <w:bCs/>
          <w:sz w:val="32"/>
          <w:szCs w:val="32"/>
        </w:rPr>
        <w:t>、</w:t>
      </w:r>
      <w:r>
        <w:rPr>
          <w:rFonts w:hint="eastAsia" w:ascii="仿宋" w:hAnsi="仿宋" w:eastAsia="仿宋" w:cs="仿宋"/>
          <w:bCs/>
          <w:sz w:val="32"/>
          <w:szCs w:val="32"/>
          <w:lang w:val="en-US" w:eastAsia="zh-CN"/>
        </w:rPr>
        <w:t>计财股</w:t>
      </w:r>
      <w:r>
        <w:rPr>
          <w:rFonts w:hint="eastAsia" w:ascii="仿宋" w:hAnsi="仿宋" w:eastAsia="仿宋" w:cs="仿宋"/>
          <w:bCs/>
          <w:sz w:val="32"/>
          <w:szCs w:val="32"/>
        </w:rPr>
        <w:t>、</w:t>
      </w:r>
      <w:r>
        <w:rPr>
          <w:rFonts w:hint="eastAsia" w:ascii="仿宋" w:hAnsi="仿宋" w:eastAsia="仿宋" w:cs="仿宋"/>
          <w:bCs/>
          <w:sz w:val="32"/>
          <w:szCs w:val="32"/>
          <w:lang w:val="en-US" w:eastAsia="zh-CN"/>
        </w:rPr>
        <w:t>教育股、体卫艺</w:t>
      </w:r>
      <w:r>
        <w:rPr>
          <w:rFonts w:hint="eastAsia" w:ascii="仿宋" w:hAnsi="仿宋" w:eastAsia="仿宋" w:cs="仿宋"/>
          <w:bCs/>
          <w:sz w:val="32"/>
          <w:szCs w:val="32"/>
        </w:rPr>
        <w:t>股</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法规股、职教股、成教股、老干股、等股</w:t>
      </w:r>
      <w:r>
        <w:rPr>
          <w:rFonts w:hint="eastAsia" w:ascii="仿宋" w:hAnsi="仿宋" w:eastAsia="仿宋" w:cs="仿宋"/>
          <w:bCs/>
          <w:sz w:val="32"/>
          <w:szCs w:val="32"/>
        </w:rPr>
        <w:t>室的预算。</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淮滨县教育体育局</w:t>
      </w:r>
      <w:r>
        <w:rPr>
          <w:rFonts w:hint="eastAsia" w:ascii="黑体" w:hAnsi="黑体" w:eastAsia="黑体" w:cs="黑体"/>
          <w:bCs/>
          <w:szCs w:val="32"/>
          <w:lang w:val="en-US" w:eastAsia="zh-CN"/>
        </w:rPr>
        <w:t>部门所属预算单位构成情况</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教体局机关本级</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淮滨县基础教育教学研究室</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淮滨县招生考试服务中心</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淮滨县电化教育教学仪器馆</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淮滨县青少年校外活动中心</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淮滨县教育园区后勤服务中心</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淮滨县电大教育中心</w:t>
      </w:r>
    </w:p>
    <w:p>
      <w:pPr>
        <w:numPr>
          <w:ilvl w:val="0"/>
          <w:numId w:val="5"/>
        </w:num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lang w:val="en-US" w:eastAsia="zh-CN"/>
        </w:rPr>
        <w:t>淮滨县教师进修学校</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lang w:eastAsia="zh-CN"/>
        </w:rPr>
        <w:t>淮滨县教育体育局2023年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6"/>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eastAsia="zh-CN"/>
        </w:rPr>
        <w:t>淮滨县教育体育局2023年</w:t>
      </w:r>
      <w:r>
        <w:rPr>
          <w:rFonts w:hint="eastAsia" w:ascii="仿宋" w:hAnsi="仿宋" w:eastAsia="仿宋" w:cs="仿宋"/>
          <w:sz w:val="32"/>
          <w:szCs w:val="32"/>
        </w:rPr>
        <w:t>收入总计4455.42</w:t>
      </w:r>
      <w:r>
        <w:rPr>
          <w:rFonts w:hint="eastAsia" w:ascii="仿宋" w:hAnsi="仿宋" w:eastAsia="仿宋" w:cs="仿宋"/>
          <w:sz w:val="32"/>
          <w:szCs w:val="32"/>
          <w:lang w:val="en-US" w:eastAsia="zh-CN"/>
        </w:rPr>
        <w:t>万元</w:t>
      </w:r>
      <w:r>
        <w:rPr>
          <w:rFonts w:hint="eastAsia" w:ascii="仿宋" w:hAnsi="仿宋" w:eastAsia="仿宋" w:cs="仿宋"/>
          <w:sz w:val="32"/>
          <w:szCs w:val="32"/>
        </w:rPr>
        <w:t>，支出总计4455.42万元,与202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114.8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2.64</w:t>
      </w:r>
      <w:r>
        <w:rPr>
          <w:rFonts w:hint="eastAsia" w:ascii="仿宋" w:hAnsi="仿宋" w:eastAsia="仿宋" w:cs="仿宋"/>
          <w:sz w:val="32"/>
          <w:szCs w:val="32"/>
        </w:rPr>
        <w:t>%。主要原因</w:t>
      </w:r>
      <w:r>
        <w:rPr>
          <w:rFonts w:hint="eastAsia" w:ascii="仿宋" w:hAnsi="仿宋" w:eastAsia="仿宋" w:cs="仿宋"/>
          <w:sz w:val="32"/>
          <w:szCs w:val="32"/>
          <w:lang w:val="en-US" w:eastAsia="zh-CN"/>
        </w:rPr>
        <w:t>中招体育考试改革，增加中招考务经费及中招体育考务经费收支</w:t>
      </w:r>
      <w:r>
        <w:rPr>
          <w:rFonts w:hint="eastAsia" w:ascii="仿宋" w:hAnsi="仿宋" w:eastAsia="仿宋" w:cs="仿宋"/>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6"/>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淮滨县教育体育局2023年</w:t>
      </w:r>
      <w:r>
        <w:rPr>
          <w:rFonts w:hint="eastAsia" w:ascii="仿宋" w:hAnsi="仿宋" w:eastAsia="仿宋" w:cs="仿宋"/>
          <w:sz w:val="32"/>
        </w:rPr>
        <w:t>收入合计</w:t>
      </w:r>
      <w:r>
        <w:rPr>
          <w:rFonts w:hint="eastAsia" w:ascii="仿宋" w:hAnsi="仿宋" w:eastAsia="仿宋" w:cs="仿宋"/>
          <w:sz w:val="32"/>
          <w:szCs w:val="32"/>
        </w:rPr>
        <w:t>4455.42</w:t>
      </w:r>
      <w:r>
        <w:rPr>
          <w:rFonts w:hint="eastAsia" w:ascii="仿宋" w:hAnsi="仿宋" w:eastAsia="仿宋" w:cs="仿宋"/>
          <w:sz w:val="32"/>
        </w:rPr>
        <w:t>万元，其中：一般公共预算收入</w:t>
      </w:r>
      <w:r>
        <w:rPr>
          <w:rFonts w:hint="eastAsia" w:ascii="仿宋" w:hAnsi="仿宋" w:eastAsia="仿宋" w:cs="仿宋"/>
          <w:sz w:val="32"/>
          <w:lang w:eastAsia="zh-CN"/>
        </w:rPr>
        <w:t>4415.42</w:t>
      </w:r>
      <w:r>
        <w:rPr>
          <w:rFonts w:hint="eastAsia" w:ascii="仿宋" w:hAnsi="仿宋" w:eastAsia="仿宋" w:cs="仿宋"/>
          <w:sz w:val="32"/>
        </w:rPr>
        <w:t>万元，财政专户管理资金收入</w:t>
      </w:r>
      <w:r>
        <w:rPr>
          <w:rFonts w:hint="eastAsia" w:ascii="仿宋" w:hAnsi="仿宋" w:eastAsia="仿宋" w:cs="仿宋"/>
          <w:sz w:val="32"/>
          <w:lang w:val="en-US" w:eastAsia="zh-CN"/>
        </w:rPr>
        <w:t>40.00万元，</w:t>
      </w:r>
      <w:r>
        <w:rPr>
          <w:rFonts w:hint="eastAsia" w:ascii="仿宋" w:hAnsi="仿宋" w:eastAsia="仿宋" w:cs="仿宋"/>
          <w:sz w:val="32"/>
        </w:rPr>
        <w:t>上年结转结余</w:t>
      </w:r>
      <w:r>
        <w:rPr>
          <w:rFonts w:hint="eastAsia" w:ascii="仿宋" w:hAnsi="仿宋" w:eastAsia="仿宋" w:cs="仿宋"/>
          <w:sz w:val="32"/>
          <w:lang w:val="en-US" w:eastAsia="zh-CN"/>
        </w:rPr>
        <w:t>0.00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6"/>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淮滨县教育体育局2023年</w:t>
      </w:r>
      <w:r>
        <w:rPr>
          <w:rFonts w:hint="eastAsia" w:ascii="仿宋" w:hAnsi="仿宋" w:eastAsia="仿宋" w:cs="仿宋"/>
          <w:sz w:val="32"/>
        </w:rPr>
        <w:t>支出合计</w:t>
      </w:r>
      <w:r>
        <w:rPr>
          <w:rFonts w:hint="eastAsia" w:ascii="仿宋" w:hAnsi="仿宋" w:eastAsia="仿宋" w:cs="仿宋"/>
          <w:sz w:val="32"/>
          <w:lang w:eastAsia="zh-CN"/>
        </w:rPr>
        <w:t>4455.4</w:t>
      </w:r>
      <w:r>
        <w:rPr>
          <w:rFonts w:hint="eastAsia" w:ascii="仿宋" w:hAnsi="仿宋" w:eastAsia="仿宋" w:cs="仿宋"/>
          <w:sz w:val="32"/>
          <w:lang w:val="en-US" w:eastAsia="zh-CN"/>
        </w:rPr>
        <w:t>2</w:t>
      </w:r>
      <w:r>
        <w:rPr>
          <w:rFonts w:hint="eastAsia" w:ascii="仿宋" w:hAnsi="仿宋" w:eastAsia="仿宋" w:cs="仿宋"/>
          <w:sz w:val="32"/>
        </w:rPr>
        <w:t>万元，其中：基本支出</w:t>
      </w:r>
      <w:r>
        <w:rPr>
          <w:rFonts w:hint="eastAsia" w:ascii="仿宋" w:hAnsi="仿宋" w:eastAsia="仿宋" w:cs="仿宋"/>
          <w:sz w:val="32"/>
          <w:lang w:eastAsia="zh-CN"/>
        </w:rPr>
        <w:t>1876.54</w:t>
      </w:r>
      <w:r>
        <w:rPr>
          <w:rFonts w:hint="eastAsia" w:ascii="仿宋" w:hAnsi="仿宋" w:eastAsia="仿宋" w:cs="仿宋"/>
          <w:sz w:val="32"/>
        </w:rPr>
        <w:t>万元，占</w:t>
      </w:r>
      <w:r>
        <w:rPr>
          <w:rFonts w:hint="eastAsia" w:ascii="仿宋" w:hAnsi="仿宋" w:eastAsia="仿宋" w:cs="仿宋"/>
          <w:sz w:val="32"/>
          <w:lang w:val="en-US" w:eastAsia="zh-CN"/>
        </w:rPr>
        <w:t>42.12</w:t>
      </w:r>
      <w:r>
        <w:rPr>
          <w:rFonts w:hint="eastAsia" w:ascii="仿宋" w:hAnsi="仿宋" w:eastAsia="仿宋" w:cs="仿宋"/>
          <w:sz w:val="32"/>
        </w:rPr>
        <w:t>%；项目支出</w:t>
      </w:r>
      <w:r>
        <w:rPr>
          <w:rFonts w:hint="eastAsia" w:ascii="仿宋" w:hAnsi="仿宋" w:eastAsia="仿宋" w:cs="仿宋"/>
          <w:sz w:val="32"/>
          <w:lang w:eastAsia="zh-CN"/>
        </w:rPr>
        <w:t>2578.88</w:t>
      </w:r>
      <w:r>
        <w:rPr>
          <w:rFonts w:hint="eastAsia" w:ascii="仿宋" w:hAnsi="仿宋" w:eastAsia="仿宋" w:cs="仿宋"/>
          <w:sz w:val="32"/>
        </w:rPr>
        <w:t>万元，占</w:t>
      </w:r>
      <w:r>
        <w:rPr>
          <w:rFonts w:hint="eastAsia" w:ascii="仿宋" w:hAnsi="仿宋" w:eastAsia="仿宋" w:cs="仿宋"/>
          <w:sz w:val="32"/>
          <w:lang w:val="en-US" w:eastAsia="zh-CN"/>
        </w:rPr>
        <w:t>57.88</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6"/>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教育体育局</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财政拨款</w:t>
      </w:r>
      <w:r>
        <w:rPr>
          <w:rFonts w:hint="eastAsia" w:ascii="仿宋" w:hAnsi="仿宋" w:eastAsia="仿宋" w:cs="仿宋"/>
          <w:sz w:val="32"/>
        </w:rPr>
        <w:t>收支预算</w:t>
      </w:r>
      <w:r>
        <w:rPr>
          <w:rFonts w:hint="eastAsia" w:ascii="仿宋" w:hAnsi="仿宋" w:eastAsia="仿宋" w:cs="仿宋"/>
          <w:sz w:val="32"/>
          <w:lang w:eastAsia="zh-CN"/>
        </w:rPr>
        <w:t>4415.42</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w:t>
      </w:r>
      <w:r>
        <w:rPr>
          <w:rFonts w:hint="eastAsia" w:ascii="仿宋" w:hAnsi="仿宋" w:eastAsia="仿宋" w:cs="仿宋"/>
          <w:sz w:val="32"/>
          <w:lang w:val="en-US" w:eastAsia="zh-CN"/>
        </w:rPr>
        <w:t>财政拨款</w:t>
      </w:r>
      <w:r>
        <w:rPr>
          <w:rFonts w:hint="eastAsia" w:ascii="仿宋" w:hAnsi="仿宋" w:eastAsia="仿宋" w:cs="仿宋"/>
          <w:sz w:val="32"/>
        </w:rPr>
        <w:t>收支预算增加</w:t>
      </w:r>
      <w:r>
        <w:rPr>
          <w:rFonts w:hint="eastAsia" w:ascii="仿宋" w:hAnsi="仿宋" w:eastAsia="仿宋" w:cs="仿宋"/>
          <w:sz w:val="32"/>
          <w:szCs w:val="32"/>
          <w:lang w:val="en-US" w:eastAsia="zh-CN"/>
        </w:rPr>
        <w:t>74.8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1.72%</w:t>
      </w:r>
      <w:r>
        <w:rPr>
          <w:rFonts w:hint="eastAsia" w:ascii="仿宋" w:hAnsi="仿宋" w:eastAsia="仿宋" w:cs="仿宋"/>
          <w:sz w:val="32"/>
        </w:rPr>
        <w:t>，主要原因</w:t>
      </w:r>
      <w:r>
        <w:rPr>
          <w:rFonts w:hint="eastAsia" w:ascii="仿宋" w:hAnsi="仿宋" w:eastAsia="仿宋" w:cs="仿宋"/>
          <w:sz w:val="32"/>
          <w:szCs w:val="32"/>
        </w:rPr>
        <w:t>主要原因</w:t>
      </w:r>
      <w:r>
        <w:rPr>
          <w:rFonts w:hint="eastAsia" w:ascii="仿宋" w:hAnsi="仿宋" w:eastAsia="仿宋" w:cs="仿宋"/>
          <w:sz w:val="32"/>
          <w:szCs w:val="32"/>
          <w:lang w:val="en-US" w:eastAsia="zh-CN"/>
        </w:rPr>
        <w:t>1.中招体育考试改革，增加中招考务经费及中招体育考务经费收支增加2.教体局师校教师培训收费列入</w:t>
      </w:r>
      <w:r>
        <w:rPr>
          <w:rFonts w:hint="eastAsia" w:ascii="仿宋" w:hAnsi="仿宋" w:eastAsia="仿宋" w:cs="仿宋"/>
          <w:sz w:val="32"/>
        </w:rPr>
        <w:t>财政专户管理资金</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6"/>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z w:val="32"/>
          <w:lang w:eastAsia="zh-CN"/>
        </w:rPr>
        <w:t>淮滨县教育体育局2023年</w:t>
      </w:r>
      <w:r>
        <w:rPr>
          <w:rFonts w:hint="eastAsia" w:ascii="仿宋" w:hAnsi="仿宋" w:eastAsia="仿宋" w:cs="仿宋"/>
          <w:sz w:val="32"/>
        </w:rPr>
        <w:t>一般公共预算支出年初预算为4415.42万元。其中：基本支出</w:t>
      </w:r>
      <w:r>
        <w:rPr>
          <w:rFonts w:hint="eastAsia" w:ascii="仿宋" w:hAnsi="仿宋" w:eastAsia="仿宋" w:cs="仿宋"/>
          <w:sz w:val="32"/>
          <w:lang w:eastAsia="zh-CN"/>
        </w:rPr>
        <w:t>1876.54</w:t>
      </w:r>
      <w:r>
        <w:rPr>
          <w:rFonts w:hint="eastAsia" w:ascii="仿宋" w:hAnsi="仿宋" w:eastAsia="仿宋" w:cs="仿宋"/>
          <w:sz w:val="32"/>
        </w:rPr>
        <w:t>万元，占</w:t>
      </w:r>
      <w:r>
        <w:rPr>
          <w:rFonts w:hint="eastAsia" w:ascii="仿宋" w:hAnsi="仿宋" w:eastAsia="仿宋" w:cs="仿宋"/>
          <w:sz w:val="32"/>
          <w:lang w:val="en-US" w:eastAsia="zh-CN"/>
        </w:rPr>
        <w:t>42.50</w:t>
      </w:r>
      <w:r>
        <w:rPr>
          <w:rFonts w:hint="eastAsia" w:ascii="仿宋" w:hAnsi="仿宋" w:eastAsia="仿宋" w:cs="仿宋"/>
          <w:sz w:val="32"/>
        </w:rPr>
        <w:t>%;项目支出</w:t>
      </w:r>
      <w:r>
        <w:rPr>
          <w:rFonts w:hint="eastAsia" w:ascii="仿宋" w:hAnsi="仿宋" w:eastAsia="仿宋" w:cs="仿宋"/>
          <w:sz w:val="32"/>
          <w:lang w:eastAsia="zh-CN"/>
        </w:rPr>
        <w:t>2538.88</w:t>
      </w:r>
      <w:r>
        <w:rPr>
          <w:rFonts w:hint="eastAsia" w:ascii="仿宋" w:hAnsi="仿宋" w:eastAsia="仿宋" w:cs="仿宋"/>
          <w:sz w:val="32"/>
        </w:rPr>
        <w:t>万元，占</w:t>
      </w:r>
      <w:r>
        <w:rPr>
          <w:rFonts w:hint="eastAsia" w:ascii="仿宋" w:hAnsi="仿宋" w:eastAsia="仿宋" w:cs="仿宋"/>
          <w:sz w:val="32"/>
          <w:lang w:val="en-US" w:eastAsia="zh-CN"/>
        </w:rPr>
        <w:t>57.50</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6"/>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color w:val="000000"/>
          <w:sz w:val="32"/>
          <w:szCs w:val="32"/>
          <w:lang w:eastAsia="zh-CN"/>
        </w:rPr>
        <w:t>淮滨县教育体育局2023年</w:t>
      </w:r>
      <w:r>
        <w:rPr>
          <w:rFonts w:hint="eastAsia" w:ascii="仿宋" w:hAnsi="仿宋" w:eastAsia="仿宋" w:cs="仿宋"/>
          <w:color w:val="000000"/>
          <w:sz w:val="32"/>
          <w:szCs w:val="32"/>
        </w:rPr>
        <w:t>一般公共预算基本支出年初预算为</w:t>
      </w:r>
      <w:r>
        <w:rPr>
          <w:rFonts w:hint="eastAsia" w:ascii="仿宋" w:hAnsi="仿宋" w:eastAsia="仿宋" w:cs="仿宋"/>
          <w:sz w:val="32"/>
          <w:lang w:eastAsia="zh-CN"/>
        </w:rPr>
        <w:t>1876.54</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1784.46</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95.09</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92.08</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4.91</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6"/>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lang w:eastAsia="zh-CN"/>
        </w:rPr>
        <w:t>淮滨县教育体育局2023年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14.16</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14.16</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主要用于按规定开支的各类公务接待支出。</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val="en-US" w:eastAsia="zh-CN"/>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6"/>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无使用政府性基金预算拨款安排的支出。</w:t>
      </w:r>
    </w:p>
    <w:p>
      <w:pPr>
        <w:numPr>
          <w:ilvl w:val="0"/>
          <w:numId w:val="6"/>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color w:val="000000" w:themeColor="text1"/>
          <w:sz w:val="32"/>
          <w:highlight w:val="none"/>
          <w14:textFill>
            <w14:solidFill>
              <w14:schemeClr w14:val="tx1"/>
            </w14:solidFill>
          </w14:textFill>
        </w:rPr>
      </w:pPr>
      <w:r>
        <w:rPr>
          <w:rFonts w:hint="eastAsia" w:ascii="仿宋" w:hAnsi="仿宋" w:eastAsia="仿宋" w:cs="仿宋"/>
          <w:color w:val="000000" w:themeColor="text1"/>
          <w:sz w:val="32"/>
          <w:highlight w:val="none"/>
          <w14:textFill>
            <w14:solidFill>
              <w14:schemeClr w14:val="tx1"/>
            </w14:solidFill>
          </w14:textFill>
        </w:rPr>
        <w:t>我单位202</w:t>
      </w:r>
      <w:r>
        <w:rPr>
          <w:rFonts w:hint="eastAsia" w:ascii="仿宋" w:hAnsi="仿宋" w:eastAsia="仿宋" w:cs="仿宋"/>
          <w:color w:val="000000" w:themeColor="text1"/>
          <w:sz w:val="32"/>
          <w:highlight w:val="none"/>
          <w:lang w:val="en-US" w:eastAsia="zh-CN"/>
          <w14:textFill>
            <w14:solidFill>
              <w14:schemeClr w14:val="tx1"/>
            </w14:solidFill>
          </w14:textFill>
        </w:rPr>
        <w:t>3</w:t>
      </w:r>
      <w:r>
        <w:rPr>
          <w:rFonts w:hint="eastAsia" w:ascii="仿宋" w:hAnsi="仿宋" w:eastAsia="仿宋" w:cs="仿宋"/>
          <w:color w:val="000000" w:themeColor="text1"/>
          <w:sz w:val="32"/>
          <w:highlight w:val="none"/>
          <w14:textFill>
            <w14:solidFill>
              <w14:schemeClr w14:val="tx1"/>
            </w14:solidFill>
          </w14:textFill>
        </w:rPr>
        <w:t>年机关运行经费支出预算</w:t>
      </w:r>
      <w:r>
        <w:rPr>
          <w:rFonts w:hint="eastAsia" w:ascii="仿宋" w:hAnsi="仿宋" w:eastAsia="仿宋" w:cs="仿宋"/>
          <w:color w:val="000000"/>
          <w:sz w:val="32"/>
          <w:szCs w:val="32"/>
          <w:lang w:val="en-US" w:eastAsia="zh-CN"/>
        </w:rPr>
        <w:t>92.08</w:t>
      </w:r>
      <w:r>
        <w:rPr>
          <w:rFonts w:hint="eastAsia" w:ascii="仿宋" w:hAnsi="仿宋" w:eastAsia="仿宋" w:cs="仿宋"/>
          <w:color w:val="000000" w:themeColor="text1"/>
          <w:sz w:val="32"/>
          <w:highlight w:val="none"/>
          <w14:textFill>
            <w14:solidFill>
              <w14:schemeClr w14:val="tx1"/>
            </w14:solidFill>
          </w14:textFill>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7"/>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bookmarkStart w:id="0" w:name="_GoBack"/>
      <w:r>
        <w:rPr>
          <w:rFonts w:hint="eastAsia" w:ascii="仿宋" w:hAnsi="仿宋" w:eastAsia="仿宋" w:cs="仿宋"/>
          <w:sz w:val="32"/>
          <w:lang w:val="en-US" w:eastAsia="zh-CN"/>
        </w:rPr>
        <w:t>2023年部门预算金额共计</w:t>
      </w:r>
      <w:r>
        <w:rPr>
          <w:rFonts w:hint="eastAsia" w:ascii="仿宋" w:hAnsi="仿宋" w:eastAsia="仿宋" w:cs="仿宋"/>
          <w:sz w:val="32"/>
          <w:szCs w:val="32"/>
        </w:rPr>
        <w:t>4455.42</w:t>
      </w:r>
      <w:r>
        <w:rPr>
          <w:rFonts w:hint="eastAsia" w:ascii="仿宋" w:hAnsi="仿宋" w:eastAsia="仿宋" w:cs="仿宋"/>
          <w:sz w:val="32"/>
          <w:szCs w:val="32"/>
          <w:lang w:val="en-US" w:eastAsia="zh-CN"/>
        </w:rPr>
        <w:t>万元，其中项目共19个，金额为2578.88万元。</w:t>
      </w:r>
    </w:p>
    <w:bookmarkEnd w:id="0"/>
    <w:p>
      <w:pPr>
        <w:numPr>
          <w:ilvl w:val="0"/>
          <w:numId w:val="7"/>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黑体" w:hAnsi="黑体" w:eastAsia="黑体"/>
          <w:b/>
          <w:bCs/>
          <w:sz w:val="36"/>
          <w:szCs w:val="36"/>
        </w:rPr>
      </w:pPr>
      <w:r>
        <w:rPr>
          <w:rFonts w:hint="eastAsia" w:ascii="仿宋" w:hAnsi="仿宋" w:eastAsia="仿宋" w:cs="仿宋"/>
          <w:sz w:val="32"/>
        </w:rPr>
        <w:t>我单位</w:t>
      </w:r>
      <w:r>
        <w:rPr>
          <w:rFonts w:hint="eastAsia" w:ascii="仿宋" w:hAnsi="仿宋" w:eastAsia="仿宋" w:cs="仿宋"/>
          <w:sz w:val="32"/>
          <w:lang w:val="en-US" w:eastAsia="zh-CN"/>
        </w:rPr>
        <w:t>2023年</w:t>
      </w:r>
      <w:r>
        <w:rPr>
          <w:rFonts w:hint="eastAsia" w:ascii="仿宋" w:hAnsi="仿宋" w:eastAsia="仿宋" w:cs="仿宋"/>
          <w:sz w:val="32"/>
          <w:lang w:eastAsia="zh-CN"/>
        </w:rPr>
        <w:t>无</w:t>
      </w:r>
      <w:r>
        <w:rPr>
          <w:rFonts w:hint="eastAsia" w:ascii="仿宋" w:hAnsi="仿宋" w:eastAsia="仿宋" w:cs="仿宋"/>
          <w:sz w:val="32"/>
        </w:rPr>
        <w:t>专项转移支付项目。</w:t>
      </w: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8"/>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8"/>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8"/>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8"/>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8"/>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w:t>
      </w:r>
      <w:r>
        <w:rPr>
          <w:rFonts w:hint="eastAsia" w:ascii="黑体" w:hAnsi="黑体" w:eastAsia="黑体" w:cs="黑体"/>
          <w:sz w:val="32"/>
          <w:lang w:val="en-US" w:eastAsia="zh-CN"/>
        </w:rPr>
        <w:t>教育体育局</w:t>
      </w:r>
      <w:r>
        <w:rPr>
          <w:rFonts w:hint="eastAsia" w:ascii="黑体" w:hAnsi="黑体" w:eastAsia="黑体" w:cs="黑体"/>
          <w:sz w:val="32"/>
        </w:rPr>
        <w:t>202</w:t>
      </w:r>
      <w:r>
        <w:rPr>
          <w:rFonts w:hint="eastAsia" w:ascii="黑体" w:hAnsi="黑体" w:eastAsia="黑体" w:cs="黑体"/>
          <w:sz w:val="32"/>
          <w:lang w:val="en-US" w:eastAsia="zh-CN"/>
        </w:rPr>
        <w:t>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5AA461E7"/>
    <w:multiLevelType w:val="singleLevel"/>
    <w:tmpl w:val="5AA461E7"/>
    <w:lvl w:ilvl="0" w:tentative="0">
      <w:start w:val="1"/>
      <w:numFmt w:val="decimal"/>
      <w:suff w:val="nothing"/>
      <w:lvlText w:val="%1、"/>
      <w:lvlJc w:val="left"/>
    </w:lvl>
  </w:abstractNum>
  <w:abstractNum w:abstractNumId="5">
    <w:nsid w:val="61D09A37"/>
    <w:multiLevelType w:val="singleLevel"/>
    <w:tmpl w:val="61D09A37"/>
    <w:lvl w:ilvl="0" w:tentative="0">
      <w:start w:val="1"/>
      <w:numFmt w:val="chineseCounting"/>
      <w:suff w:val="nothing"/>
      <w:lvlText w:val="（%1）"/>
      <w:lvlJc w:val="left"/>
      <w:pPr>
        <w:ind w:left="-110"/>
      </w:pPr>
      <w:rPr>
        <w:rFonts w:hint="eastAsia"/>
      </w:rPr>
    </w:lvl>
  </w:abstractNum>
  <w:abstractNum w:abstractNumId="6">
    <w:nsid w:val="6EC1A300"/>
    <w:multiLevelType w:val="singleLevel"/>
    <w:tmpl w:val="6EC1A300"/>
    <w:lvl w:ilvl="0" w:tentative="0">
      <w:start w:val="1"/>
      <w:numFmt w:val="chineseCounting"/>
      <w:suff w:val="nothing"/>
      <w:lvlText w:val="%1、"/>
      <w:lvlJc w:val="left"/>
      <w:rPr>
        <w:rFonts w:hint="eastAsia"/>
      </w:rPr>
    </w:lvl>
  </w:abstractNum>
  <w:abstractNum w:abstractNumId="7">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6"/>
  </w:num>
  <w:num w:numId="4">
    <w:abstractNumId w:val="5"/>
  </w:num>
  <w:num w:numId="5">
    <w:abstractNumId w:val="4"/>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hZTE5YTJiN2MyYjVjNzJmNTIwZTBmZDU0NzgyNGEifQ=="/>
    <w:docVar w:name="KSO_WPS_MARK_KEY" w:val="1c95b384-0a60-4a28-8c2f-7eb0d8688faa"/>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CB7750D"/>
    <w:rsid w:val="0D0F4ED6"/>
    <w:rsid w:val="0D513137"/>
    <w:rsid w:val="10602789"/>
    <w:rsid w:val="123258EF"/>
    <w:rsid w:val="12EF1A32"/>
    <w:rsid w:val="144A1E7D"/>
    <w:rsid w:val="15F07B94"/>
    <w:rsid w:val="173B6758"/>
    <w:rsid w:val="191C5F4B"/>
    <w:rsid w:val="1B351FAC"/>
    <w:rsid w:val="1B637AEF"/>
    <w:rsid w:val="1C8B464F"/>
    <w:rsid w:val="1CA53161"/>
    <w:rsid w:val="1D0460DA"/>
    <w:rsid w:val="1D2E3157"/>
    <w:rsid w:val="1F046865"/>
    <w:rsid w:val="1FE67D19"/>
    <w:rsid w:val="228003BD"/>
    <w:rsid w:val="228C104B"/>
    <w:rsid w:val="22CA1FC5"/>
    <w:rsid w:val="246B28E3"/>
    <w:rsid w:val="24DA1A42"/>
    <w:rsid w:val="274F7F6E"/>
    <w:rsid w:val="279A1B15"/>
    <w:rsid w:val="27A42993"/>
    <w:rsid w:val="28196722"/>
    <w:rsid w:val="28447CD2"/>
    <w:rsid w:val="2959414C"/>
    <w:rsid w:val="2AA67AA4"/>
    <w:rsid w:val="2AA8279A"/>
    <w:rsid w:val="2ACE5F14"/>
    <w:rsid w:val="2C081B10"/>
    <w:rsid w:val="2D4A0B6E"/>
    <w:rsid w:val="2F072B71"/>
    <w:rsid w:val="2F420A88"/>
    <w:rsid w:val="2F8530AA"/>
    <w:rsid w:val="32476D3D"/>
    <w:rsid w:val="326C12BA"/>
    <w:rsid w:val="33ED121E"/>
    <w:rsid w:val="3402116D"/>
    <w:rsid w:val="34030A42"/>
    <w:rsid w:val="34E010E6"/>
    <w:rsid w:val="358856A2"/>
    <w:rsid w:val="3699743B"/>
    <w:rsid w:val="38237904"/>
    <w:rsid w:val="3872263A"/>
    <w:rsid w:val="39D84127"/>
    <w:rsid w:val="3A2B0CF2"/>
    <w:rsid w:val="3A865F28"/>
    <w:rsid w:val="3C1F6635"/>
    <w:rsid w:val="3E5A6C85"/>
    <w:rsid w:val="419D0727"/>
    <w:rsid w:val="41FF59D4"/>
    <w:rsid w:val="43572B58"/>
    <w:rsid w:val="45554E75"/>
    <w:rsid w:val="456A4DC4"/>
    <w:rsid w:val="469D4D26"/>
    <w:rsid w:val="46D01A4F"/>
    <w:rsid w:val="46DB1E5B"/>
    <w:rsid w:val="483D40CA"/>
    <w:rsid w:val="4B86222C"/>
    <w:rsid w:val="4BBC3BEF"/>
    <w:rsid w:val="4CC72AFC"/>
    <w:rsid w:val="4E10402F"/>
    <w:rsid w:val="519E1D35"/>
    <w:rsid w:val="52843E6B"/>
    <w:rsid w:val="56CE6835"/>
    <w:rsid w:val="56E7105D"/>
    <w:rsid w:val="591B6E99"/>
    <w:rsid w:val="600C1A1A"/>
    <w:rsid w:val="61F061FA"/>
    <w:rsid w:val="62BF7EB9"/>
    <w:rsid w:val="63514A76"/>
    <w:rsid w:val="647F6552"/>
    <w:rsid w:val="64BB489D"/>
    <w:rsid w:val="65921CF6"/>
    <w:rsid w:val="65DB5214"/>
    <w:rsid w:val="66A82BFF"/>
    <w:rsid w:val="67AE693B"/>
    <w:rsid w:val="67F105D6"/>
    <w:rsid w:val="69F65D89"/>
    <w:rsid w:val="6AAD2EDA"/>
    <w:rsid w:val="6C715A72"/>
    <w:rsid w:val="6EEF1D13"/>
    <w:rsid w:val="70A26769"/>
    <w:rsid w:val="71BD526D"/>
    <w:rsid w:val="71E053FD"/>
    <w:rsid w:val="746F63D8"/>
    <w:rsid w:val="747B790C"/>
    <w:rsid w:val="75A37A3E"/>
    <w:rsid w:val="75E31EA6"/>
    <w:rsid w:val="768A2321"/>
    <w:rsid w:val="76D0242A"/>
    <w:rsid w:val="791401EC"/>
    <w:rsid w:val="792702FB"/>
    <w:rsid w:val="7B6C0247"/>
    <w:rsid w:val="7EE527EB"/>
    <w:rsid w:val="7F5636E8"/>
    <w:rsid w:val="7F6C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4340.62</c:v>
                </c:pt>
                <c:pt idx="1">
                  <c:v>4455.42</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4340.62</c:v>
                </c:pt>
                <c:pt idx="1">
                  <c:v>4455.42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4415.42</c:v>
                </c:pt>
                <c:pt idx="3">
                  <c:v>40</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1876.54</c:v>
                </c:pt>
                <c:pt idx="1">
                  <c:v>2578.88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4340.62</c:v>
                </c:pt>
                <c:pt idx="1">
                  <c:v>4415.42</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4340.62</c:v>
                </c:pt>
                <c:pt idx="1">
                  <c:v>4415.42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1876.54</c:v>
                </c:pt>
                <c:pt idx="1">
                  <c:v>2538.88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manualLayout>
          <c:layoutTarget val="inner"/>
          <c:xMode val="edge"/>
          <c:yMode val="edge"/>
          <c:x val="0.322369371538647"/>
          <c:y val="0.194344685242518"/>
          <c:w val="0.361281001685529"/>
          <c:h val="0.619360165118679"/>
        </c:manualLayout>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1784.46</c:v>
                </c:pt>
                <c:pt idx="1">
                  <c:v>92.08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14.16</c:v>
                </c:pt>
                <c:pt idx="1">
                  <c:v>14.16</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3508</Words>
  <Characters>3776</Characters>
  <Lines>20</Lines>
  <Paragraphs>5</Paragraphs>
  <TotalTime>5</TotalTime>
  <ScaleCrop>false</ScaleCrop>
  <LinksUpToDate>false</LinksUpToDate>
  <CharactersWithSpaces>3807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阿贝</cp:lastModifiedBy>
  <cp:lastPrinted>2023-02-22T07:28:00Z</cp:lastPrinted>
  <dcterms:modified xsi:type="dcterms:W3CDTF">2023-03-10T01:55:40Z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2F606E965C3F47A2A23C8CF82E347772</vt:lpwstr>
  </property>
</Properties>
</file>