
<file path=[Content_Types].xml><?xml version="1.0" encoding="utf-8"?>
<Types xmlns="http://schemas.openxmlformats.org/package/2006/content-types">
  <Default Extension="xlsx" ContentType="application/vnd.openxmlformats-officedocument.spreadsheetml.sheet"/>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charts/chart7.xml" ContentType="application/vnd.openxmlformats-officedocument.drawingml.chart+xml"/>
  <Override PartName="/word/charts/colors1.xml" ContentType="application/vnd.ms-office.chartcolorstyle+xml"/>
  <Override PartName="/word/charts/colors2.xml" ContentType="application/vnd.ms-office.chartcolorstyle+xml"/>
  <Override PartName="/word/charts/colors3.xml" ContentType="application/vnd.ms-office.chartcolorstyle+xml"/>
  <Override PartName="/word/charts/colors4.xml" ContentType="application/vnd.ms-office.chartcolorstyle+xml"/>
  <Override PartName="/word/charts/colors5.xml" ContentType="application/vnd.ms-office.chartcolorstyle+xml"/>
  <Override PartName="/word/charts/style1.xml" ContentType="application/vnd.ms-office.chartstyle+xml"/>
  <Override PartName="/word/charts/style2.xml" ContentType="application/vnd.ms-office.chartstyle+xml"/>
  <Override PartName="/word/charts/style3.xml" ContentType="application/vnd.ms-office.chartstyle+xml"/>
  <Override PartName="/word/charts/style4.xml" ContentType="application/vnd.ms-office.chartstyle+xml"/>
  <Override PartName="/word/charts/style5.xml" ContentType="application/vnd.ms-office.chartstyle+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auto"/>
        <w:jc w:val="center"/>
        <w:rPr>
          <w:rFonts w:ascii="黑体" w:hAnsi="黑体" w:eastAsia="黑体" w:cs="黑体"/>
          <w:b/>
          <w:bCs/>
          <w:sz w:val="44"/>
          <w:szCs w:val="44"/>
        </w:rPr>
      </w:pPr>
    </w:p>
    <w:p>
      <w:pPr>
        <w:spacing w:line="480" w:lineRule="auto"/>
        <w:jc w:val="center"/>
        <w:rPr>
          <w:rFonts w:ascii="宋体" w:hAnsi="宋体" w:eastAsia="宋体" w:cs="宋体"/>
          <w:b/>
          <w:bCs/>
          <w:sz w:val="44"/>
          <w:szCs w:val="44"/>
        </w:rPr>
      </w:pPr>
      <w:r>
        <w:rPr>
          <w:rFonts w:hint="eastAsia" w:ascii="黑体" w:hAnsi="黑体" w:eastAsia="黑体" w:cs="黑体"/>
          <w:b/>
          <w:bCs/>
          <w:sz w:val="44"/>
          <w:szCs w:val="44"/>
          <w:lang w:eastAsia="zh-CN"/>
        </w:rPr>
        <w:t>2023年淮滨县第一幼儿园</w:t>
      </w:r>
      <w:r>
        <w:rPr>
          <w:rFonts w:hint="eastAsia" w:ascii="黑体" w:hAnsi="黑体" w:eastAsia="黑体" w:cs="黑体"/>
          <w:b/>
          <w:bCs/>
          <w:sz w:val="44"/>
          <w:szCs w:val="44"/>
        </w:rPr>
        <w:t>部门预算说明</w:t>
      </w:r>
    </w:p>
    <w:p>
      <w:pPr>
        <w:pStyle w:val="3"/>
        <w:tabs>
          <w:tab w:val="left" w:pos="880"/>
        </w:tabs>
        <w:kinsoku w:val="0"/>
        <w:overflowPunct w:val="0"/>
        <w:spacing w:before="0" w:line="480" w:lineRule="auto"/>
        <w:ind w:left="0"/>
        <w:jc w:val="center"/>
        <w:rPr>
          <w:rFonts w:hint="eastAsia" w:ascii="黑体" w:hAnsi="黑体" w:eastAsia="黑体" w:cs="黑体"/>
          <w:b/>
          <w:w w:val="95"/>
          <w:sz w:val="30"/>
          <w:szCs w:val="30"/>
          <w:lang w:val="en-US" w:eastAsia="zh-CN"/>
        </w:rPr>
      </w:pPr>
      <w:r>
        <w:rPr>
          <w:rFonts w:hint="eastAsia" w:ascii="黑体" w:hAnsi="黑体" w:eastAsia="黑体" w:cs="黑体"/>
          <w:b/>
          <w:w w:val="95"/>
          <w:sz w:val="30"/>
          <w:szCs w:val="30"/>
          <w:lang w:val="en-US" w:eastAsia="zh-CN"/>
        </w:rPr>
        <w:t xml:space="preserve"> </w:t>
      </w:r>
    </w:p>
    <w:p>
      <w:pPr>
        <w:pStyle w:val="3"/>
        <w:tabs>
          <w:tab w:val="left" w:pos="880"/>
        </w:tabs>
        <w:kinsoku w:val="0"/>
        <w:overflowPunct w:val="0"/>
        <w:spacing w:before="0" w:line="480" w:lineRule="auto"/>
        <w:ind w:left="0"/>
        <w:jc w:val="center"/>
        <w:rPr>
          <w:rFonts w:hint="default" w:ascii="黑体" w:hAnsi="黑体" w:eastAsia="黑体" w:cs="黑体"/>
          <w:b/>
          <w:sz w:val="44"/>
          <w:szCs w:val="44"/>
        </w:rPr>
      </w:pPr>
      <w:r>
        <w:rPr>
          <w:rFonts w:ascii="黑体" w:hAnsi="黑体" w:eastAsia="黑体" w:cs="黑体"/>
          <w:b/>
          <w:w w:val="95"/>
          <w:sz w:val="44"/>
          <w:szCs w:val="44"/>
        </w:rPr>
        <w:t>目</w:t>
      </w:r>
      <w:r>
        <w:rPr>
          <w:rFonts w:ascii="黑体" w:hAnsi="黑体" w:eastAsia="黑体" w:cs="黑体"/>
          <w:b/>
          <w:w w:val="95"/>
          <w:sz w:val="44"/>
          <w:szCs w:val="44"/>
        </w:rPr>
        <w:tab/>
      </w:r>
      <w:r>
        <w:rPr>
          <w:rFonts w:ascii="黑体" w:hAnsi="黑体" w:eastAsia="黑体" w:cs="黑体"/>
          <w:b/>
          <w:sz w:val="44"/>
          <w:szCs w:val="44"/>
        </w:rPr>
        <w:t>录</w:t>
      </w:r>
    </w:p>
    <w:p>
      <w:pPr>
        <w:kinsoku w:val="0"/>
        <w:overflowPunct w:val="0"/>
        <w:autoSpaceDE w:val="0"/>
        <w:autoSpaceDN w:val="0"/>
        <w:adjustRightInd w:val="0"/>
        <w:spacing w:before="351"/>
        <w:ind w:right="126"/>
        <w:rPr>
          <w:rFonts w:ascii="黑体" w:hAnsi="黑体" w:eastAsia="黑体" w:cs="黑体"/>
          <w:sz w:val="32"/>
          <w:szCs w:val="32"/>
        </w:rPr>
      </w:pPr>
      <w:r>
        <w:rPr>
          <w:rFonts w:hint="eastAsia" w:ascii="黑体" w:hAnsi="黑体" w:eastAsia="黑体" w:cs="黑体"/>
          <w:sz w:val="32"/>
          <w:szCs w:val="32"/>
        </w:rPr>
        <w:t>第一部分</w:t>
      </w:r>
      <w:r>
        <w:rPr>
          <w:rFonts w:hint="eastAsia" w:ascii="黑体" w:hAnsi="黑体" w:eastAsia="黑体" w:cs="黑体"/>
          <w:spacing w:val="-7"/>
          <w:sz w:val="32"/>
          <w:szCs w:val="32"/>
        </w:rPr>
        <w:t xml:space="preserve"> 淮滨县</w:t>
      </w:r>
      <w:r>
        <w:rPr>
          <w:rFonts w:hint="eastAsia" w:ascii="黑体" w:hAnsi="黑体" w:eastAsia="黑体" w:cs="黑体"/>
          <w:spacing w:val="-7"/>
          <w:sz w:val="32"/>
          <w:szCs w:val="32"/>
          <w:lang w:eastAsia="zh-CN"/>
        </w:rPr>
        <w:t>淮滨县第一幼儿园</w:t>
      </w:r>
      <w:r>
        <w:rPr>
          <w:rFonts w:hint="eastAsia" w:ascii="黑体" w:hAnsi="黑体" w:eastAsia="黑体" w:cs="黑体"/>
          <w:sz w:val="32"/>
          <w:szCs w:val="32"/>
        </w:rPr>
        <w:t>概况</w:t>
      </w:r>
    </w:p>
    <w:p>
      <w:pPr>
        <w:kinsoku w:val="0"/>
        <w:overflowPunct w:val="0"/>
        <w:autoSpaceDE w:val="0"/>
        <w:autoSpaceDN w:val="0"/>
        <w:adjustRightInd w:val="0"/>
        <w:spacing w:line="560" w:lineRule="exact"/>
        <w:ind w:firstLine="320" w:firstLineChars="100"/>
        <w:rPr>
          <w:rFonts w:ascii="仿宋" w:hAnsi="仿宋" w:eastAsia="仿宋" w:cs="Times New Roman"/>
          <w:w w:val="99"/>
          <w:sz w:val="32"/>
          <w:szCs w:val="32"/>
        </w:rPr>
      </w:pPr>
      <w:r>
        <w:rPr>
          <w:rFonts w:hint="eastAsia" w:ascii="仿宋" w:hAnsi="仿宋" w:eastAsia="仿宋" w:cs="Times New Roman"/>
          <w:sz w:val="32"/>
          <w:szCs w:val="32"/>
        </w:rPr>
        <w:t>一、主要职责</w:t>
      </w:r>
      <w:r>
        <w:rPr>
          <w:rFonts w:hint="eastAsia" w:ascii="仿宋" w:hAnsi="仿宋" w:eastAsia="仿宋" w:cs="Times New Roman"/>
          <w:w w:val="99"/>
          <w:sz w:val="32"/>
          <w:szCs w:val="32"/>
        </w:rPr>
        <w:t xml:space="preserve"> </w:t>
      </w:r>
    </w:p>
    <w:p>
      <w:pPr>
        <w:kinsoku w:val="0"/>
        <w:overflowPunct w:val="0"/>
        <w:autoSpaceDE w:val="0"/>
        <w:autoSpaceDN w:val="0"/>
        <w:adjustRightInd w:val="0"/>
        <w:spacing w:line="560" w:lineRule="exact"/>
        <w:ind w:firstLine="320" w:firstLineChars="100"/>
        <w:rPr>
          <w:rFonts w:ascii="仿宋" w:hAnsi="仿宋" w:eastAsia="仿宋" w:cs="Times New Roman"/>
          <w:sz w:val="32"/>
          <w:szCs w:val="32"/>
        </w:rPr>
      </w:pPr>
      <w:r>
        <w:rPr>
          <w:rFonts w:hint="eastAsia" w:ascii="仿宋" w:hAnsi="仿宋" w:eastAsia="仿宋" w:cs="Times New Roman"/>
          <w:sz w:val="32"/>
          <w:szCs w:val="32"/>
        </w:rPr>
        <w:t>二、部门所属预算单位构成情况</w:t>
      </w:r>
    </w:p>
    <w:p>
      <w:pPr>
        <w:kinsoku w:val="0"/>
        <w:overflowPunct w:val="0"/>
        <w:autoSpaceDE w:val="0"/>
        <w:autoSpaceDN w:val="0"/>
        <w:adjustRightInd w:val="0"/>
        <w:spacing w:before="12" w:line="357" w:lineRule="auto"/>
        <w:ind w:right="126"/>
        <w:rPr>
          <w:rFonts w:ascii="黑体" w:hAnsi="黑体" w:eastAsia="黑体" w:cs="Times New Roman"/>
          <w:w w:val="99"/>
          <w:sz w:val="32"/>
          <w:szCs w:val="32"/>
        </w:rPr>
      </w:pPr>
      <w:r>
        <w:rPr>
          <w:rFonts w:hint="eastAsia" w:ascii="黑体" w:hAnsi="黑体" w:eastAsia="黑体" w:cs="Times New Roman"/>
          <w:sz w:val="32"/>
          <w:szCs w:val="32"/>
        </w:rPr>
        <w:t>第二部分</w:t>
      </w:r>
      <w:r>
        <w:rPr>
          <w:rFonts w:hint="eastAsia" w:ascii="黑体" w:hAnsi="黑体" w:eastAsia="黑体" w:cs="Times New Roman"/>
          <w:spacing w:val="-5"/>
          <w:sz w:val="32"/>
          <w:szCs w:val="32"/>
        </w:rPr>
        <w:t xml:space="preserve"> </w:t>
      </w:r>
      <w:r>
        <w:rPr>
          <w:rFonts w:hint="eastAsia" w:ascii="黑体" w:hAnsi="黑体" w:eastAsia="黑体" w:cs="Times New Roman"/>
          <w:spacing w:val="-5"/>
          <w:sz w:val="32"/>
          <w:szCs w:val="32"/>
          <w:lang w:eastAsia="zh-CN"/>
        </w:rPr>
        <w:t>淮滨县第一幼儿园</w:t>
      </w:r>
      <w:r>
        <w:rPr>
          <w:rFonts w:hint="eastAsia" w:ascii="黑体" w:hAnsi="黑体" w:eastAsia="黑体" w:cs="Times New Roman"/>
          <w:spacing w:val="-84"/>
          <w:sz w:val="32"/>
          <w:szCs w:val="32"/>
        </w:rPr>
        <w:t xml:space="preserve"> </w:t>
      </w:r>
      <w:r>
        <w:rPr>
          <w:rFonts w:hint="eastAsia" w:ascii="黑体" w:hAnsi="黑体" w:eastAsia="黑体" w:cs="Times New Roman"/>
          <w:sz w:val="32"/>
          <w:szCs w:val="32"/>
        </w:rPr>
        <w:t>202</w:t>
      </w:r>
      <w:r>
        <w:rPr>
          <w:rFonts w:hint="eastAsia" w:ascii="黑体" w:hAnsi="黑体" w:eastAsia="黑体" w:cs="Times New Roman"/>
          <w:sz w:val="32"/>
          <w:szCs w:val="32"/>
          <w:lang w:val="en-US" w:eastAsia="zh-CN"/>
        </w:rPr>
        <w:t>3</w:t>
      </w:r>
      <w:r>
        <w:rPr>
          <w:rFonts w:hint="eastAsia" w:ascii="黑体" w:hAnsi="黑体" w:eastAsia="黑体" w:cs="Times New Roman"/>
          <w:spacing w:val="-83"/>
          <w:sz w:val="32"/>
          <w:szCs w:val="32"/>
        </w:rPr>
        <w:t xml:space="preserve"> </w:t>
      </w:r>
      <w:r>
        <w:rPr>
          <w:rFonts w:hint="eastAsia" w:ascii="黑体" w:hAnsi="黑体" w:eastAsia="黑体" w:cs="Times New Roman"/>
          <w:sz w:val="32"/>
          <w:szCs w:val="32"/>
        </w:rPr>
        <w:t>年度部门预算情况说明</w:t>
      </w:r>
      <w:r>
        <w:rPr>
          <w:rFonts w:hint="eastAsia" w:ascii="黑体" w:hAnsi="黑体" w:eastAsia="黑体" w:cs="Times New Roman"/>
          <w:w w:val="99"/>
          <w:sz w:val="32"/>
          <w:szCs w:val="32"/>
        </w:rPr>
        <w:t xml:space="preserve"> </w:t>
      </w:r>
    </w:p>
    <w:p>
      <w:pPr>
        <w:kinsoku w:val="0"/>
        <w:overflowPunct w:val="0"/>
        <w:autoSpaceDE w:val="0"/>
        <w:autoSpaceDN w:val="0"/>
        <w:adjustRightInd w:val="0"/>
        <w:spacing w:before="12" w:line="357" w:lineRule="auto"/>
        <w:ind w:right="126"/>
        <w:rPr>
          <w:rFonts w:ascii="黑体" w:hAnsi="黑体" w:eastAsia="黑体" w:cs="Times New Roman"/>
          <w:sz w:val="32"/>
          <w:szCs w:val="32"/>
        </w:rPr>
      </w:pPr>
      <w:r>
        <w:rPr>
          <w:rFonts w:hint="eastAsia" w:ascii="黑体" w:hAnsi="黑体" w:eastAsia="黑体" w:cs="Times New Roman"/>
          <w:sz w:val="32"/>
          <w:szCs w:val="32"/>
        </w:rPr>
        <w:t>第三部分</w:t>
      </w:r>
      <w:r>
        <w:rPr>
          <w:rFonts w:hint="eastAsia" w:ascii="黑体" w:hAnsi="黑体" w:eastAsia="黑体" w:cs="Times New Roman"/>
          <w:spacing w:val="-3"/>
          <w:sz w:val="32"/>
          <w:szCs w:val="32"/>
        </w:rPr>
        <w:t xml:space="preserve"> </w:t>
      </w:r>
      <w:r>
        <w:rPr>
          <w:rFonts w:hint="eastAsia" w:ascii="黑体" w:hAnsi="黑体" w:eastAsia="黑体" w:cs="Times New Roman"/>
          <w:sz w:val="32"/>
          <w:szCs w:val="32"/>
        </w:rPr>
        <w:t>名词解释</w:t>
      </w:r>
    </w:p>
    <w:p>
      <w:pPr>
        <w:kinsoku w:val="0"/>
        <w:overflowPunct w:val="0"/>
        <w:autoSpaceDE w:val="0"/>
        <w:autoSpaceDN w:val="0"/>
        <w:adjustRightInd w:val="0"/>
        <w:spacing w:before="48" w:line="345" w:lineRule="auto"/>
        <w:ind w:right="766"/>
        <w:rPr>
          <w:rFonts w:ascii="黑体" w:hAnsi="黑体" w:eastAsia="黑体" w:cs="Times New Roman"/>
          <w:sz w:val="32"/>
          <w:szCs w:val="32"/>
        </w:rPr>
      </w:pPr>
      <w:r>
        <w:rPr>
          <w:rFonts w:hint="eastAsia" w:ascii="黑体" w:hAnsi="黑体" w:eastAsia="黑体" w:cs="Times New Roman"/>
          <w:sz w:val="32"/>
          <w:szCs w:val="32"/>
        </w:rPr>
        <w:t>附件：</w:t>
      </w:r>
      <w:r>
        <w:rPr>
          <w:rFonts w:hint="eastAsia" w:ascii="黑体" w:hAnsi="黑体" w:eastAsia="黑体" w:cs="Times New Roman"/>
          <w:sz w:val="32"/>
          <w:szCs w:val="32"/>
          <w:lang w:eastAsia="zh-CN"/>
        </w:rPr>
        <w:t>淮滨县第一幼儿园2023年</w:t>
      </w:r>
      <w:r>
        <w:rPr>
          <w:rFonts w:hint="eastAsia" w:ascii="黑体" w:hAnsi="黑体" w:eastAsia="黑体" w:cs="Times New Roman"/>
          <w:sz w:val="32"/>
          <w:szCs w:val="32"/>
        </w:rPr>
        <w:t>度部门预算表</w:t>
      </w:r>
    </w:p>
    <w:p>
      <w:pPr>
        <w:numPr>
          <w:ilvl w:val="0"/>
          <w:numId w:val="1"/>
        </w:numPr>
        <w:kinsoku w:val="0"/>
        <w:overflowPunct w:val="0"/>
        <w:autoSpaceDE w:val="0"/>
        <w:autoSpaceDN w:val="0"/>
        <w:adjustRightInd w:val="0"/>
        <w:spacing w:before="48" w:line="560" w:lineRule="exact"/>
        <w:ind w:right="765" w:firstLine="320" w:firstLineChars="100"/>
        <w:rPr>
          <w:rFonts w:ascii="仿宋" w:hAnsi="仿宋" w:eastAsia="仿宋" w:cs="Times New Roman"/>
          <w:sz w:val="32"/>
          <w:szCs w:val="32"/>
        </w:rPr>
      </w:pPr>
      <w:r>
        <w:rPr>
          <w:rFonts w:hint="eastAsia" w:ascii="仿宋" w:hAnsi="仿宋" w:eastAsia="仿宋" w:cs="Times New Roman"/>
          <w:sz w:val="32"/>
          <w:szCs w:val="32"/>
          <w:lang w:eastAsia="zh-CN"/>
        </w:rPr>
        <w:t>2023年</w:t>
      </w:r>
      <w:r>
        <w:rPr>
          <w:rFonts w:hint="eastAsia" w:ascii="仿宋" w:hAnsi="仿宋" w:eastAsia="仿宋" w:cs="Times New Roman"/>
          <w:sz w:val="32"/>
          <w:szCs w:val="32"/>
        </w:rPr>
        <w:t>部门收支预算表</w:t>
      </w:r>
    </w:p>
    <w:p>
      <w:pPr>
        <w:numPr>
          <w:ilvl w:val="0"/>
          <w:numId w:val="1"/>
        </w:numPr>
        <w:kinsoku w:val="0"/>
        <w:overflowPunct w:val="0"/>
        <w:autoSpaceDE w:val="0"/>
        <w:autoSpaceDN w:val="0"/>
        <w:adjustRightInd w:val="0"/>
        <w:spacing w:before="48" w:line="560" w:lineRule="exact"/>
        <w:ind w:right="765" w:firstLine="320" w:firstLineChars="100"/>
        <w:rPr>
          <w:rFonts w:ascii="仿宋" w:hAnsi="仿宋" w:eastAsia="仿宋" w:cs="Times New Roman"/>
          <w:sz w:val="32"/>
          <w:szCs w:val="32"/>
        </w:rPr>
      </w:pPr>
      <w:r>
        <w:rPr>
          <w:rFonts w:hint="eastAsia" w:ascii="仿宋" w:hAnsi="仿宋" w:eastAsia="仿宋" w:cs="Times New Roman"/>
          <w:sz w:val="32"/>
          <w:szCs w:val="32"/>
          <w:lang w:eastAsia="zh-CN"/>
        </w:rPr>
        <w:t>2023年</w:t>
      </w:r>
      <w:r>
        <w:rPr>
          <w:rFonts w:hint="eastAsia" w:ascii="仿宋" w:hAnsi="仿宋" w:eastAsia="仿宋" w:cs="Times New Roman"/>
          <w:sz w:val="32"/>
          <w:szCs w:val="32"/>
        </w:rPr>
        <w:t>部门收入预算表</w:t>
      </w:r>
    </w:p>
    <w:p>
      <w:pPr>
        <w:numPr>
          <w:ilvl w:val="0"/>
          <w:numId w:val="1"/>
        </w:numPr>
        <w:kinsoku w:val="0"/>
        <w:overflowPunct w:val="0"/>
        <w:autoSpaceDE w:val="0"/>
        <w:autoSpaceDN w:val="0"/>
        <w:adjustRightInd w:val="0"/>
        <w:spacing w:before="48" w:line="560" w:lineRule="exact"/>
        <w:ind w:right="765" w:firstLine="320" w:firstLineChars="100"/>
        <w:rPr>
          <w:rFonts w:ascii="仿宋" w:hAnsi="仿宋" w:eastAsia="仿宋" w:cs="Times New Roman"/>
          <w:sz w:val="32"/>
          <w:szCs w:val="32"/>
        </w:rPr>
      </w:pPr>
      <w:r>
        <w:rPr>
          <w:rFonts w:hint="eastAsia" w:ascii="仿宋" w:hAnsi="仿宋" w:eastAsia="仿宋" w:cs="Times New Roman"/>
          <w:sz w:val="32"/>
          <w:szCs w:val="32"/>
          <w:lang w:eastAsia="zh-CN"/>
        </w:rPr>
        <w:t>2023年</w:t>
      </w:r>
      <w:r>
        <w:rPr>
          <w:rFonts w:hint="eastAsia" w:ascii="仿宋" w:hAnsi="仿宋" w:eastAsia="仿宋" w:cs="Times New Roman"/>
          <w:sz w:val="32"/>
          <w:szCs w:val="32"/>
        </w:rPr>
        <w:t>部门支出预算表</w:t>
      </w:r>
    </w:p>
    <w:p>
      <w:pPr>
        <w:numPr>
          <w:ilvl w:val="0"/>
          <w:numId w:val="1"/>
        </w:numPr>
        <w:kinsoku w:val="0"/>
        <w:overflowPunct w:val="0"/>
        <w:autoSpaceDE w:val="0"/>
        <w:autoSpaceDN w:val="0"/>
        <w:adjustRightInd w:val="0"/>
        <w:spacing w:before="48" w:line="560" w:lineRule="exact"/>
        <w:ind w:right="765" w:firstLine="320" w:firstLineChars="100"/>
        <w:rPr>
          <w:rFonts w:ascii="仿宋" w:hAnsi="仿宋" w:eastAsia="仿宋" w:cs="Times New Roman"/>
          <w:sz w:val="32"/>
          <w:szCs w:val="32"/>
        </w:rPr>
      </w:pPr>
      <w:r>
        <w:rPr>
          <w:rFonts w:hint="eastAsia" w:ascii="仿宋" w:hAnsi="仿宋" w:eastAsia="仿宋" w:cs="Times New Roman"/>
          <w:sz w:val="32"/>
          <w:szCs w:val="32"/>
          <w:lang w:eastAsia="zh-CN"/>
        </w:rPr>
        <w:t>2023年</w:t>
      </w:r>
      <w:r>
        <w:rPr>
          <w:rFonts w:hint="eastAsia" w:ascii="仿宋" w:hAnsi="仿宋" w:eastAsia="仿宋" w:cs="Times New Roman"/>
          <w:sz w:val="32"/>
          <w:szCs w:val="32"/>
        </w:rPr>
        <w:t>财政拨款收支预算表</w:t>
      </w:r>
    </w:p>
    <w:p>
      <w:pPr>
        <w:numPr>
          <w:ilvl w:val="0"/>
          <w:numId w:val="1"/>
        </w:numPr>
        <w:kinsoku w:val="0"/>
        <w:overflowPunct w:val="0"/>
        <w:autoSpaceDE w:val="0"/>
        <w:autoSpaceDN w:val="0"/>
        <w:adjustRightInd w:val="0"/>
        <w:spacing w:before="48" w:line="560" w:lineRule="exact"/>
        <w:ind w:right="765" w:firstLine="320" w:firstLineChars="100"/>
        <w:rPr>
          <w:rFonts w:ascii="仿宋" w:hAnsi="仿宋" w:eastAsia="仿宋" w:cs="Times New Roman"/>
          <w:sz w:val="32"/>
          <w:szCs w:val="32"/>
        </w:rPr>
      </w:pPr>
      <w:r>
        <w:rPr>
          <w:rFonts w:hint="eastAsia" w:ascii="仿宋" w:hAnsi="仿宋" w:eastAsia="仿宋" w:cs="Times New Roman"/>
          <w:sz w:val="32"/>
          <w:szCs w:val="32"/>
          <w:lang w:eastAsia="zh-CN"/>
        </w:rPr>
        <w:t>2023年</w:t>
      </w:r>
      <w:r>
        <w:rPr>
          <w:rFonts w:hint="eastAsia" w:ascii="仿宋" w:hAnsi="仿宋" w:eastAsia="仿宋" w:cs="Times New Roman"/>
          <w:sz w:val="32"/>
          <w:szCs w:val="32"/>
        </w:rPr>
        <w:t>一般公共预算支出预算表</w:t>
      </w:r>
    </w:p>
    <w:p>
      <w:pPr>
        <w:numPr>
          <w:ilvl w:val="0"/>
          <w:numId w:val="1"/>
        </w:numPr>
        <w:kinsoku w:val="0"/>
        <w:overflowPunct w:val="0"/>
        <w:autoSpaceDE w:val="0"/>
        <w:autoSpaceDN w:val="0"/>
        <w:adjustRightInd w:val="0"/>
        <w:spacing w:before="48" w:line="560" w:lineRule="exact"/>
        <w:ind w:right="765" w:firstLine="320" w:firstLineChars="100"/>
        <w:rPr>
          <w:rFonts w:ascii="仿宋" w:hAnsi="仿宋" w:eastAsia="仿宋" w:cs="Times New Roman"/>
          <w:sz w:val="32"/>
          <w:szCs w:val="32"/>
        </w:rPr>
      </w:pPr>
      <w:r>
        <w:rPr>
          <w:rFonts w:hint="eastAsia" w:ascii="仿宋" w:hAnsi="仿宋" w:eastAsia="仿宋" w:cs="Times New Roman"/>
          <w:sz w:val="32"/>
          <w:szCs w:val="32"/>
          <w:lang w:eastAsia="zh-CN"/>
        </w:rPr>
        <w:t>2023年</w:t>
      </w:r>
      <w:r>
        <w:rPr>
          <w:rFonts w:hint="eastAsia" w:ascii="仿宋" w:hAnsi="仿宋" w:eastAsia="仿宋" w:cs="Times New Roman"/>
          <w:sz w:val="32"/>
          <w:szCs w:val="32"/>
        </w:rPr>
        <w:t>一般公共预算基本支出预算表</w:t>
      </w:r>
    </w:p>
    <w:p>
      <w:pPr>
        <w:numPr>
          <w:ilvl w:val="0"/>
          <w:numId w:val="1"/>
        </w:numPr>
        <w:kinsoku w:val="0"/>
        <w:overflowPunct w:val="0"/>
        <w:autoSpaceDE w:val="0"/>
        <w:autoSpaceDN w:val="0"/>
        <w:adjustRightInd w:val="0"/>
        <w:spacing w:before="48" w:line="560" w:lineRule="exact"/>
        <w:ind w:right="765" w:firstLine="320" w:firstLineChars="100"/>
        <w:rPr>
          <w:rFonts w:ascii="仿宋" w:hAnsi="仿宋" w:eastAsia="仿宋" w:cs="Times New Roman"/>
          <w:sz w:val="32"/>
          <w:szCs w:val="32"/>
        </w:rPr>
      </w:pPr>
      <w:r>
        <w:rPr>
          <w:rFonts w:hint="eastAsia" w:ascii="仿宋" w:hAnsi="仿宋" w:eastAsia="仿宋" w:cs="Times New Roman"/>
          <w:sz w:val="32"/>
          <w:szCs w:val="32"/>
          <w:lang w:eastAsia="zh-CN"/>
        </w:rPr>
        <w:t>2023年</w:t>
      </w:r>
      <w:r>
        <w:rPr>
          <w:rFonts w:hint="eastAsia" w:ascii="仿宋" w:hAnsi="仿宋" w:eastAsia="仿宋" w:cs="Times New Roman"/>
          <w:sz w:val="32"/>
          <w:szCs w:val="32"/>
        </w:rPr>
        <w:t>支出经济分类汇总表</w:t>
      </w:r>
    </w:p>
    <w:p>
      <w:pPr>
        <w:numPr>
          <w:ilvl w:val="0"/>
          <w:numId w:val="1"/>
        </w:numPr>
        <w:kinsoku w:val="0"/>
        <w:overflowPunct w:val="0"/>
        <w:autoSpaceDE w:val="0"/>
        <w:autoSpaceDN w:val="0"/>
        <w:adjustRightInd w:val="0"/>
        <w:spacing w:before="48" w:line="560" w:lineRule="exact"/>
        <w:ind w:right="765" w:firstLine="320" w:firstLineChars="100"/>
        <w:rPr>
          <w:rFonts w:ascii="仿宋" w:hAnsi="仿宋" w:eastAsia="仿宋" w:cs="Times New Roman"/>
          <w:sz w:val="32"/>
          <w:szCs w:val="32"/>
        </w:rPr>
      </w:pPr>
      <w:r>
        <w:rPr>
          <w:rFonts w:hint="eastAsia" w:ascii="仿宋" w:hAnsi="仿宋" w:eastAsia="仿宋" w:cs="Times New Roman"/>
          <w:sz w:val="32"/>
          <w:szCs w:val="32"/>
          <w:lang w:eastAsia="zh-CN"/>
        </w:rPr>
        <w:t>2023年</w:t>
      </w:r>
      <w:r>
        <w:rPr>
          <w:rFonts w:hint="eastAsia" w:ascii="仿宋" w:hAnsi="仿宋" w:eastAsia="仿宋" w:cs="Times New Roman"/>
          <w:sz w:val="32"/>
          <w:szCs w:val="32"/>
        </w:rPr>
        <w:t>一般公共预算“三公”经费预算表</w:t>
      </w:r>
    </w:p>
    <w:p>
      <w:pPr>
        <w:numPr>
          <w:ilvl w:val="0"/>
          <w:numId w:val="1"/>
        </w:numPr>
        <w:kinsoku w:val="0"/>
        <w:overflowPunct w:val="0"/>
        <w:autoSpaceDE w:val="0"/>
        <w:autoSpaceDN w:val="0"/>
        <w:adjustRightInd w:val="0"/>
        <w:spacing w:before="48" w:line="560" w:lineRule="exact"/>
        <w:ind w:right="765" w:firstLine="320" w:firstLineChars="100"/>
        <w:rPr>
          <w:rFonts w:ascii="仿宋" w:hAnsi="仿宋" w:eastAsia="仿宋" w:cs="Times New Roman"/>
          <w:sz w:val="32"/>
          <w:szCs w:val="32"/>
        </w:rPr>
      </w:pPr>
      <w:r>
        <w:rPr>
          <w:rFonts w:hint="eastAsia" w:ascii="仿宋" w:hAnsi="仿宋" w:eastAsia="仿宋" w:cs="Times New Roman"/>
          <w:sz w:val="32"/>
          <w:szCs w:val="32"/>
          <w:lang w:eastAsia="zh-CN"/>
        </w:rPr>
        <w:t>2023年</w:t>
      </w:r>
      <w:r>
        <w:rPr>
          <w:rFonts w:hint="eastAsia" w:ascii="仿宋" w:hAnsi="仿宋" w:eastAsia="仿宋" w:cs="Times New Roman"/>
          <w:sz w:val="32"/>
          <w:szCs w:val="32"/>
        </w:rPr>
        <w:t>政府性基金支出预算表</w:t>
      </w:r>
    </w:p>
    <w:p>
      <w:pPr>
        <w:numPr>
          <w:ilvl w:val="0"/>
          <w:numId w:val="1"/>
        </w:numPr>
        <w:kinsoku w:val="0"/>
        <w:overflowPunct w:val="0"/>
        <w:autoSpaceDE w:val="0"/>
        <w:autoSpaceDN w:val="0"/>
        <w:adjustRightInd w:val="0"/>
        <w:spacing w:before="48" w:line="560" w:lineRule="exact"/>
        <w:ind w:right="765" w:firstLine="280"/>
        <w:rPr>
          <w:rFonts w:ascii="仿宋" w:hAnsi="仿宋" w:eastAsia="仿宋" w:cs="Times New Roman"/>
          <w:sz w:val="32"/>
          <w:szCs w:val="32"/>
        </w:rPr>
      </w:pPr>
      <w:r>
        <w:rPr>
          <w:rFonts w:hint="eastAsia" w:ascii="仿宋" w:hAnsi="仿宋" w:eastAsia="仿宋" w:cs="Times New Roman"/>
          <w:sz w:val="32"/>
          <w:szCs w:val="32"/>
          <w:lang w:eastAsia="zh-CN"/>
        </w:rPr>
        <w:t>2023年</w:t>
      </w:r>
      <w:r>
        <w:rPr>
          <w:rFonts w:hint="eastAsia" w:ascii="仿宋" w:hAnsi="仿宋" w:eastAsia="仿宋" w:cs="Times New Roman"/>
          <w:sz w:val="32"/>
          <w:szCs w:val="32"/>
        </w:rPr>
        <w:t>国有资本经营支出预算表</w:t>
      </w:r>
    </w:p>
    <w:p>
      <w:pPr>
        <w:numPr>
          <w:ilvl w:val="0"/>
          <w:numId w:val="1"/>
        </w:numPr>
        <w:kinsoku w:val="0"/>
        <w:overflowPunct w:val="0"/>
        <w:autoSpaceDE w:val="0"/>
        <w:autoSpaceDN w:val="0"/>
        <w:adjustRightInd w:val="0"/>
        <w:spacing w:before="48" w:line="560" w:lineRule="exact"/>
        <w:ind w:right="765" w:firstLine="320" w:firstLineChars="100"/>
        <w:rPr>
          <w:rFonts w:ascii="仿宋" w:hAnsi="仿宋" w:eastAsia="仿宋" w:cs="Times New Roman"/>
          <w:sz w:val="32"/>
          <w:szCs w:val="32"/>
        </w:rPr>
      </w:pPr>
      <w:r>
        <w:rPr>
          <w:rFonts w:hint="eastAsia" w:ascii="仿宋" w:hAnsi="仿宋" w:eastAsia="仿宋" w:cs="Times New Roman"/>
          <w:sz w:val="32"/>
          <w:szCs w:val="32"/>
          <w:lang w:eastAsia="zh-CN"/>
        </w:rPr>
        <w:t>2023年</w:t>
      </w:r>
      <w:r>
        <w:rPr>
          <w:rFonts w:hint="eastAsia" w:ascii="仿宋" w:hAnsi="仿宋" w:eastAsia="仿宋" w:cs="Times New Roman"/>
          <w:sz w:val="32"/>
          <w:szCs w:val="32"/>
        </w:rPr>
        <w:t>项目支出预算表</w:t>
      </w:r>
    </w:p>
    <w:p>
      <w:pPr>
        <w:numPr>
          <w:ilvl w:val="0"/>
          <w:numId w:val="1"/>
        </w:numPr>
        <w:kinsoku w:val="0"/>
        <w:overflowPunct w:val="0"/>
        <w:autoSpaceDE w:val="0"/>
        <w:autoSpaceDN w:val="0"/>
        <w:adjustRightInd w:val="0"/>
        <w:spacing w:before="48" w:line="560" w:lineRule="exact"/>
        <w:ind w:right="765" w:firstLine="320" w:firstLineChars="100"/>
        <w:rPr>
          <w:rFonts w:ascii="仿宋" w:hAnsi="仿宋" w:eastAsia="仿宋" w:cs="Times New Roman"/>
          <w:sz w:val="32"/>
          <w:szCs w:val="32"/>
        </w:rPr>
      </w:pPr>
      <w:r>
        <w:rPr>
          <w:rFonts w:hint="eastAsia" w:ascii="仿宋" w:hAnsi="仿宋" w:eastAsia="仿宋" w:cs="Times New Roman"/>
          <w:sz w:val="32"/>
          <w:szCs w:val="32"/>
          <w:lang w:eastAsia="zh-CN"/>
        </w:rPr>
        <w:t>2023年</w:t>
      </w:r>
      <w:r>
        <w:rPr>
          <w:rFonts w:hint="eastAsia" w:ascii="仿宋" w:hAnsi="仿宋" w:eastAsia="仿宋" w:cs="Times New Roman"/>
          <w:sz w:val="32"/>
          <w:szCs w:val="32"/>
        </w:rPr>
        <w:t>政府采购预算表</w:t>
      </w:r>
    </w:p>
    <w:p>
      <w:pPr>
        <w:numPr>
          <w:ilvl w:val="0"/>
          <w:numId w:val="1"/>
        </w:numPr>
        <w:kinsoku w:val="0"/>
        <w:overflowPunct w:val="0"/>
        <w:autoSpaceDE w:val="0"/>
        <w:autoSpaceDN w:val="0"/>
        <w:adjustRightInd w:val="0"/>
        <w:spacing w:before="48" w:line="560" w:lineRule="exact"/>
        <w:ind w:right="765" w:firstLine="320" w:firstLineChars="100"/>
        <w:rPr>
          <w:rFonts w:ascii="仿宋" w:hAnsi="仿宋" w:eastAsia="仿宋" w:cs="Times New Roman"/>
          <w:sz w:val="32"/>
          <w:szCs w:val="32"/>
        </w:rPr>
      </w:pPr>
      <w:r>
        <w:rPr>
          <w:rFonts w:hint="eastAsia" w:ascii="仿宋" w:hAnsi="仿宋" w:eastAsia="仿宋" w:cs="Times New Roman"/>
          <w:sz w:val="32"/>
          <w:szCs w:val="32"/>
          <w:lang w:eastAsia="zh-CN"/>
        </w:rPr>
        <w:t>2023年</w:t>
      </w:r>
      <w:r>
        <w:rPr>
          <w:rFonts w:hint="eastAsia" w:ascii="仿宋" w:hAnsi="仿宋" w:eastAsia="仿宋" w:cs="Times New Roman"/>
          <w:sz w:val="32"/>
          <w:szCs w:val="32"/>
        </w:rPr>
        <w:t>部门(单位)整体绩效目标表</w:t>
      </w:r>
    </w:p>
    <w:p>
      <w:pPr>
        <w:numPr>
          <w:ilvl w:val="0"/>
          <w:numId w:val="1"/>
        </w:numPr>
        <w:kinsoku w:val="0"/>
        <w:overflowPunct w:val="0"/>
        <w:autoSpaceDE w:val="0"/>
        <w:autoSpaceDN w:val="0"/>
        <w:adjustRightInd w:val="0"/>
        <w:spacing w:before="48" w:line="560" w:lineRule="exact"/>
        <w:ind w:right="765" w:firstLine="320" w:firstLineChars="100"/>
        <w:rPr>
          <w:rFonts w:ascii="仿宋" w:hAnsi="仿宋" w:eastAsia="仿宋" w:cs="Times New Roman"/>
          <w:sz w:val="32"/>
          <w:szCs w:val="32"/>
        </w:rPr>
      </w:pPr>
      <w:r>
        <w:rPr>
          <w:rFonts w:hint="eastAsia" w:ascii="仿宋" w:hAnsi="仿宋" w:eastAsia="仿宋" w:cs="Times New Roman"/>
          <w:sz w:val="32"/>
          <w:szCs w:val="32"/>
          <w:lang w:eastAsia="zh-CN"/>
        </w:rPr>
        <w:t>2023年</w:t>
      </w:r>
      <w:r>
        <w:rPr>
          <w:rFonts w:hint="eastAsia" w:ascii="仿宋" w:hAnsi="仿宋" w:eastAsia="仿宋" w:cs="Times New Roman"/>
          <w:sz w:val="32"/>
          <w:szCs w:val="32"/>
        </w:rPr>
        <w:t>部门(单位)预算项目绩效目标表</w:t>
      </w:r>
    </w:p>
    <w:p>
      <w:pPr>
        <w:kinsoku w:val="0"/>
        <w:overflowPunct w:val="0"/>
        <w:autoSpaceDE w:val="0"/>
        <w:autoSpaceDN w:val="0"/>
        <w:adjustRightInd w:val="0"/>
        <w:spacing w:before="48" w:line="560" w:lineRule="exact"/>
        <w:ind w:right="765"/>
        <w:rPr>
          <w:rFonts w:ascii="仿宋" w:hAnsi="仿宋" w:eastAsia="仿宋" w:cs="Times New Roman"/>
          <w:sz w:val="32"/>
          <w:szCs w:val="32"/>
        </w:rPr>
      </w:pPr>
    </w:p>
    <w:p>
      <w:pPr>
        <w:kinsoku w:val="0"/>
        <w:overflowPunct w:val="0"/>
        <w:autoSpaceDE w:val="0"/>
        <w:autoSpaceDN w:val="0"/>
        <w:adjustRightInd w:val="0"/>
        <w:spacing w:before="48" w:line="560" w:lineRule="exact"/>
        <w:ind w:right="765"/>
        <w:rPr>
          <w:rFonts w:ascii="仿宋" w:hAnsi="仿宋" w:eastAsia="仿宋" w:cs="Times New Roman"/>
          <w:sz w:val="32"/>
          <w:szCs w:val="32"/>
        </w:rPr>
      </w:pPr>
    </w:p>
    <w:p>
      <w:pPr>
        <w:kinsoku w:val="0"/>
        <w:overflowPunct w:val="0"/>
        <w:autoSpaceDE w:val="0"/>
        <w:autoSpaceDN w:val="0"/>
        <w:adjustRightInd w:val="0"/>
        <w:spacing w:before="48" w:line="560" w:lineRule="exact"/>
        <w:ind w:right="765"/>
        <w:rPr>
          <w:rFonts w:ascii="仿宋" w:hAnsi="仿宋" w:eastAsia="仿宋" w:cs="Times New Roman"/>
          <w:sz w:val="32"/>
          <w:szCs w:val="32"/>
        </w:rPr>
      </w:pPr>
    </w:p>
    <w:p>
      <w:pPr>
        <w:kinsoku w:val="0"/>
        <w:overflowPunct w:val="0"/>
        <w:autoSpaceDE w:val="0"/>
        <w:autoSpaceDN w:val="0"/>
        <w:adjustRightInd w:val="0"/>
        <w:spacing w:before="48" w:line="560" w:lineRule="exact"/>
        <w:ind w:right="765"/>
        <w:rPr>
          <w:rFonts w:ascii="仿宋" w:hAnsi="仿宋" w:eastAsia="仿宋" w:cs="Times New Roman"/>
          <w:sz w:val="32"/>
          <w:szCs w:val="32"/>
        </w:rPr>
      </w:pPr>
    </w:p>
    <w:p>
      <w:pPr>
        <w:kinsoku w:val="0"/>
        <w:overflowPunct w:val="0"/>
        <w:autoSpaceDE w:val="0"/>
        <w:autoSpaceDN w:val="0"/>
        <w:adjustRightInd w:val="0"/>
        <w:spacing w:before="48" w:line="560" w:lineRule="exact"/>
        <w:ind w:right="765"/>
        <w:rPr>
          <w:rFonts w:ascii="仿宋" w:hAnsi="仿宋" w:eastAsia="仿宋" w:cs="Times New Roman"/>
          <w:sz w:val="32"/>
          <w:szCs w:val="32"/>
        </w:rPr>
      </w:pPr>
    </w:p>
    <w:p>
      <w:pPr>
        <w:kinsoku w:val="0"/>
        <w:overflowPunct w:val="0"/>
        <w:autoSpaceDE w:val="0"/>
        <w:autoSpaceDN w:val="0"/>
        <w:adjustRightInd w:val="0"/>
        <w:spacing w:before="48" w:line="560" w:lineRule="exact"/>
        <w:ind w:right="765"/>
        <w:rPr>
          <w:rFonts w:ascii="仿宋" w:hAnsi="仿宋" w:eastAsia="仿宋" w:cs="Times New Roman"/>
          <w:sz w:val="32"/>
          <w:szCs w:val="32"/>
        </w:rPr>
      </w:pPr>
    </w:p>
    <w:p>
      <w:pPr>
        <w:kinsoku w:val="0"/>
        <w:overflowPunct w:val="0"/>
        <w:autoSpaceDE w:val="0"/>
        <w:autoSpaceDN w:val="0"/>
        <w:adjustRightInd w:val="0"/>
        <w:spacing w:before="48" w:line="560" w:lineRule="exact"/>
        <w:ind w:right="765"/>
        <w:rPr>
          <w:rFonts w:ascii="仿宋" w:hAnsi="仿宋" w:eastAsia="仿宋" w:cs="Times New Roman"/>
          <w:sz w:val="32"/>
          <w:szCs w:val="32"/>
        </w:rPr>
      </w:pPr>
    </w:p>
    <w:p>
      <w:pPr>
        <w:kinsoku w:val="0"/>
        <w:overflowPunct w:val="0"/>
        <w:autoSpaceDE w:val="0"/>
        <w:autoSpaceDN w:val="0"/>
        <w:adjustRightInd w:val="0"/>
        <w:spacing w:before="48" w:line="560" w:lineRule="exact"/>
        <w:ind w:right="765"/>
        <w:rPr>
          <w:rFonts w:ascii="仿宋" w:hAnsi="仿宋" w:eastAsia="仿宋" w:cs="Times New Roman"/>
          <w:sz w:val="32"/>
          <w:szCs w:val="32"/>
        </w:rPr>
      </w:pPr>
    </w:p>
    <w:p>
      <w:pPr>
        <w:kinsoku w:val="0"/>
        <w:overflowPunct w:val="0"/>
        <w:autoSpaceDE w:val="0"/>
        <w:autoSpaceDN w:val="0"/>
        <w:adjustRightInd w:val="0"/>
        <w:spacing w:before="48" w:line="560" w:lineRule="exact"/>
        <w:ind w:right="765"/>
        <w:rPr>
          <w:rFonts w:ascii="仿宋" w:hAnsi="仿宋" w:eastAsia="仿宋" w:cs="Times New Roman"/>
          <w:sz w:val="32"/>
          <w:szCs w:val="32"/>
        </w:rPr>
      </w:pPr>
    </w:p>
    <w:p>
      <w:pPr>
        <w:kinsoku w:val="0"/>
        <w:overflowPunct w:val="0"/>
        <w:autoSpaceDE w:val="0"/>
        <w:autoSpaceDN w:val="0"/>
        <w:adjustRightInd w:val="0"/>
        <w:spacing w:before="48" w:line="560" w:lineRule="exact"/>
        <w:ind w:right="765"/>
        <w:rPr>
          <w:rFonts w:ascii="仿宋" w:hAnsi="仿宋" w:eastAsia="仿宋" w:cs="Times New Roman"/>
          <w:sz w:val="32"/>
          <w:szCs w:val="32"/>
        </w:rPr>
      </w:pPr>
    </w:p>
    <w:p>
      <w:pPr>
        <w:kinsoku w:val="0"/>
        <w:overflowPunct w:val="0"/>
        <w:autoSpaceDE w:val="0"/>
        <w:autoSpaceDN w:val="0"/>
        <w:adjustRightInd w:val="0"/>
        <w:spacing w:before="48" w:line="560" w:lineRule="exact"/>
        <w:ind w:right="765"/>
        <w:rPr>
          <w:rFonts w:ascii="仿宋" w:hAnsi="仿宋" w:eastAsia="仿宋" w:cs="Times New Roman"/>
          <w:sz w:val="32"/>
          <w:szCs w:val="32"/>
        </w:rPr>
      </w:pPr>
    </w:p>
    <w:p>
      <w:pPr>
        <w:kinsoku w:val="0"/>
        <w:overflowPunct w:val="0"/>
        <w:autoSpaceDE w:val="0"/>
        <w:autoSpaceDN w:val="0"/>
        <w:adjustRightInd w:val="0"/>
        <w:spacing w:before="48" w:line="560" w:lineRule="exact"/>
        <w:ind w:right="765"/>
        <w:rPr>
          <w:rFonts w:ascii="仿宋" w:hAnsi="仿宋" w:eastAsia="仿宋" w:cs="Times New Roman"/>
          <w:sz w:val="32"/>
          <w:szCs w:val="32"/>
        </w:rPr>
      </w:pPr>
    </w:p>
    <w:p>
      <w:pPr>
        <w:kinsoku w:val="0"/>
        <w:overflowPunct w:val="0"/>
        <w:autoSpaceDE w:val="0"/>
        <w:autoSpaceDN w:val="0"/>
        <w:adjustRightInd w:val="0"/>
        <w:spacing w:before="48" w:line="560" w:lineRule="exact"/>
        <w:ind w:right="765"/>
        <w:rPr>
          <w:rFonts w:ascii="仿宋" w:hAnsi="仿宋" w:eastAsia="仿宋" w:cs="Times New Roman"/>
          <w:sz w:val="32"/>
          <w:szCs w:val="32"/>
        </w:rPr>
      </w:pPr>
    </w:p>
    <w:p>
      <w:pPr>
        <w:kinsoku w:val="0"/>
        <w:overflowPunct w:val="0"/>
        <w:autoSpaceDE w:val="0"/>
        <w:autoSpaceDN w:val="0"/>
        <w:adjustRightInd w:val="0"/>
        <w:spacing w:before="48" w:line="560" w:lineRule="exact"/>
        <w:ind w:right="765"/>
        <w:rPr>
          <w:rFonts w:ascii="仿宋" w:hAnsi="仿宋" w:eastAsia="仿宋" w:cs="Times New Roman"/>
          <w:sz w:val="32"/>
          <w:szCs w:val="32"/>
        </w:rPr>
      </w:pPr>
    </w:p>
    <w:p>
      <w:pPr>
        <w:kinsoku w:val="0"/>
        <w:overflowPunct w:val="0"/>
        <w:autoSpaceDE w:val="0"/>
        <w:autoSpaceDN w:val="0"/>
        <w:adjustRightInd w:val="0"/>
        <w:spacing w:before="48" w:line="560" w:lineRule="exact"/>
        <w:ind w:right="765"/>
        <w:rPr>
          <w:rFonts w:ascii="仿宋" w:hAnsi="仿宋" w:eastAsia="仿宋" w:cs="Times New Roman"/>
          <w:sz w:val="32"/>
          <w:szCs w:val="32"/>
        </w:rPr>
      </w:pPr>
    </w:p>
    <w:p>
      <w:pPr>
        <w:kinsoku w:val="0"/>
        <w:overflowPunct w:val="0"/>
        <w:autoSpaceDE w:val="0"/>
        <w:autoSpaceDN w:val="0"/>
        <w:adjustRightInd w:val="0"/>
        <w:spacing w:before="48" w:line="560" w:lineRule="exact"/>
        <w:ind w:right="765"/>
        <w:rPr>
          <w:rFonts w:ascii="仿宋" w:hAnsi="仿宋" w:eastAsia="仿宋" w:cs="Times New Roman"/>
          <w:sz w:val="32"/>
          <w:szCs w:val="32"/>
        </w:rPr>
      </w:pPr>
    </w:p>
    <w:p>
      <w:pPr>
        <w:kinsoku w:val="0"/>
        <w:overflowPunct w:val="0"/>
        <w:autoSpaceDE w:val="0"/>
        <w:autoSpaceDN w:val="0"/>
        <w:adjustRightInd w:val="0"/>
        <w:spacing w:before="48" w:line="560" w:lineRule="exact"/>
        <w:ind w:right="765"/>
        <w:rPr>
          <w:rFonts w:ascii="仿宋" w:hAnsi="仿宋" w:eastAsia="仿宋" w:cs="Times New Roman"/>
          <w:sz w:val="32"/>
          <w:szCs w:val="32"/>
        </w:rPr>
      </w:pPr>
    </w:p>
    <w:p>
      <w:pPr>
        <w:kinsoku w:val="0"/>
        <w:overflowPunct w:val="0"/>
        <w:autoSpaceDE w:val="0"/>
        <w:autoSpaceDN w:val="0"/>
        <w:adjustRightInd w:val="0"/>
        <w:spacing w:before="48" w:line="560" w:lineRule="exact"/>
        <w:ind w:right="765"/>
        <w:rPr>
          <w:rFonts w:ascii="仿宋" w:hAnsi="仿宋" w:eastAsia="仿宋" w:cs="Times New Roman"/>
          <w:sz w:val="32"/>
          <w:szCs w:val="32"/>
        </w:rPr>
      </w:pPr>
    </w:p>
    <w:p>
      <w:pPr>
        <w:kinsoku w:val="0"/>
        <w:overflowPunct w:val="0"/>
        <w:autoSpaceDE w:val="0"/>
        <w:autoSpaceDN w:val="0"/>
        <w:adjustRightInd w:val="0"/>
        <w:spacing w:before="48" w:line="560" w:lineRule="exact"/>
        <w:ind w:right="765"/>
        <w:rPr>
          <w:rFonts w:ascii="仿宋" w:hAnsi="仿宋" w:eastAsia="仿宋" w:cs="Times New Roman"/>
          <w:sz w:val="32"/>
          <w:szCs w:val="32"/>
        </w:rPr>
      </w:pPr>
    </w:p>
    <w:p>
      <w:pPr>
        <w:kinsoku w:val="0"/>
        <w:overflowPunct w:val="0"/>
        <w:autoSpaceDE w:val="0"/>
        <w:autoSpaceDN w:val="0"/>
        <w:adjustRightInd w:val="0"/>
        <w:spacing w:before="48" w:line="560" w:lineRule="exact"/>
        <w:ind w:right="765"/>
        <w:rPr>
          <w:rFonts w:ascii="仿宋" w:hAnsi="仿宋" w:eastAsia="仿宋" w:cs="Times New Roman"/>
          <w:sz w:val="32"/>
          <w:szCs w:val="32"/>
        </w:rPr>
      </w:pPr>
    </w:p>
    <w:p>
      <w:pPr>
        <w:kinsoku w:val="0"/>
        <w:overflowPunct w:val="0"/>
        <w:autoSpaceDE w:val="0"/>
        <w:autoSpaceDN w:val="0"/>
        <w:adjustRightInd w:val="0"/>
        <w:spacing w:before="48" w:line="560" w:lineRule="exact"/>
        <w:ind w:right="765"/>
        <w:rPr>
          <w:rFonts w:ascii="仿宋" w:hAnsi="仿宋" w:eastAsia="仿宋" w:cs="Times New Roman"/>
          <w:sz w:val="32"/>
          <w:szCs w:val="32"/>
        </w:rPr>
      </w:pPr>
    </w:p>
    <w:p>
      <w:pPr>
        <w:kinsoku w:val="0"/>
        <w:overflowPunct w:val="0"/>
        <w:autoSpaceDE w:val="0"/>
        <w:autoSpaceDN w:val="0"/>
        <w:adjustRightInd w:val="0"/>
        <w:spacing w:before="48" w:line="560" w:lineRule="exact"/>
        <w:ind w:right="765"/>
        <w:rPr>
          <w:rFonts w:ascii="仿宋" w:hAnsi="仿宋" w:eastAsia="仿宋" w:cs="Times New Roman"/>
          <w:sz w:val="32"/>
          <w:szCs w:val="32"/>
        </w:rPr>
      </w:pPr>
    </w:p>
    <w:p>
      <w:pPr>
        <w:pStyle w:val="3"/>
        <w:numPr>
          <w:ilvl w:val="0"/>
          <w:numId w:val="2"/>
        </w:numPr>
        <w:tabs>
          <w:tab w:val="left" w:pos="880"/>
        </w:tabs>
        <w:kinsoku w:val="0"/>
        <w:overflowPunct w:val="0"/>
        <w:spacing w:before="0"/>
        <w:jc w:val="center"/>
        <w:rPr>
          <w:rFonts w:hint="default" w:ascii="黑体" w:hAnsi="黑体" w:eastAsia="黑体" w:cs="黑体"/>
          <w:b/>
          <w:sz w:val="36"/>
          <w:szCs w:val="36"/>
        </w:rPr>
      </w:pPr>
    </w:p>
    <w:p>
      <w:pPr>
        <w:pStyle w:val="3"/>
        <w:tabs>
          <w:tab w:val="left" w:pos="880"/>
        </w:tabs>
        <w:kinsoku w:val="0"/>
        <w:overflowPunct w:val="0"/>
        <w:spacing w:before="0"/>
        <w:ind w:left="0"/>
        <w:jc w:val="center"/>
        <w:rPr>
          <w:rFonts w:hint="default" w:ascii="黑体" w:hAnsi="黑体" w:eastAsia="黑体" w:cs="黑体"/>
          <w:b/>
          <w:sz w:val="36"/>
          <w:szCs w:val="36"/>
        </w:rPr>
      </w:pPr>
      <w:r>
        <w:rPr>
          <w:rFonts w:ascii="黑体" w:hAnsi="黑体" w:eastAsia="黑体" w:cs="黑体"/>
          <w:b/>
          <w:sz w:val="36"/>
          <w:szCs w:val="36"/>
        </w:rPr>
        <w:t>淮滨县</w:t>
      </w:r>
      <w:r>
        <w:rPr>
          <w:rFonts w:hint="eastAsia" w:ascii="黑体" w:hAnsi="黑体" w:eastAsia="黑体" w:cs="黑体"/>
          <w:b/>
          <w:sz w:val="36"/>
          <w:szCs w:val="36"/>
          <w:lang w:eastAsia="zh-CN"/>
        </w:rPr>
        <w:t>淮滨县第一幼儿园</w:t>
      </w:r>
      <w:r>
        <w:rPr>
          <w:rFonts w:ascii="黑体" w:hAnsi="黑体" w:eastAsia="黑体" w:cs="黑体"/>
          <w:b/>
          <w:sz w:val="36"/>
          <w:szCs w:val="36"/>
        </w:rPr>
        <w:t>概况</w:t>
      </w:r>
    </w:p>
    <w:p>
      <w:pPr>
        <w:pStyle w:val="3"/>
        <w:tabs>
          <w:tab w:val="left" w:pos="880"/>
        </w:tabs>
        <w:kinsoku w:val="0"/>
        <w:overflowPunct w:val="0"/>
        <w:spacing w:before="0"/>
        <w:ind w:left="0"/>
        <w:jc w:val="center"/>
        <w:rPr>
          <w:rFonts w:hint="default" w:ascii="黑体" w:hAnsi="黑体" w:eastAsia="黑体" w:cs="黑体"/>
          <w:b/>
          <w:sz w:val="36"/>
          <w:szCs w:val="36"/>
        </w:rPr>
      </w:pPr>
    </w:p>
    <w:p>
      <w:pPr>
        <w:pStyle w:val="3"/>
        <w:numPr>
          <w:ilvl w:val="0"/>
          <w:numId w:val="3"/>
        </w:numPr>
        <w:tabs>
          <w:tab w:val="left" w:pos="880"/>
        </w:tabs>
        <w:kinsoku w:val="0"/>
        <w:overflowPunct w:val="0"/>
        <w:spacing w:before="0"/>
        <w:ind w:firstLine="640" w:firstLineChars="200"/>
        <w:jc w:val="left"/>
        <w:rPr>
          <w:rFonts w:hint="default" w:ascii="黑体" w:hAnsi="黑体" w:eastAsia="黑体" w:cs="黑体"/>
          <w:bCs/>
          <w:szCs w:val="32"/>
        </w:rPr>
      </w:pPr>
      <w:r>
        <w:rPr>
          <w:rFonts w:hint="eastAsia" w:ascii="黑体" w:hAnsi="黑体" w:eastAsia="黑体" w:cs="黑体"/>
          <w:bCs/>
          <w:szCs w:val="32"/>
          <w:lang w:eastAsia="zh-CN"/>
        </w:rPr>
        <w:t>淮滨县第一幼儿园</w:t>
      </w:r>
      <w:r>
        <w:rPr>
          <w:rFonts w:ascii="黑体" w:hAnsi="黑体" w:eastAsia="黑体" w:cs="黑体"/>
          <w:bCs/>
          <w:szCs w:val="32"/>
        </w:rPr>
        <w:t>主要职责</w:t>
      </w:r>
    </w:p>
    <w:p>
      <w:pPr>
        <w:pStyle w:val="3"/>
        <w:tabs>
          <w:tab w:val="left" w:pos="880"/>
        </w:tabs>
        <w:kinsoku w:val="0"/>
        <w:overflowPunct w:val="0"/>
        <w:spacing w:before="0"/>
        <w:ind w:left="0" w:leftChars="0" w:firstLine="640" w:firstLineChars="200"/>
        <w:jc w:val="left"/>
        <w:rPr>
          <w:rFonts w:hint="default" w:ascii="黑体" w:hAnsi="黑体" w:eastAsia="黑体" w:cs="黑体"/>
          <w:bCs/>
          <w:szCs w:val="32"/>
        </w:rPr>
      </w:pPr>
      <w:r>
        <w:rPr>
          <w:rFonts w:hint="eastAsia" w:ascii="仿宋_GB2312" w:hAnsi="仿宋_GB2312" w:eastAsia="仿宋_GB2312" w:cs="仿宋_GB2312"/>
          <w:bCs/>
          <w:szCs w:val="32"/>
          <w:lang w:eastAsia="zh-CN"/>
        </w:rPr>
        <w:t>淮滨县第一幼儿园</w:t>
      </w:r>
      <w:r>
        <w:rPr>
          <w:rFonts w:ascii="仿宋_GB2312" w:hAnsi="仿宋_GB2312" w:eastAsia="仿宋_GB2312" w:cs="仿宋_GB2312"/>
          <w:bCs/>
          <w:szCs w:val="32"/>
        </w:rPr>
        <w:t>主要职责是：</w:t>
      </w:r>
      <w:r>
        <w:rPr>
          <w:rFonts w:hint="default" w:ascii="仿宋_GB2312" w:hAnsi="仿宋_GB2312" w:eastAsia="仿宋_GB2312" w:cs="仿宋_GB2312"/>
          <w:bCs/>
          <w:szCs w:val="32"/>
        </w:rPr>
        <w:t>以学前教育为主, 以体、智、德、美诸方面的教育互相渗透，有机结合；遵循幼儿身心发展的规律，符合幼儿的年龄特点，注重个体差异，因人施教，引导幼儿个性健康发展；面向全体幼儿，热爱幼儿，坚持积极鼓励、启发诱导的正面教育；合理地综合组织各方面的教育内容，并渗透于幼儿一日生活的各项活动中，充分发挥各种教育手段的交互作用；创设与教育相适应的良好环境，为幼儿提供活动和表现能力的机会与条件；是以游戏为基本活动，寓教育于各项活动之中。为学龄前儿童提供保育和教育。</w:t>
      </w:r>
    </w:p>
    <w:p>
      <w:pPr>
        <w:pStyle w:val="3"/>
        <w:numPr>
          <w:ilvl w:val="0"/>
          <w:numId w:val="3"/>
        </w:numPr>
        <w:tabs>
          <w:tab w:val="left" w:pos="880"/>
        </w:tabs>
        <w:kinsoku w:val="0"/>
        <w:overflowPunct w:val="0"/>
        <w:spacing w:before="0"/>
        <w:ind w:firstLine="640" w:firstLineChars="200"/>
        <w:jc w:val="left"/>
        <w:rPr>
          <w:rFonts w:hint="default" w:ascii="黑体" w:hAnsi="黑体" w:eastAsia="黑体" w:cs="黑体"/>
          <w:bCs/>
          <w:szCs w:val="32"/>
        </w:rPr>
      </w:pPr>
      <w:r>
        <w:rPr>
          <w:rFonts w:hint="eastAsia" w:ascii="黑体" w:hAnsi="黑体" w:eastAsia="黑体" w:cs="黑体"/>
          <w:bCs/>
          <w:szCs w:val="32"/>
          <w:lang w:val="en-US" w:eastAsia="zh-CN"/>
        </w:rPr>
        <w:t>内设机构设置情况</w:t>
      </w:r>
    </w:p>
    <w:p>
      <w:pPr>
        <w:ind w:firstLine="640" w:firstLineChars="200"/>
        <w:jc w:val="left"/>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lang w:eastAsia="zh-CN"/>
        </w:rPr>
        <w:t>淮滨县第一幼儿园</w:t>
      </w:r>
      <w:r>
        <w:rPr>
          <w:rFonts w:hint="eastAsia" w:ascii="仿宋_GB2312" w:hAnsi="仿宋_GB2312" w:eastAsia="仿宋_GB2312" w:cs="仿宋_GB2312"/>
          <w:bCs/>
          <w:sz w:val="32"/>
          <w:szCs w:val="32"/>
        </w:rPr>
        <w:t>202</w:t>
      </w:r>
      <w:r>
        <w:rPr>
          <w:rFonts w:hint="eastAsia" w:ascii="仿宋_GB2312" w:hAnsi="仿宋_GB2312" w:eastAsia="仿宋_GB2312" w:cs="仿宋_GB2312"/>
          <w:bCs/>
          <w:sz w:val="32"/>
          <w:szCs w:val="32"/>
          <w:lang w:val="en-US" w:eastAsia="zh-CN"/>
        </w:rPr>
        <w:t>3</w:t>
      </w:r>
      <w:r>
        <w:rPr>
          <w:rFonts w:hint="eastAsia" w:ascii="仿宋_GB2312" w:hAnsi="仿宋_GB2312" w:eastAsia="仿宋_GB2312" w:cs="仿宋_GB2312"/>
          <w:bCs/>
          <w:sz w:val="32"/>
          <w:szCs w:val="32"/>
        </w:rPr>
        <w:t>年部门预算</w:t>
      </w:r>
      <w:r>
        <w:rPr>
          <w:rFonts w:hint="eastAsia" w:ascii="仿宋_GB2312" w:hAnsi="仿宋_GB2312" w:eastAsia="仿宋_GB2312" w:cs="仿宋_GB2312"/>
          <w:bCs/>
          <w:sz w:val="32"/>
          <w:szCs w:val="32"/>
          <w:lang w:val="en-US" w:eastAsia="zh-CN"/>
        </w:rPr>
        <w:t>为</w:t>
      </w:r>
      <w:r>
        <w:rPr>
          <w:rFonts w:hint="eastAsia" w:ascii="仿宋_GB2312" w:hAnsi="仿宋_GB2312" w:eastAsia="仿宋_GB2312" w:cs="仿宋_GB2312"/>
          <w:bCs/>
          <w:sz w:val="32"/>
          <w:szCs w:val="32"/>
        </w:rPr>
        <w:t>本级预算</w:t>
      </w:r>
      <w:r>
        <w:rPr>
          <w:rFonts w:hint="eastAsia" w:ascii="仿宋_GB2312" w:hAnsi="仿宋_GB2312" w:eastAsia="仿宋_GB2312" w:cs="仿宋_GB2312"/>
          <w:bCs/>
          <w:sz w:val="32"/>
          <w:szCs w:val="32"/>
          <w:lang w:eastAsia="zh-CN"/>
        </w:rPr>
        <w:t>，</w:t>
      </w:r>
      <w:r>
        <w:rPr>
          <w:rFonts w:hint="eastAsia" w:ascii="仿宋_GB2312" w:hAnsi="仿宋_GB2312" w:eastAsia="仿宋_GB2312" w:cs="仿宋_GB2312"/>
          <w:bCs/>
          <w:sz w:val="32"/>
          <w:szCs w:val="32"/>
        </w:rPr>
        <w:t>本单位无所属二级机构预算。</w:t>
      </w:r>
    </w:p>
    <w:p>
      <w:pPr>
        <w:pStyle w:val="3"/>
        <w:numPr>
          <w:ilvl w:val="0"/>
          <w:numId w:val="3"/>
        </w:numPr>
        <w:tabs>
          <w:tab w:val="left" w:pos="880"/>
        </w:tabs>
        <w:kinsoku w:val="0"/>
        <w:overflowPunct w:val="0"/>
        <w:spacing w:before="0"/>
        <w:ind w:firstLine="640" w:firstLineChars="200"/>
        <w:jc w:val="left"/>
        <w:rPr>
          <w:rFonts w:hint="eastAsia" w:ascii="仿宋_GB2312" w:hAnsi="仿宋_GB2312" w:eastAsia="仿宋_GB2312" w:cs="仿宋_GB2312"/>
          <w:bCs/>
          <w:sz w:val="32"/>
          <w:szCs w:val="32"/>
        </w:rPr>
      </w:pPr>
      <w:r>
        <w:rPr>
          <w:rFonts w:hint="eastAsia" w:ascii="黑体" w:hAnsi="黑体" w:eastAsia="黑体" w:cs="黑体"/>
          <w:bCs/>
          <w:szCs w:val="32"/>
          <w:lang w:val="en-US" w:eastAsia="zh-CN"/>
        </w:rPr>
        <w:t>部门所属预算单位构成情况</w:t>
      </w:r>
    </w:p>
    <w:p>
      <w:pPr>
        <w:numPr>
          <w:ilvl w:val="0"/>
          <w:numId w:val="0"/>
        </w:numPr>
        <w:ind w:firstLine="640" w:firstLineChars="200"/>
        <w:jc w:val="left"/>
        <w:rPr>
          <w:rFonts w:hint="eastAsia" w:ascii="仿宋" w:hAnsi="仿宋" w:eastAsia="仿宋" w:cs="仿宋"/>
          <w:bCs/>
          <w:sz w:val="32"/>
          <w:szCs w:val="32"/>
        </w:rPr>
      </w:pPr>
      <w:r>
        <w:rPr>
          <w:rFonts w:hint="eastAsia" w:ascii="仿宋_GB2312" w:hAnsi="仿宋_GB2312" w:eastAsia="仿宋_GB2312" w:cs="仿宋_GB2312"/>
          <w:bCs/>
          <w:sz w:val="32"/>
          <w:szCs w:val="32"/>
          <w:lang w:eastAsia="zh-CN"/>
        </w:rPr>
        <w:t>淮滨县第一幼儿园</w:t>
      </w:r>
      <w:r>
        <w:rPr>
          <w:rFonts w:hint="eastAsia" w:ascii="仿宋_GB2312" w:hAnsi="仿宋_GB2312" w:eastAsia="仿宋_GB2312" w:cs="仿宋_GB2312"/>
          <w:bCs/>
          <w:sz w:val="32"/>
          <w:szCs w:val="32"/>
        </w:rPr>
        <w:t>本级预算包括：设办公室、财务室、</w:t>
      </w:r>
      <w:r>
        <w:rPr>
          <w:rFonts w:hint="eastAsia" w:ascii="仿宋_GB2312" w:hAnsi="仿宋_GB2312" w:eastAsia="仿宋_GB2312" w:cs="仿宋_GB2312"/>
          <w:bCs/>
          <w:sz w:val="32"/>
          <w:szCs w:val="32"/>
          <w:lang w:val="en-US" w:eastAsia="zh-CN"/>
        </w:rPr>
        <w:t>政教处、教导处、总务处</w:t>
      </w:r>
      <w:r>
        <w:rPr>
          <w:rFonts w:hint="eastAsia" w:ascii="仿宋_GB2312" w:hAnsi="仿宋_GB2312" w:eastAsia="仿宋_GB2312" w:cs="仿宋_GB2312"/>
          <w:bCs/>
          <w:sz w:val="32"/>
          <w:szCs w:val="32"/>
        </w:rPr>
        <w:t>、医务室等</w:t>
      </w:r>
      <w:r>
        <w:rPr>
          <w:rFonts w:hint="eastAsia" w:ascii="仿宋_GB2312" w:hAnsi="仿宋_GB2312" w:eastAsia="仿宋_GB2312" w:cs="仿宋_GB2312"/>
          <w:bCs/>
          <w:sz w:val="32"/>
          <w:szCs w:val="32"/>
          <w:lang w:val="en-US" w:eastAsia="zh-CN"/>
        </w:rPr>
        <w:t>处室</w:t>
      </w:r>
      <w:r>
        <w:rPr>
          <w:rFonts w:hint="eastAsia" w:ascii="仿宋_GB2312" w:hAnsi="仿宋_GB2312" w:eastAsia="仿宋_GB2312" w:cs="仿宋_GB2312"/>
          <w:bCs/>
          <w:sz w:val="32"/>
          <w:szCs w:val="32"/>
        </w:rPr>
        <w:t>预算。</w:t>
      </w:r>
    </w:p>
    <w:p>
      <w:pPr>
        <w:jc w:val="both"/>
        <w:rPr>
          <w:rFonts w:ascii="黑体" w:hAnsi="黑体" w:eastAsia="黑体" w:cs="黑体"/>
          <w:b/>
          <w:bCs/>
          <w:sz w:val="36"/>
          <w:szCs w:val="36"/>
        </w:rPr>
      </w:pPr>
    </w:p>
    <w:p>
      <w:pPr>
        <w:jc w:val="center"/>
        <w:rPr>
          <w:rFonts w:ascii="黑体" w:hAnsi="黑体" w:eastAsia="黑体" w:cs="黑体"/>
          <w:b/>
          <w:bCs/>
          <w:sz w:val="36"/>
          <w:szCs w:val="36"/>
        </w:rPr>
      </w:pPr>
      <w:r>
        <w:rPr>
          <w:rFonts w:hint="eastAsia" w:ascii="黑体" w:hAnsi="黑体" w:eastAsia="黑体" w:cs="黑体"/>
          <w:b/>
          <w:bCs/>
          <w:sz w:val="36"/>
          <w:szCs w:val="36"/>
        </w:rPr>
        <w:t>第二部分</w:t>
      </w:r>
    </w:p>
    <w:p>
      <w:pPr>
        <w:jc w:val="center"/>
        <w:rPr>
          <w:rFonts w:ascii="黑体" w:hAnsi="黑体" w:eastAsia="黑体" w:cs="黑体"/>
          <w:b/>
          <w:bCs/>
          <w:sz w:val="36"/>
          <w:szCs w:val="36"/>
        </w:rPr>
      </w:pPr>
      <w:r>
        <w:rPr>
          <w:rFonts w:hint="eastAsia" w:ascii="黑体" w:hAnsi="黑体" w:eastAsia="黑体" w:cs="黑体"/>
          <w:b/>
          <w:bCs/>
          <w:sz w:val="36"/>
          <w:szCs w:val="36"/>
          <w:lang w:eastAsia="zh-CN"/>
        </w:rPr>
        <w:t>淮滨县第一幼儿园2023年</w:t>
      </w:r>
      <w:r>
        <w:rPr>
          <w:rFonts w:hint="eastAsia" w:ascii="黑体" w:hAnsi="黑体" w:eastAsia="黑体" w:cs="黑体"/>
          <w:b/>
          <w:bCs/>
          <w:sz w:val="36"/>
          <w:szCs w:val="36"/>
        </w:rPr>
        <w:t>度部门预算情况说明</w:t>
      </w:r>
    </w:p>
    <w:p>
      <w:pPr>
        <w:jc w:val="center"/>
        <w:rPr>
          <w:rFonts w:ascii="黑体" w:hAnsi="黑体" w:eastAsia="黑体" w:cs="黑体"/>
          <w:b/>
          <w:bCs/>
          <w:sz w:val="36"/>
          <w:szCs w:val="36"/>
        </w:rPr>
      </w:pPr>
    </w:p>
    <w:p>
      <w:pPr>
        <w:numPr>
          <w:ilvl w:val="0"/>
          <w:numId w:val="4"/>
        </w:numPr>
        <w:ind w:firstLine="640"/>
        <w:jc w:val="left"/>
        <w:rPr>
          <w:rFonts w:ascii="黑体" w:hAnsi="黑体" w:eastAsia="黑体" w:cs="黑体"/>
          <w:sz w:val="32"/>
          <w:szCs w:val="32"/>
        </w:rPr>
      </w:pPr>
      <w:r>
        <w:rPr>
          <w:rFonts w:hint="eastAsia" w:ascii="黑体" w:hAnsi="黑体" w:eastAsia="黑体" w:cs="黑体"/>
          <w:sz w:val="32"/>
          <w:szCs w:val="32"/>
        </w:rPr>
        <w:t>收入支出预算总体情况说明</w:t>
      </w:r>
    </w:p>
    <w:p>
      <w:pPr>
        <w:ind w:firstLine="640" w:firstLineChars="200"/>
        <w:jc w:val="left"/>
        <w:rPr>
          <w:rFonts w:hint="default" w:ascii="仿宋" w:hAnsi="仿宋" w:eastAsia="仿宋" w:cs="仿宋"/>
          <w:sz w:val="32"/>
          <w:szCs w:val="32"/>
          <w:lang w:val="en-US" w:eastAsia="zh-CN"/>
        </w:rPr>
      </w:pPr>
      <w:r>
        <w:rPr>
          <w:rFonts w:hint="eastAsia" w:ascii="仿宋" w:hAnsi="仿宋" w:eastAsia="仿宋" w:cs="仿宋"/>
          <w:sz w:val="32"/>
          <w:szCs w:val="32"/>
          <w:lang w:eastAsia="zh-CN"/>
        </w:rPr>
        <w:t>淮滨县第一幼儿园2023年</w:t>
      </w:r>
      <w:r>
        <w:rPr>
          <w:rFonts w:hint="eastAsia" w:ascii="仿宋" w:hAnsi="仿宋" w:eastAsia="仿宋" w:cs="仿宋"/>
          <w:sz w:val="32"/>
          <w:szCs w:val="32"/>
        </w:rPr>
        <w:t>收入总计471.80</w:t>
      </w:r>
      <w:r>
        <w:rPr>
          <w:rFonts w:hint="eastAsia" w:ascii="仿宋" w:hAnsi="仿宋" w:eastAsia="仿宋" w:cs="仿宋"/>
          <w:sz w:val="32"/>
          <w:szCs w:val="32"/>
          <w:lang w:val="en-US" w:eastAsia="zh-CN"/>
        </w:rPr>
        <w:t>万元</w:t>
      </w:r>
      <w:r>
        <w:rPr>
          <w:rFonts w:hint="eastAsia" w:ascii="仿宋" w:hAnsi="仿宋" w:eastAsia="仿宋" w:cs="仿宋"/>
          <w:sz w:val="32"/>
          <w:szCs w:val="32"/>
        </w:rPr>
        <w:t>，支出总计471.80万元,与202</w:t>
      </w:r>
      <w:r>
        <w:rPr>
          <w:rFonts w:hint="eastAsia" w:ascii="仿宋" w:hAnsi="仿宋" w:eastAsia="仿宋" w:cs="仿宋"/>
          <w:sz w:val="32"/>
          <w:szCs w:val="32"/>
          <w:lang w:val="en-US" w:eastAsia="zh-CN"/>
        </w:rPr>
        <w:t>2</w:t>
      </w:r>
      <w:r>
        <w:rPr>
          <w:rFonts w:hint="eastAsia" w:ascii="仿宋" w:hAnsi="仿宋" w:eastAsia="仿宋" w:cs="仿宋"/>
          <w:sz w:val="32"/>
          <w:szCs w:val="32"/>
        </w:rPr>
        <w:t>年相比，收、支总计各</w:t>
      </w:r>
      <w:r>
        <w:rPr>
          <w:rFonts w:hint="eastAsia" w:ascii="仿宋" w:hAnsi="仿宋" w:eastAsia="仿宋" w:cs="仿宋"/>
          <w:sz w:val="32"/>
          <w:szCs w:val="32"/>
          <w:lang w:val="en-US" w:eastAsia="zh-CN"/>
        </w:rPr>
        <w:t>减少581.55</w:t>
      </w:r>
      <w:r>
        <w:rPr>
          <w:rFonts w:hint="eastAsia" w:ascii="仿宋" w:hAnsi="仿宋" w:eastAsia="仿宋" w:cs="仿宋"/>
          <w:sz w:val="32"/>
          <w:szCs w:val="32"/>
        </w:rPr>
        <w:t>万元，</w:t>
      </w:r>
      <w:r>
        <w:rPr>
          <w:rFonts w:hint="eastAsia" w:ascii="仿宋" w:hAnsi="仿宋" w:eastAsia="仿宋" w:cs="仿宋"/>
          <w:sz w:val="32"/>
          <w:szCs w:val="32"/>
          <w:lang w:val="en-US" w:eastAsia="zh-CN"/>
        </w:rPr>
        <w:t>下降55.21</w:t>
      </w:r>
      <w:r>
        <w:rPr>
          <w:rFonts w:hint="eastAsia" w:ascii="仿宋" w:hAnsi="仿宋" w:eastAsia="仿宋" w:cs="仿宋"/>
          <w:sz w:val="32"/>
          <w:szCs w:val="32"/>
        </w:rPr>
        <w:t>%。主要原因</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原县直机关幼儿园机构改革，划分为两个单位，本单位在职人员减少，在校学生减少，整体收支减少</w:t>
      </w:r>
      <w:r>
        <w:rPr>
          <w:rFonts w:hint="eastAsia" w:ascii="仿宋" w:hAnsi="仿宋" w:eastAsia="仿宋" w:cs="仿宋"/>
          <w:sz w:val="32"/>
          <w:szCs w:val="32"/>
        </w:rPr>
        <w:t>。</w:t>
      </w:r>
    </w:p>
    <w:p>
      <w:pPr>
        <w:jc w:val="left"/>
        <w:rPr>
          <w:rFonts w:hint="eastAsia" w:ascii="仿宋" w:hAnsi="仿宋" w:eastAsia="仿宋" w:cs="仿宋"/>
          <w:sz w:val="32"/>
          <w:szCs w:val="32"/>
        </w:rPr>
      </w:pPr>
      <w:r>
        <w:rPr>
          <w:rFonts w:hint="eastAsia" w:ascii="仿宋" w:hAnsi="仿宋" w:eastAsia="仿宋" w:cs="仿宋"/>
          <w:sz w:val="32"/>
          <w:szCs w:val="32"/>
        </w:rPr>
        <w:drawing>
          <wp:inline distT="0" distB="0" distL="0" distR="0">
            <wp:extent cx="5340350" cy="3567430"/>
            <wp:effectExtent l="0" t="0" r="12700" b="13970"/>
            <wp:docPr id="6" name="图表 6"/>
            <wp:cNvGraphicFramePr/>
            <a:graphic xmlns:a="http://schemas.openxmlformats.org/drawingml/2006/main">
              <a:graphicData uri="http://schemas.openxmlformats.org/drawingml/2006/chart">
                <c:chart xmlns:c="http://schemas.openxmlformats.org/drawingml/2006/chart" xmlns:r="http://schemas.openxmlformats.org/officeDocument/2006/relationships" r:id="rId4"/>
              </a:graphicData>
            </a:graphic>
          </wp:inline>
        </w:drawing>
      </w:r>
    </w:p>
    <w:p>
      <w:pPr>
        <w:numPr>
          <w:ilvl w:val="0"/>
          <w:numId w:val="4"/>
        </w:numPr>
        <w:ind w:firstLine="640"/>
        <w:jc w:val="left"/>
        <w:rPr>
          <w:rFonts w:ascii="黑体" w:hAnsi="黑体" w:eastAsia="黑体"/>
          <w:sz w:val="32"/>
        </w:rPr>
      </w:pPr>
      <w:r>
        <w:rPr>
          <w:rFonts w:hint="eastAsia" w:ascii="黑体" w:hAnsi="黑体" w:eastAsia="黑体"/>
          <w:sz w:val="32"/>
        </w:rPr>
        <w:t>收入预算总体情况说明</w:t>
      </w:r>
    </w:p>
    <w:p>
      <w:pPr>
        <w:ind w:firstLine="640" w:firstLineChars="200"/>
        <w:jc w:val="left"/>
        <w:rPr>
          <w:rFonts w:ascii="仿宋" w:hAnsi="仿宋" w:eastAsia="仿宋" w:cs="仿宋"/>
          <w:sz w:val="32"/>
        </w:rPr>
      </w:pPr>
      <w:r>
        <w:rPr>
          <w:rFonts w:hint="eastAsia" w:ascii="仿宋" w:hAnsi="仿宋" w:eastAsia="仿宋" w:cs="仿宋"/>
          <w:sz w:val="32"/>
        </w:rPr>
        <w:t>淮滨县</w:t>
      </w:r>
      <w:r>
        <w:rPr>
          <w:rFonts w:hint="eastAsia" w:ascii="仿宋" w:hAnsi="仿宋" w:eastAsia="仿宋" w:cs="仿宋"/>
          <w:sz w:val="32"/>
          <w:lang w:eastAsia="zh-CN"/>
        </w:rPr>
        <w:t>淮滨县第一幼儿园2023年</w:t>
      </w:r>
      <w:r>
        <w:rPr>
          <w:rFonts w:hint="eastAsia" w:ascii="仿宋" w:hAnsi="仿宋" w:eastAsia="仿宋" w:cs="仿宋"/>
          <w:sz w:val="32"/>
        </w:rPr>
        <w:t>收入合计</w:t>
      </w:r>
      <w:r>
        <w:rPr>
          <w:rFonts w:hint="eastAsia" w:ascii="仿宋" w:hAnsi="仿宋" w:eastAsia="仿宋" w:cs="仿宋"/>
          <w:sz w:val="32"/>
          <w:szCs w:val="32"/>
        </w:rPr>
        <w:t>471.80</w:t>
      </w:r>
      <w:r>
        <w:rPr>
          <w:rFonts w:hint="eastAsia" w:ascii="仿宋" w:hAnsi="仿宋" w:eastAsia="仿宋" w:cs="仿宋"/>
          <w:sz w:val="32"/>
        </w:rPr>
        <w:t>万元，其中：一般公共预算收入</w:t>
      </w:r>
      <w:r>
        <w:rPr>
          <w:rFonts w:hint="eastAsia" w:ascii="仿宋" w:hAnsi="仿宋" w:eastAsia="仿宋" w:cs="仿宋"/>
          <w:sz w:val="32"/>
          <w:szCs w:val="32"/>
        </w:rPr>
        <w:t>471.80</w:t>
      </w:r>
      <w:r>
        <w:rPr>
          <w:rFonts w:hint="eastAsia" w:ascii="仿宋" w:hAnsi="仿宋" w:eastAsia="仿宋" w:cs="仿宋"/>
          <w:sz w:val="32"/>
        </w:rPr>
        <w:t>万元，上年结转结余</w:t>
      </w:r>
      <w:r>
        <w:rPr>
          <w:rFonts w:hint="eastAsia" w:ascii="仿宋" w:hAnsi="仿宋" w:eastAsia="仿宋" w:cs="仿宋"/>
          <w:sz w:val="32"/>
          <w:lang w:val="en-US" w:eastAsia="zh-CN"/>
        </w:rPr>
        <w:t>0.00</w:t>
      </w:r>
      <w:r>
        <w:rPr>
          <w:rFonts w:hint="eastAsia" w:ascii="仿宋" w:hAnsi="仿宋" w:eastAsia="仿宋" w:cs="仿宋"/>
          <w:sz w:val="32"/>
        </w:rPr>
        <w:t>万元。</w:t>
      </w:r>
    </w:p>
    <w:p>
      <w:pPr>
        <w:jc w:val="left"/>
        <w:rPr>
          <w:rFonts w:ascii="仿宋" w:hAnsi="仿宋" w:eastAsia="仿宋" w:cs="仿宋"/>
          <w:sz w:val="32"/>
        </w:rPr>
      </w:pPr>
      <w:r>
        <w:rPr>
          <w:rFonts w:hint="eastAsia" w:ascii="仿宋" w:hAnsi="仿宋" w:eastAsia="仿宋" w:cs="仿宋"/>
          <w:sz w:val="32"/>
        </w:rPr>
        <w:drawing>
          <wp:inline distT="0" distB="0" distL="0" distR="0">
            <wp:extent cx="5359400" cy="3141980"/>
            <wp:effectExtent l="0" t="0" r="12700" b="1270"/>
            <wp:docPr id="11" name="图表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5"/>
              </a:graphicData>
            </a:graphic>
          </wp:inline>
        </w:drawing>
      </w:r>
    </w:p>
    <w:p>
      <w:pPr>
        <w:numPr>
          <w:ilvl w:val="0"/>
          <w:numId w:val="4"/>
        </w:numPr>
        <w:ind w:firstLine="640"/>
        <w:jc w:val="left"/>
        <w:rPr>
          <w:rFonts w:ascii="黑体" w:hAnsi="黑体" w:eastAsia="黑体"/>
          <w:sz w:val="32"/>
        </w:rPr>
      </w:pPr>
      <w:r>
        <w:rPr>
          <w:rFonts w:hint="eastAsia" w:ascii="黑体" w:hAnsi="黑体" w:eastAsia="黑体"/>
          <w:sz w:val="32"/>
        </w:rPr>
        <w:t>支出预算总体情况说明</w:t>
      </w:r>
    </w:p>
    <w:p>
      <w:pPr>
        <w:ind w:firstLine="640" w:firstLineChars="200"/>
        <w:jc w:val="left"/>
        <w:rPr>
          <w:rFonts w:ascii="仿宋" w:hAnsi="仿宋" w:eastAsia="仿宋" w:cs="仿宋"/>
          <w:sz w:val="32"/>
        </w:rPr>
      </w:pPr>
      <w:r>
        <w:rPr>
          <w:rFonts w:hint="eastAsia" w:ascii="仿宋" w:hAnsi="仿宋" w:eastAsia="仿宋" w:cs="仿宋"/>
          <w:sz w:val="32"/>
        </w:rPr>
        <w:t>淮滨县</w:t>
      </w:r>
      <w:r>
        <w:rPr>
          <w:rFonts w:hint="eastAsia" w:ascii="仿宋" w:hAnsi="仿宋" w:eastAsia="仿宋" w:cs="仿宋"/>
          <w:sz w:val="32"/>
          <w:lang w:eastAsia="zh-CN"/>
        </w:rPr>
        <w:t>淮滨县第一幼儿园2023年</w:t>
      </w:r>
      <w:r>
        <w:rPr>
          <w:rFonts w:hint="eastAsia" w:ascii="仿宋" w:hAnsi="仿宋" w:eastAsia="仿宋" w:cs="仿宋"/>
          <w:sz w:val="32"/>
        </w:rPr>
        <w:t>支出合计</w:t>
      </w:r>
      <w:r>
        <w:rPr>
          <w:rFonts w:hint="eastAsia" w:ascii="仿宋" w:hAnsi="仿宋" w:eastAsia="仿宋" w:cs="仿宋"/>
          <w:sz w:val="32"/>
          <w:szCs w:val="32"/>
        </w:rPr>
        <w:t>471.80</w:t>
      </w:r>
      <w:r>
        <w:rPr>
          <w:rFonts w:hint="eastAsia" w:ascii="仿宋" w:hAnsi="仿宋" w:eastAsia="仿宋" w:cs="仿宋"/>
          <w:sz w:val="32"/>
        </w:rPr>
        <w:t>万元，其中：基本支出</w:t>
      </w:r>
      <w:r>
        <w:rPr>
          <w:rFonts w:hint="eastAsia" w:ascii="仿宋" w:hAnsi="仿宋" w:eastAsia="仿宋" w:cs="仿宋"/>
          <w:sz w:val="32"/>
          <w:lang w:eastAsia="zh-CN"/>
        </w:rPr>
        <w:t>393.80</w:t>
      </w:r>
      <w:r>
        <w:rPr>
          <w:rFonts w:hint="eastAsia" w:ascii="仿宋" w:hAnsi="仿宋" w:eastAsia="仿宋" w:cs="仿宋"/>
          <w:sz w:val="32"/>
        </w:rPr>
        <w:t>万元，占</w:t>
      </w:r>
      <w:r>
        <w:rPr>
          <w:rFonts w:hint="eastAsia" w:ascii="仿宋" w:hAnsi="仿宋" w:eastAsia="仿宋" w:cs="仿宋"/>
          <w:sz w:val="32"/>
          <w:lang w:val="en-US" w:eastAsia="zh-CN"/>
        </w:rPr>
        <w:t>83.47</w:t>
      </w:r>
      <w:r>
        <w:rPr>
          <w:rFonts w:hint="eastAsia" w:ascii="仿宋" w:hAnsi="仿宋" w:eastAsia="仿宋" w:cs="仿宋"/>
          <w:sz w:val="32"/>
        </w:rPr>
        <w:t>%；项目支出</w:t>
      </w:r>
      <w:r>
        <w:rPr>
          <w:rFonts w:hint="eastAsia" w:ascii="仿宋" w:hAnsi="仿宋" w:eastAsia="仿宋" w:cs="仿宋"/>
          <w:sz w:val="32"/>
          <w:lang w:eastAsia="zh-CN"/>
        </w:rPr>
        <w:t>78</w:t>
      </w:r>
      <w:r>
        <w:rPr>
          <w:rFonts w:hint="eastAsia" w:ascii="仿宋" w:hAnsi="仿宋" w:eastAsia="仿宋" w:cs="仿宋"/>
          <w:sz w:val="32"/>
        </w:rPr>
        <w:t>万元，占</w:t>
      </w:r>
      <w:r>
        <w:rPr>
          <w:rFonts w:hint="eastAsia" w:ascii="仿宋" w:hAnsi="仿宋" w:eastAsia="仿宋" w:cs="仿宋"/>
          <w:sz w:val="32"/>
          <w:lang w:val="en-US" w:eastAsia="zh-CN"/>
        </w:rPr>
        <w:t>16.53</w:t>
      </w:r>
      <w:r>
        <w:rPr>
          <w:rFonts w:hint="eastAsia" w:ascii="仿宋" w:hAnsi="仿宋" w:eastAsia="仿宋" w:cs="仿宋"/>
          <w:sz w:val="32"/>
        </w:rPr>
        <w:t>%。</w:t>
      </w:r>
    </w:p>
    <w:p>
      <w:pPr>
        <w:jc w:val="left"/>
        <w:rPr>
          <w:rFonts w:ascii="仿宋" w:hAnsi="仿宋" w:eastAsia="仿宋" w:cs="仿宋"/>
          <w:sz w:val="32"/>
        </w:rPr>
      </w:pPr>
      <w:r>
        <w:rPr>
          <w:rFonts w:hint="eastAsia" w:ascii="仿宋" w:hAnsi="仿宋" w:eastAsia="仿宋" w:cs="仿宋"/>
          <w:sz w:val="32"/>
        </w:rPr>
        <w:drawing>
          <wp:inline distT="0" distB="0" distL="0" distR="0">
            <wp:extent cx="5233035" cy="3181350"/>
            <wp:effectExtent l="5080" t="4445" r="19685" b="14605"/>
            <wp:docPr id="7" name="图表 7"/>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inline>
        </w:drawing>
      </w:r>
    </w:p>
    <w:p>
      <w:pPr>
        <w:numPr>
          <w:ilvl w:val="0"/>
          <w:numId w:val="4"/>
        </w:numPr>
        <w:ind w:firstLine="640"/>
        <w:jc w:val="left"/>
        <w:rPr>
          <w:rFonts w:ascii="黑体" w:hAnsi="黑体" w:eastAsia="黑体" w:cs="黑体"/>
          <w:sz w:val="32"/>
        </w:rPr>
      </w:pPr>
      <w:r>
        <w:rPr>
          <w:rFonts w:hint="eastAsia" w:ascii="黑体" w:hAnsi="黑体" w:eastAsia="黑体" w:cs="黑体"/>
          <w:sz w:val="32"/>
        </w:rPr>
        <w:t>财政拨款收支预算总体情况说明</w:t>
      </w:r>
    </w:p>
    <w:p>
      <w:pPr>
        <w:ind w:firstLine="640" w:firstLineChars="200"/>
        <w:jc w:val="left"/>
        <w:rPr>
          <w:rFonts w:ascii="仿宋" w:hAnsi="仿宋" w:eastAsia="仿宋" w:cs="仿宋"/>
          <w:sz w:val="32"/>
        </w:rPr>
      </w:pPr>
      <w:r>
        <w:rPr>
          <w:rFonts w:hint="eastAsia" w:ascii="仿宋" w:hAnsi="仿宋" w:eastAsia="仿宋" w:cs="仿宋"/>
          <w:sz w:val="32"/>
          <w:lang w:eastAsia="zh-CN"/>
        </w:rPr>
        <w:t>淮滨县第一幼儿园</w:t>
      </w:r>
      <w:r>
        <w:rPr>
          <w:rFonts w:hint="eastAsia" w:ascii="仿宋" w:hAnsi="仿宋" w:eastAsia="仿宋" w:cs="仿宋"/>
          <w:sz w:val="32"/>
        </w:rPr>
        <w:t>202</w:t>
      </w:r>
      <w:r>
        <w:rPr>
          <w:rFonts w:hint="eastAsia" w:ascii="仿宋" w:hAnsi="仿宋" w:eastAsia="仿宋" w:cs="仿宋"/>
          <w:sz w:val="32"/>
          <w:lang w:val="en-US" w:eastAsia="zh-CN"/>
        </w:rPr>
        <w:t>3</w:t>
      </w:r>
      <w:r>
        <w:rPr>
          <w:rFonts w:hint="eastAsia" w:ascii="仿宋" w:hAnsi="仿宋" w:eastAsia="仿宋" w:cs="仿宋"/>
          <w:sz w:val="32"/>
        </w:rPr>
        <w:t>年</w:t>
      </w:r>
      <w:r>
        <w:rPr>
          <w:rFonts w:hint="eastAsia" w:ascii="仿宋" w:hAnsi="仿宋" w:eastAsia="仿宋" w:cs="仿宋"/>
          <w:sz w:val="32"/>
          <w:lang w:val="en-US" w:eastAsia="zh-CN"/>
        </w:rPr>
        <w:t>财政拨款</w:t>
      </w:r>
      <w:r>
        <w:rPr>
          <w:rFonts w:hint="eastAsia" w:ascii="仿宋" w:hAnsi="仿宋" w:eastAsia="仿宋" w:cs="仿宋"/>
          <w:sz w:val="32"/>
        </w:rPr>
        <w:t>收支预算</w:t>
      </w:r>
      <w:r>
        <w:rPr>
          <w:rFonts w:hint="eastAsia" w:ascii="仿宋" w:hAnsi="仿宋" w:eastAsia="仿宋" w:cs="仿宋"/>
          <w:sz w:val="32"/>
          <w:lang w:eastAsia="zh-CN"/>
        </w:rPr>
        <w:t>393.80</w:t>
      </w:r>
      <w:r>
        <w:rPr>
          <w:rFonts w:hint="eastAsia" w:ascii="仿宋" w:hAnsi="仿宋" w:eastAsia="仿宋" w:cs="仿宋"/>
          <w:sz w:val="32"/>
        </w:rPr>
        <w:t>万元，无政府性基金预算和国有资本经营预算。与</w:t>
      </w:r>
      <w:r>
        <w:rPr>
          <w:rFonts w:hint="eastAsia" w:ascii="仿宋" w:hAnsi="仿宋" w:eastAsia="仿宋" w:cs="仿宋"/>
          <w:sz w:val="32"/>
          <w:lang w:eastAsia="zh-CN"/>
        </w:rPr>
        <w:t>2022年</w:t>
      </w:r>
      <w:r>
        <w:rPr>
          <w:rFonts w:hint="eastAsia" w:ascii="仿宋" w:hAnsi="仿宋" w:eastAsia="仿宋" w:cs="仿宋"/>
          <w:sz w:val="32"/>
        </w:rPr>
        <w:t>相比，</w:t>
      </w:r>
      <w:r>
        <w:rPr>
          <w:rFonts w:hint="eastAsia" w:ascii="仿宋" w:hAnsi="仿宋" w:eastAsia="仿宋" w:cs="仿宋"/>
          <w:sz w:val="32"/>
          <w:lang w:val="en-US" w:eastAsia="zh-CN"/>
        </w:rPr>
        <w:t>财政拨款</w:t>
      </w:r>
      <w:r>
        <w:rPr>
          <w:rFonts w:hint="eastAsia" w:ascii="仿宋" w:hAnsi="仿宋" w:eastAsia="仿宋" w:cs="仿宋"/>
          <w:sz w:val="32"/>
        </w:rPr>
        <w:t>收支预算</w:t>
      </w:r>
      <w:r>
        <w:rPr>
          <w:rFonts w:hint="eastAsia" w:ascii="仿宋" w:hAnsi="仿宋" w:eastAsia="仿宋" w:cs="仿宋"/>
          <w:sz w:val="32"/>
          <w:szCs w:val="32"/>
          <w:lang w:val="en-US" w:eastAsia="zh-CN"/>
        </w:rPr>
        <w:t>减少659.55</w:t>
      </w:r>
      <w:r>
        <w:rPr>
          <w:rFonts w:hint="eastAsia" w:ascii="仿宋" w:hAnsi="仿宋" w:eastAsia="仿宋" w:cs="仿宋"/>
          <w:sz w:val="32"/>
          <w:szCs w:val="32"/>
        </w:rPr>
        <w:t>万元，</w:t>
      </w:r>
      <w:r>
        <w:rPr>
          <w:rFonts w:hint="eastAsia" w:ascii="仿宋" w:hAnsi="仿宋" w:eastAsia="仿宋" w:cs="仿宋"/>
          <w:sz w:val="32"/>
          <w:szCs w:val="32"/>
          <w:lang w:val="en-US" w:eastAsia="zh-CN"/>
        </w:rPr>
        <w:t>下降62.61</w:t>
      </w:r>
      <w:r>
        <w:rPr>
          <w:rFonts w:hint="eastAsia" w:ascii="仿宋" w:hAnsi="仿宋" w:eastAsia="仿宋" w:cs="仿宋"/>
          <w:sz w:val="32"/>
          <w:szCs w:val="32"/>
        </w:rPr>
        <w:t>%。主要原因</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原县直机关幼儿园机构改革，划分为两个单位，本单位在职人员减少，在校学生减少，整体</w:t>
      </w:r>
      <w:r>
        <w:rPr>
          <w:rFonts w:hint="eastAsia" w:ascii="仿宋" w:hAnsi="仿宋" w:eastAsia="仿宋" w:cs="仿宋"/>
          <w:sz w:val="32"/>
          <w:lang w:val="en-US" w:eastAsia="zh-CN"/>
        </w:rPr>
        <w:t>财政拨款</w:t>
      </w:r>
      <w:r>
        <w:rPr>
          <w:rFonts w:hint="eastAsia" w:ascii="仿宋" w:hAnsi="仿宋" w:eastAsia="仿宋" w:cs="仿宋"/>
          <w:sz w:val="32"/>
          <w:szCs w:val="32"/>
          <w:lang w:val="en-US" w:eastAsia="zh-CN"/>
        </w:rPr>
        <w:t>收支减少</w:t>
      </w:r>
      <w:r>
        <w:rPr>
          <w:rFonts w:hint="eastAsia" w:ascii="仿宋" w:hAnsi="仿宋" w:eastAsia="仿宋" w:cs="仿宋"/>
          <w:sz w:val="32"/>
          <w:szCs w:val="32"/>
        </w:rPr>
        <w:t>。</w:t>
      </w:r>
    </w:p>
    <w:p>
      <w:pPr>
        <w:jc w:val="left"/>
        <w:rPr>
          <w:rFonts w:ascii="仿宋" w:hAnsi="仿宋" w:eastAsia="仿宋" w:cs="仿宋"/>
          <w:sz w:val="32"/>
        </w:rPr>
      </w:pPr>
      <w:r>
        <w:rPr>
          <w:rFonts w:hint="eastAsia" w:ascii="仿宋" w:hAnsi="仿宋" w:eastAsia="仿宋" w:cs="仿宋"/>
          <w:sz w:val="32"/>
          <w:szCs w:val="32"/>
        </w:rPr>
        <w:drawing>
          <wp:inline distT="0" distB="0" distL="0" distR="0">
            <wp:extent cx="5274310" cy="3526790"/>
            <wp:effectExtent l="0" t="0" r="2540" b="16510"/>
            <wp:docPr id="1" name="图表 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pPr>
        <w:numPr>
          <w:ilvl w:val="0"/>
          <w:numId w:val="4"/>
        </w:numPr>
        <w:ind w:firstLine="640"/>
        <w:jc w:val="left"/>
        <w:rPr>
          <w:rFonts w:ascii="黑体" w:hAnsi="黑体" w:eastAsia="黑体"/>
          <w:sz w:val="32"/>
        </w:rPr>
      </w:pPr>
      <w:r>
        <w:rPr>
          <w:rFonts w:hint="eastAsia" w:ascii="黑体" w:hAnsi="黑体" w:eastAsia="黑体"/>
          <w:sz w:val="32"/>
        </w:rPr>
        <w:t>一般公共预算支出预算情况说明</w:t>
      </w:r>
    </w:p>
    <w:p>
      <w:pPr>
        <w:ind w:firstLine="640" w:firstLineChars="200"/>
        <w:jc w:val="left"/>
        <w:rPr>
          <w:rFonts w:ascii="仿宋" w:hAnsi="仿宋" w:eastAsia="仿宋" w:cs="仿宋"/>
          <w:sz w:val="32"/>
        </w:rPr>
      </w:pPr>
      <w:r>
        <w:rPr>
          <w:rFonts w:hint="eastAsia" w:ascii="仿宋" w:hAnsi="仿宋" w:eastAsia="仿宋" w:cs="仿宋"/>
          <w:sz w:val="32"/>
        </w:rPr>
        <w:t>淮滨县</w:t>
      </w:r>
      <w:r>
        <w:rPr>
          <w:rFonts w:hint="eastAsia" w:ascii="仿宋" w:hAnsi="仿宋" w:eastAsia="仿宋" w:cs="仿宋"/>
          <w:sz w:val="32"/>
          <w:lang w:eastAsia="zh-CN"/>
        </w:rPr>
        <w:t>淮滨县第一幼儿园2023年</w:t>
      </w:r>
      <w:r>
        <w:rPr>
          <w:rFonts w:hint="eastAsia" w:ascii="仿宋" w:hAnsi="仿宋" w:eastAsia="仿宋" w:cs="仿宋"/>
          <w:sz w:val="32"/>
        </w:rPr>
        <w:t>一般公共预算支出年初预算为</w:t>
      </w:r>
      <w:r>
        <w:rPr>
          <w:rFonts w:hint="eastAsia" w:ascii="仿宋" w:hAnsi="仿宋" w:eastAsia="仿宋" w:cs="仿宋"/>
          <w:sz w:val="32"/>
          <w:szCs w:val="32"/>
        </w:rPr>
        <w:t>471.80</w:t>
      </w:r>
      <w:r>
        <w:rPr>
          <w:rFonts w:hint="eastAsia" w:ascii="仿宋" w:hAnsi="仿宋" w:eastAsia="仿宋" w:cs="仿宋"/>
          <w:sz w:val="32"/>
        </w:rPr>
        <w:t>万元。其中：基本支出</w:t>
      </w:r>
      <w:r>
        <w:rPr>
          <w:rFonts w:hint="eastAsia" w:ascii="仿宋" w:hAnsi="仿宋" w:eastAsia="仿宋" w:cs="仿宋"/>
          <w:sz w:val="32"/>
          <w:lang w:eastAsia="zh-CN"/>
        </w:rPr>
        <w:t>393.80</w:t>
      </w:r>
      <w:r>
        <w:rPr>
          <w:rFonts w:hint="eastAsia" w:ascii="仿宋" w:hAnsi="仿宋" w:eastAsia="仿宋" w:cs="仿宋"/>
          <w:sz w:val="32"/>
        </w:rPr>
        <w:t>万元，占</w:t>
      </w:r>
      <w:r>
        <w:rPr>
          <w:rFonts w:hint="eastAsia" w:ascii="仿宋" w:hAnsi="仿宋" w:eastAsia="仿宋" w:cs="仿宋"/>
          <w:sz w:val="32"/>
          <w:lang w:val="en-US" w:eastAsia="zh-CN"/>
        </w:rPr>
        <w:t>83.47</w:t>
      </w:r>
      <w:r>
        <w:rPr>
          <w:rFonts w:hint="eastAsia" w:ascii="仿宋" w:hAnsi="仿宋" w:eastAsia="仿宋" w:cs="仿宋"/>
          <w:sz w:val="32"/>
        </w:rPr>
        <w:t>%；项目支出</w:t>
      </w:r>
      <w:r>
        <w:rPr>
          <w:rFonts w:hint="eastAsia" w:ascii="仿宋" w:hAnsi="仿宋" w:eastAsia="仿宋" w:cs="仿宋"/>
          <w:sz w:val="32"/>
          <w:lang w:eastAsia="zh-CN"/>
        </w:rPr>
        <w:t>78</w:t>
      </w:r>
      <w:r>
        <w:rPr>
          <w:rFonts w:hint="eastAsia" w:ascii="仿宋" w:hAnsi="仿宋" w:eastAsia="仿宋" w:cs="仿宋"/>
          <w:sz w:val="32"/>
        </w:rPr>
        <w:t>万元，占</w:t>
      </w:r>
      <w:r>
        <w:rPr>
          <w:rFonts w:hint="eastAsia" w:ascii="仿宋" w:hAnsi="仿宋" w:eastAsia="仿宋" w:cs="仿宋"/>
          <w:sz w:val="32"/>
          <w:lang w:val="en-US" w:eastAsia="zh-CN"/>
        </w:rPr>
        <w:t>16.53</w:t>
      </w:r>
      <w:r>
        <w:rPr>
          <w:rFonts w:hint="eastAsia" w:ascii="仿宋" w:hAnsi="仿宋" w:eastAsia="仿宋" w:cs="仿宋"/>
          <w:sz w:val="32"/>
        </w:rPr>
        <w:t>%。</w:t>
      </w:r>
    </w:p>
    <w:p>
      <w:pPr>
        <w:jc w:val="left"/>
        <w:rPr>
          <w:rFonts w:ascii="仿宋" w:hAnsi="仿宋" w:eastAsia="仿宋" w:cs="仿宋"/>
          <w:sz w:val="32"/>
          <w:szCs w:val="32"/>
        </w:rPr>
      </w:pPr>
      <w:r>
        <w:rPr>
          <w:rFonts w:hint="eastAsia" w:ascii="仿宋" w:hAnsi="仿宋" w:eastAsia="仿宋" w:cs="仿宋"/>
          <w:sz w:val="32"/>
          <w:szCs w:val="32"/>
        </w:rPr>
        <w:drawing>
          <wp:inline distT="0" distB="0" distL="0" distR="0">
            <wp:extent cx="5274310" cy="3076575"/>
            <wp:effectExtent l="0" t="0" r="2540" b="9525"/>
            <wp:docPr id="13" name="图表 13"/>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pPr>
        <w:numPr>
          <w:ilvl w:val="0"/>
          <w:numId w:val="4"/>
        </w:numPr>
        <w:ind w:firstLine="640"/>
        <w:jc w:val="left"/>
        <w:rPr>
          <w:rFonts w:ascii="黑体" w:hAnsi="黑体" w:eastAsia="黑体" w:cs="黑体"/>
          <w:color w:val="000000"/>
          <w:sz w:val="32"/>
          <w:szCs w:val="32"/>
        </w:rPr>
      </w:pPr>
      <w:r>
        <w:rPr>
          <w:rFonts w:hint="eastAsia" w:ascii="黑体" w:hAnsi="黑体" w:eastAsia="黑体" w:cs="黑体"/>
          <w:color w:val="000000"/>
          <w:sz w:val="32"/>
          <w:szCs w:val="32"/>
        </w:rPr>
        <w:t>一般公共预算基本支出预算情况说明</w:t>
      </w:r>
    </w:p>
    <w:p>
      <w:pPr>
        <w:ind w:firstLine="640" w:firstLineChars="200"/>
        <w:jc w:val="left"/>
        <w:rPr>
          <w:rFonts w:ascii="仿宋" w:hAnsi="仿宋" w:eastAsia="仿宋" w:cs="仿宋"/>
          <w:color w:val="000000"/>
          <w:sz w:val="32"/>
          <w:szCs w:val="32"/>
        </w:rPr>
      </w:pPr>
      <w:r>
        <w:rPr>
          <w:rFonts w:hint="eastAsia" w:ascii="仿宋" w:hAnsi="仿宋" w:eastAsia="仿宋" w:cs="仿宋"/>
          <w:color w:val="000000"/>
          <w:sz w:val="32"/>
          <w:szCs w:val="32"/>
        </w:rPr>
        <w:t>淮滨县</w:t>
      </w:r>
      <w:r>
        <w:rPr>
          <w:rFonts w:hint="eastAsia" w:ascii="仿宋" w:hAnsi="仿宋" w:eastAsia="仿宋" w:cs="仿宋"/>
          <w:color w:val="000000"/>
          <w:sz w:val="32"/>
          <w:szCs w:val="32"/>
          <w:lang w:eastAsia="zh-CN"/>
        </w:rPr>
        <w:t>淮滨县第一幼儿园2023年</w:t>
      </w:r>
      <w:r>
        <w:rPr>
          <w:rFonts w:hint="eastAsia" w:ascii="仿宋" w:hAnsi="仿宋" w:eastAsia="仿宋" w:cs="仿宋"/>
          <w:color w:val="000000"/>
          <w:sz w:val="32"/>
          <w:szCs w:val="32"/>
        </w:rPr>
        <w:t>一般公共预算基本支出年初预算为</w:t>
      </w:r>
      <w:r>
        <w:rPr>
          <w:rFonts w:hint="eastAsia" w:ascii="仿宋" w:hAnsi="仿宋" w:eastAsia="仿宋" w:cs="仿宋"/>
          <w:sz w:val="32"/>
          <w:lang w:eastAsia="zh-CN"/>
        </w:rPr>
        <w:t>393.80</w:t>
      </w:r>
      <w:r>
        <w:rPr>
          <w:rFonts w:hint="eastAsia" w:ascii="仿宋" w:hAnsi="仿宋" w:eastAsia="仿宋" w:cs="仿宋"/>
          <w:color w:val="000000"/>
          <w:sz w:val="32"/>
          <w:szCs w:val="32"/>
        </w:rPr>
        <w:t>万元。其中：人员经费支出</w:t>
      </w:r>
      <w:r>
        <w:rPr>
          <w:rFonts w:hint="eastAsia" w:ascii="仿宋" w:hAnsi="仿宋" w:eastAsia="仿宋" w:cs="仿宋"/>
          <w:sz w:val="32"/>
          <w:lang w:val="en-US" w:eastAsia="zh-CN"/>
        </w:rPr>
        <w:t>382.56</w:t>
      </w:r>
      <w:r>
        <w:rPr>
          <w:rFonts w:hint="eastAsia" w:ascii="仿宋" w:hAnsi="仿宋" w:eastAsia="仿宋" w:cs="仿宋"/>
          <w:color w:val="000000"/>
          <w:sz w:val="32"/>
          <w:szCs w:val="32"/>
        </w:rPr>
        <w:t>万元，占</w:t>
      </w:r>
      <w:r>
        <w:rPr>
          <w:rFonts w:hint="eastAsia" w:ascii="仿宋" w:hAnsi="仿宋" w:eastAsia="仿宋" w:cs="仿宋"/>
          <w:color w:val="000000"/>
          <w:sz w:val="32"/>
          <w:szCs w:val="32"/>
          <w:lang w:val="en-US" w:eastAsia="zh-CN"/>
        </w:rPr>
        <w:t>97.14</w:t>
      </w:r>
      <w:r>
        <w:rPr>
          <w:rFonts w:hint="eastAsia" w:ascii="仿宋" w:hAnsi="仿宋" w:eastAsia="仿宋" w:cs="仿宋"/>
          <w:color w:val="000000"/>
          <w:sz w:val="32"/>
          <w:szCs w:val="32"/>
        </w:rPr>
        <w:t>%；公用经费支出</w:t>
      </w:r>
      <w:r>
        <w:rPr>
          <w:rFonts w:hint="eastAsia" w:ascii="仿宋" w:hAnsi="仿宋" w:eastAsia="仿宋" w:cs="仿宋"/>
          <w:color w:val="000000"/>
          <w:sz w:val="32"/>
          <w:szCs w:val="32"/>
          <w:lang w:val="en-US" w:eastAsia="zh-CN"/>
        </w:rPr>
        <w:t>11.25</w:t>
      </w:r>
      <w:r>
        <w:rPr>
          <w:rFonts w:hint="eastAsia" w:ascii="仿宋" w:hAnsi="仿宋" w:eastAsia="仿宋" w:cs="仿宋"/>
          <w:color w:val="000000"/>
          <w:sz w:val="32"/>
          <w:szCs w:val="32"/>
        </w:rPr>
        <w:t>万元，占</w:t>
      </w:r>
      <w:r>
        <w:rPr>
          <w:rFonts w:hint="eastAsia" w:ascii="仿宋" w:hAnsi="仿宋" w:eastAsia="仿宋" w:cs="仿宋"/>
          <w:color w:val="000000"/>
          <w:sz w:val="32"/>
          <w:szCs w:val="32"/>
          <w:lang w:val="en-US" w:eastAsia="zh-CN"/>
        </w:rPr>
        <w:t>2.86</w:t>
      </w:r>
      <w:r>
        <w:rPr>
          <w:rFonts w:hint="eastAsia" w:ascii="仿宋" w:hAnsi="仿宋" w:eastAsia="仿宋" w:cs="仿宋"/>
          <w:color w:val="000000"/>
          <w:sz w:val="32"/>
          <w:szCs w:val="32"/>
        </w:rPr>
        <w:t>%。</w:t>
      </w:r>
    </w:p>
    <w:p>
      <w:pPr>
        <w:jc w:val="left"/>
        <w:rPr>
          <w:rFonts w:hint="eastAsia" w:ascii="仿宋" w:hAnsi="仿宋" w:eastAsia="仿宋" w:cs="仿宋"/>
          <w:sz w:val="32"/>
          <w:szCs w:val="32"/>
        </w:rPr>
      </w:pPr>
      <w:r>
        <w:rPr>
          <w:rFonts w:hint="eastAsia" w:ascii="仿宋" w:hAnsi="仿宋" w:eastAsia="仿宋" w:cs="仿宋"/>
          <w:sz w:val="32"/>
          <w:szCs w:val="32"/>
        </w:rPr>
        <w:drawing>
          <wp:inline distT="0" distB="0" distL="0" distR="0">
            <wp:extent cx="5274310" cy="3076575"/>
            <wp:effectExtent l="5080" t="4445" r="16510" b="5080"/>
            <wp:docPr id="2" name="图表 2"/>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pPr>
        <w:jc w:val="left"/>
        <w:rPr>
          <w:rFonts w:hint="eastAsia" w:ascii="仿宋" w:hAnsi="仿宋" w:eastAsia="仿宋" w:cs="仿宋"/>
          <w:sz w:val="32"/>
          <w:szCs w:val="32"/>
        </w:rPr>
      </w:pPr>
    </w:p>
    <w:p>
      <w:pPr>
        <w:jc w:val="left"/>
        <w:rPr>
          <w:rFonts w:hint="eastAsia" w:ascii="仿宋" w:hAnsi="仿宋" w:eastAsia="仿宋" w:cs="仿宋"/>
          <w:sz w:val="32"/>
          <w:szCs w:val="32"/>
        </w:rPr>
      </w:pPr>
    </w:p>
    <w:p>
      <w:pPr>
        <w:numPr>
          <w:ilvl w:val="0"/>
          <w:numId w:val="4"/>
        </w:numPr>
        <w:ind w:firstLine="640"/>
        <w:jc w:val="left"/>
        <w:rPr>
          <w:rFonts w:ascii="黑体" w:hAnsi="黑体" w:eastAsia="黑体" w:cs="黑体"/>
          <w:sz w:val="32"/>
          <w:szCs w:val="32"/>
        </w:rPr>
      </w:pPr>
      <w:r>
        <w:rPr>
          <w:rFonts w:hint="eastAsia" w:ascii="黑体" w:hAnsi="黑体" w:eastAsia="黑体" w:cs="黑体"/>
          <w:color w:val="000000"/>
          <w:sz w:val="32"/>
          <w:szCs w:val="32"/>
        </w:rPr>
        <w:t>一般公共预算</w:t>
      </w:r>
      <w:r>
        <w:rPr>
          <w:rFonts w:hint="eastAsia" w:ascii="黑体" w:hAnsi="黑体" w:eastAsia="黑体" w:cs="黑体"/>
          <w:sz w:val="32"/>
          <w:szCs w:val="32"/>
        </w:rPr>
        <w:t>“三公”经费支出预算情况说明</w:t>
      </w:r>
    </w:p>
    <w:p>
      <w:pPr>
        <w:pStyle w:val="5"/>
        <w:widowControl/>
        <w:spacing w:beforeAutospacing="0" w:afterAutospacing="0" w:line="600" w:lineRule="atLeast"/>
        <w:ind w:firstLine="630"/>
        <w:jc w:val="both"/>
        <w:rPr>
          <w:rFonts w:ascii="仿宋" w:hAnsi="仿宋" w:eastAsia="仿宋" w:cs="仿宋"/>
          <w:sz w:val="32"/>
          <w:szCs w:val="32"/>
        </w:rPr>
      </w:pPr>
      <w:r>
        <w:rPr>
          <w:rFonts w:hint="eastAsia" w:ascii="仿宋" w:hAnsi="仿宋" w:eastAsia="仿宋" w:cs="仿宋"/>
          <w:sz w:val="32"/>
          <w:szCs w:val="32"/>
          <w:lang w:eastAsia="zh-CN"/>
        </w:rPr>
        <w:t>淮滨县第一幼儿园2023年</w:t>
      </w:r>
      <w:r>
        <w:rPr>
          <w:rFonts w:hint="eastAsia" w:ascii="仿宋" w:hAnsi="仿宋" w:eastAsia="仿宋" w:cs="仿宋"/>
          <w:sz w:val="32"/>
          <w:szCs w:val="32"/>
        </w:rPr>
        <w:t>“三公”经费支出预算为</w:t>
      </w:r>
      <w:r>
        <w:rPr>
          <w:rFonts w:hint="eastAsia" w:ascii="仿宋" w:hAnsi="仿宋" w:eastAsia="仿宋" w:cs="仿宋"/>
          <w:sz w:val="32"/>
          <w:szCs w:val="32"/>
          <w:lang w:val="en-US" w:eastAsia="zh-CN"/>
        </w:rPr>
        <w:t xml:space="preserve"> 0</w:t>
      </w:r>
      <w:r>
        <w:rPr>
          <w:rFonts w:hint="eastAsia" w:ascii="仿宋" w:hAnsi="仿宋" w:eastAsia="仿宋" w:cs="仿宋"/>
          <w:sz w:val="32"/>
          <w:szCs w:val="32"/>
        </w:rPr>
        <w:t>万元,</w:t>
      </w:r>
      <w:r>
        <w:rPr>
          <w:rFonts w:hint="eastAsia" w:ascii="仿宋" w:hAnsi="仿宋" w:eastAsia="仿宋" w:cs="仿宋"/>
          <w:sz w:val="32"/>
          <w:szCs w:val="32"/>
          <w:lang w:val="en-US" w:eastAsia="zh-CN"/>
        </w:rPr>
        <w:t>预算数与2022年</w:t>
      </w:r>
      <w:r>
        <w:rPr>
          <w:rFonts w:hint="eastAsia" w:ascii="仿宋" w:hAnsi="仿宋" w:eastAsia="仿宋" w:cs="仿宋"/>
          <w:sz w:val="32"/>
          <w:szCs w:val="32"/>
        </w:rPr>
        <w:t>保持一致</w:t>
      </w:r>
      <w:r>
        <w:rPr>
          <w:rFonts w:hint="eastAsia" w:ascii="仿宋" w:hAnsi="仿宋" w:eastAsia="仿宋" w:cs="仿宋"/>
          <w:sz w:val="32"/>
          <w:szCs w:val="32"/>
          <w:lang w:eastAsia="zh-CN"/>
        </w:rPr>
        <w:t>。</w:t>
      </w:r>
    </w:p>
    <w:p>
      <w:pPr>
        <w:ind w:firstLine="640" w:firstLineChars="200"/>
        <w:jc w:val="left"/>
        <w:rPr>
          <w:rFonts w:ascii="仿宋" w:hAnsi="仿宋" w:eastAsia="仿宋" w:cs="仿宋"/>
          <w:sz w:val="32"/>
          <w:szCs w:val="32"/>
        </w:rPr>
      </w:pPr>
      <w:r>
        <w:rPr>
          <w:rFonts w:hint="eastAsia" w:ascii="仿宋" w:hAnsi="仿宋" w:eastAsia="仿宋" w:cs="仿宋"/>
          <w:sz w:val="32"/>
          <w:szCs w:val="32"/>
        </w:rPr>
        <w:t>具体支出情况如下：</w:t>
      </w:r>
    </w:p>
    <w:p>
      <w:pPr>
        <w:ind w:firstLine="643" w:firstLineChars="200"/>
        <w:jc w:val="left"/>
        <w:rPr>
          <w:rFonts w:ascii="仿宋" w:hAnsi="仿宋" w:eastAsia="仿宋" w:cs="仿宋"/>
          <w:sz w:val="32"/>
          <w:szCs w:val="32"/>
        </w:rPr>
      </w:pPr>
      <w:r>
        <w:rPr>
          <w:rFonts w:hint="eastAsia" w:ascii="仿宋" w:hAnsi="仿宋" w:eastAsia="仿宋" w:cs="仿宋"/>
          <w:b/>
          <w:bCs/>
          <w:sz w:val="32"/>
          <w:szCs w:val="32"/>
        </w:rPr>
        <w:t>（一）因公出国（境）费用</w:t>
      </w:r>
      <w:r>
        <w:rPr>
          <w:rFonts w:hint="eastAsia" w:ascii="仿宋" w:hAnsi="仿宋" w:eastAsia="仿宋" w:cs="仿宋"/>
          <w:sz w:val="32"/>
          <w:szCs w:val="32"/>
        </w:rPr>
        <w:t>0万元，预算数与202</w:t>
      </w:r>
      <w:r>
        <w:rPr>
          <w:rFonts w:hint="eastAsia" w:ascii="仿宋" w:hAnsi="仿宋" w:eastAsia="仿宋" w:cs="仿宋"/>
          <w:sz w:val="32"/>
          <w:szCs w:val="32"/>
          <w:lang w:val="en-US" w:eastAsia="zh-CN"/>
        </w:rPr>
        <w:t>2</w:t>
      </w:r>
      <w:r>
        <w:rPr>
          <w:rFonts w:hint="eastAsia" w:ascii="仿宋" w:hAnsi="仿宋" w:eastAsia="仿宋" w:cs="仿宋"/>
          <w:sz w:val="32"/>
          <w:szCs w:val="32"/>
        </w:rPr>
        <w:t>年保持一致。</w:t>
      </w:r>
    </w:p>
    <w:p>
      <w:pPr>
        <w:ind w:firstLine="643" w:firstLineChars="200"/>
        <w:jc w:val="left"/>
        <w:rPr>
          <w:rFonts w:hint="eastAsia" w:ascii="仿宋" w:hAnsi="仿宋" w:eastAsia="仿宋" w:cs="仿宋"/>
          <w:sz w:val="32"/>
          <w:szCs w:val="32"/>
          <w:lang w:val="en-US" w:eastAsia="zh-CN"/>
        </w:rPr>
      </w:pPr>
      <w:r>
        <w:rPr>
          <w:rFonts w:hint="eastAsia" w:ascii="仿宋" w:hAnsi="仿宋" w:eastAsia="仿宋" w:cs="仿宋"/>
          <w:b/>
          <w:bCs/>
          <w:sz w:val="32"/>
          <w:szCs w:val="32"/>
        </w:rPr>
        <w:t>（二）公务接待费</w:t>
      </w:r>
      <w:r>
        <w:rPr>
          <w:rFonts w:hint="eastAsia" w:ascii="仿宋" w:hAnsi="仿宋" w:eastAsia="仿宋" w:cs="仿宋"/>
          <w:sz w:val="32"/>
          <w:szCs w:val="32"/>
          <w:lang w:val="en-US" w:eastAsia="zh-CN"/>
        </w:rPr>
        <w:t>0</w:t>
      </w:r>
      <w:r>
        <w:rPr>
          <w:rFonts w:hint="eastAsia" w:ascii="仿宋" w:hAnsi="仿宋" w:eastAsia="仿宋" w:cs="仿宋"/>
          <w:sz w:val="32"/>
          <w:szCs w:val="32"/>
        </w:rPr>
        <w:t>万元</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预算数与2022年</w:t>
      </w:r>
      <w:r>
        <w:rPr>
          <w:rFonts w:hint="eastAsia" w:ascii="仿宋" w:hAnsi="仿宋" w:eastAsia="仿宋" w:cs="仿宋"/>
          <w:sz w:val="32"/>
          <w:szCs w:val="32"/>
        </w:rPr>
        <w:t>保持一致</w:t>
      </w:r>
      <w:r>
        <w:rPr>
          <w:rFonts w:hint="eastAsia" w:ascii="仿宋" w:hAnsi="仿宋" w:eastAsia="仿宋" w:cs="仿宋"/>
          <w:sz w:val="32"/>
          <w:szCs w:val="32"/>
          <w:lang w:val="en-US" w:eastAsia="zh-CN"/>
        </w:rPr>
        <w:t>。</w:t>
      </w:r>
    </w:p>
    <w:p>
      <w:pPr>
        <w:ind w:firstLine="643" w:firstLineChars="200"/>
        <w:jc w:val="left"/>
        <w:rPr>
          <w:rFonts w:ascii="仿宋" w:hAnsi="仿宋" w:eastAsia="仿宋" w:cs="仿宋"/>
          <w:sz w:val="32"/>
          <w:szCs w:val="32"/>
        </w:rPr>
      </w:pPr>
      <w:r>
        <w:rPr>
          <w:rFonts w:hint="eastAsia" w:ascii="仿宋" w:hAnsi="仿宋" w:eastAsia="仿宋" w:cs="仿宋"/>
          <w:b/>
          <w:bCs/>
          <w:sz w:val="32"/>
          <w:szCs w:val="32"/>
        </w:rPr>
        <w:t>（三）公务用车购置及运行费</w:t>
      </w:r>
      <w:r>
        <w:rPr>
          <w:rFonts w:hint="eastAsia" w:ascii="仿宋" w:hAnsi="仿宋" w:eastAsia="仿宋" w:cs="仿宋"/>
          <w:sz w:val="32"/>
          <w:szCs w:val="32"/>
          <w:lang w:val="en-US" w:eastAsia="zh-CN"/>
        </w:rPr>
        <w:t>0</w:t>
      </w:r>
      <w:r>
        <w:rPr>
          <w:rFonts w:hint="eastAsia" w:ascii="仿宋" w:hAnsi="仿宋" w:eastAsia="仿宋" w:cs="仿宋"/>
          <w:sz w:val="32"/>
          <w:szCs w:val="32"/>
        </w:rPr>
        <w:t>万元，其中：公务用车运行维护</w:t>
      </w:r>
      <w:r>
        <w:rPr>
          <w:rFonts w:hint="eastAsia" w:ascii="仿宋" w:hAnsi="仿宋" w:eastAsia="仿宋" w:cs="仿宋"/>
          <w:sz w:val="32"/>
          <w:szCs w:val="32"/>
          <w:lang w:val="en-US" w:eastAsia="zh-CN"/>
        </w:rPr>
        <w:t>0</w:t>
      </w:r>
      <w:r>
        <w:rPr>
          <w:rFonts w:hint="eastAsia" w:ascii="仿宋" w:hAnsi="仿宋" w:eastAsia="仿宋" w:cs="仿宋"/>
          <w:sz w:val="32"/>
          <w:szCs w:val="32"/>
        </w:rPr>
        <w:t>万元，公务用车购置</w:t>
      </w:r>
      <w:r>
        <w:rPr>
          <w:rFonts w:hint="eastAsia" w:ascii="仿宋" w:hAnsi="仿宋" w:eastAsia="仿宋" w:cs="仿宋"/>
          <w:sz w:val="32"/>
          <w:szCs w:val="32"/>
          <w:lang w:val="en-US" w:eastAsia="zh-CN"/>
        </w:rPr>
        <w:t>0</w:t>
      </w:r>
      <w:r>
        <w:rPr>
          <w:rFonts w:hint="eastAsia" w:ascii="仿宋" w:hAnsi="仿宋" w:eastAsia="仿宋" w:cs="仿宋"/>
          <w:sz w:val="32"/>
          <w:szCs w:val="32"/>
        </w:rPr>
        <w:t>万元。</w:t>
      </w:r>
      <w:r>
        <w:rPr>
          <w:rFonts w:hint="eastAsia" w:ascii="仿宋" w:hAnsi="仿宋" w:eastAsia="仿宋" w:cs="仿宋"/>
          <w:sz w:val="32"/>
          <w:szCs w:val="32"/>
          <w:lang w:val="en-US" w:eastAsia="zh-CN"/>
        </w:rPr>
        <w:t>预算数与2022年</w:t>
      </w:r>
      <w:r>
        <w:rPr>
          <w:rFonts w:hint="eastAsia" w:ascii="仿宋" w:hAnsi="仿宋" w:eastAsia="仿宋" w:cs="仿宋"/>
          <w:sz w:val="32"/>
          <w:szCs w:val="32"/>
        </w:rPr>
        <w:t>保持一致。</w:t>
      </w:r>
    </w:p>
    <w:p>
      <w:pPr>
        <w:jc w:val="left"/>
        <w:rPr>
          <w:rFonts w:ascii="仿宋" w:hAnsi="仿宋" w:eastAsia="仿宋" w:cs="仿宋"/>
          <w:sz w:val="32"/>
          <w:szCs w:val="32"/>
        </w:rPr>
      </w:pPr>
      <w:r>
        <w:rPr>
          <w:rFonts w:hint="eastAsia" w:ascii="仿宋" w:hAnsi="仿宋" w:eastAsia="仿宋" w:cs="仿宋"/>
          <w:sz w:val="32"/>
          <w:szCs w:val="32"/>
        </w:rPr>
        <w:drawing>
          <wp:inline distT="0" distB="0" distL="0" distR="0">
            <wp:extent cx="5274310" cy="3076575"/>
            <wp:effectExtent l="5080" t="4445" r="16510" b="5080"/>
            <wp:docPr id="4" name="图表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pPr>
        <w:numPr>
          <w:ilvl w:val="0"/>
          <w:numId w:val="4"/>
        </w:numPr>
        <w:ind w:firstLine="640"/>
        <w:jc w:val="left"/>
        <w:rPr>
          <w:rFonts w:ascii="黑体" w:hAnsi="黑体" w:eastAsia="黑体"/>
          <w:sz w:val="32"/>
        </w:rPr>
      </w:pPr>
      <w:r>
        <w:rPr>
          <w:rFonts w:hint="eastAsia" w:ascii="黑体" w:hAnsi="黑体" w:eastAsia="黑体"/>
          <w:sz w:val="32"/>
        </w:rPr>
        <w:t>政府性基金预算支出预算情况说明</w:t>
      </w:r>
    </w:p>
    <w:p>
      <w:pPr>
        <w:ind w:firstLine="640" w:firstLineChars="200"/>
        <w:jc w:val="left"/>
        <w:rPr>
          <w:rFonts w:ascii="仿宋" w:hAnsi="仿宋" w:eastAsia="仿宋" w:cs="仿宋"/>
          <w:sz w:val="32"/>
        </w:rPr>
      </w:pPr>
      <w:r>
        <w:rPr>
          <w:rFonts w:hint="eastAsia" w:ascii="仿宋" w:hAnsi="仿宋" w:eastAsia="仿宋" w:cs="仿宋"/>
          <w:sz w:val="32"/>
        </w:rPr>
        <w:t>我单位</w:t>
      </w:r>
      <w:r>
        <w:rPr>
          <w:rFonts w:hint="eastAsia" w:ascii="仿宋" w:hAnsi="仿宋" w:eastAsia="仿宋" w:cs="仿宋"/>
          <w:sz w:val="32"/>
          <w:lang w:eastAsia="zh-CN"/>
        </w:rPr>
        <w:t>2023年</w:t>
      </w:r>
      <w:r>
        <w:rPr>
          <w:rFonts w:hint="eastAsia" w:ascii="仿宋" w:hAnsi="仿宋" w:eastAsia="仿宋" w:cs="仿宋"/>
          <w:sz w:val="32"/>
        </w:rPr>
        <w:t>无使用政府性基金预算拨款安排的支出。</w:t>
      </w:r>
    </w:p>
    <w:p>
      <w:pPr>
        <w:numPr>
          <w:ilvl w:val="0"/>
          <w:numId w:val="4"/>
        </w:numPr>
        <w:ind w:firstLine="640"/>
        <w:jc w:val="left"/>
        <w:rPr>
          <w:rFonts w:ascii="黑体" w:hAnsi="黑体" w:eastAsia="黑体"/>
          <w:sz w:val="32"/>
        </w:rPr>
      </w:pPr>
      <w:r>
        <w:rPr>
          <w:rFonts w:hint="eastAsia" w:ascii="黑体" w:hAnsi="黑体" w:eastAsia="黑体"/>
          <w:sz w:val="32"/>
        </w:rPr>
        <w:t>其他重要事项的情况说明</w:t>
      </w:r>
    </w:p>
    <w:p>
      <w:pPr>
        <w:ind w:left="420" w:leftChars="200"/>
        <w:jc w:val="left"/>
        <w:rPr>
          <w:rFonts w:ascii="仿宋" w:hAnsi="仿宋" w:eastAsia="仿宋" w:cs="仿宋"/>
          <w:b/>
          <w:bCs/>
          <w:sz w:val="32"/>
        </w:rPr>
      </w:pPr>
      <w:r>
        <w:rPr>
          <w:rFonts w:hint="eastAsia" w:ascii="仿宋" w:hAnsi="仿宋" w:eastAsia="仿宋" w:cs="仿宋"/>
          <w:b/>
          <w:bCs/>
          <w:sz w:val="32"/>
        </w:rPr>
        <w:t>（一）行政（事业）单位机构运转经费</w:t>
      </w:r>
    </w:p>
    <w:p>
      <w:pPr>
        <w:ind w:firstLine="640" w:firstLineChars="200"/>
        <w:jc w:val="left"/>
        <w:rPr>
          <w:rFonts w:ascii="仿宋" w:hAnsi="仿宋" w:eastAsia="仿宋" w:cs="仿宋"/>
          <w:color w:val="000000" w:themeColor="text1"/>
          <w:sz w:val="32"/>
          <w:highlight w:val="none"/>
          <w14:textFill>
            <w14:solidFill>
              <w14:schemeClr w14:val="tx1"/>
            </w14:solidFill>
          </w14:textFill>
        </w:rPr>
      </w:pPr>
      <w:r>
        <w:rPr>
          <w:rFonts w:hint="eastAsia" w:ascii="仿宋" w:hAnsi="仿宋" w:eastAsia="仿宋" w:cs="仿宋"/>
          <w:color w:val="000000" w:themeColor="text1"/>
          <w:sz w:val="32"/>
          <w:highlight w:val="none"/>
          <w14:textFill>
            <w14:solidFill>
              <w14:schemeClr w14:val="tx1"/>
            </w14:solidFill>
          </w14:textFill>
        </w:rPr>
        <w:t>我单位202</w:t>
      </w:r>
      <w:r>
        <w:rPr>
          <w:rFonts w:hint="eastAsia" w:ascii="仿宋" w:hAnsi="仿宋" w:eastAsia="仿宋" w:cs="仿宋"/>
          <w:color w:val="000000" w:themeColor="text1"/>
          <w:sz w:val="32"/>
          <w:highlight w:val="none"/>
          <w:lang w:val="en-US" w:eastAsia="zh-CN"/>
          <w14:textFill>
            <w14:solidFill>
              <w14:schemeClr w14:val="tx1"/>
            </w14:solidFill>
          </w14:textFill>
        </w:rPr>
        <w:t>3</w:t>
      </w:r>
      <w:r>
        <w:rPr>
          <w:rFonts w:hint="eastAsia" w:ascii="仿宋" w:hAnsi="仿宋" w:eastAsia="仿宋" w:cs="仿宋"/>
          <w:color w:val="000000" w:themeColor="text1"/>
          <w:sz w:val="32"/>
          <w:highlight w:val="none"/>
          <w14:textFill>
            <w14:solidFill>
              <w14:schemeClr w14:val="tx1"/>
            </w14:solidFill>
          </w14:textFill>
        </w:rPr>
        <w:t>年</w:t>
      </w:r>
      <w:r>
        <w:rPr>
          <w:rFonts w:hint="eastAsia" w:ascii="仿宋" w:hAnsi="仿宋" w:eastAsia="仿宋" w:cs="仿宋"/>
          <w:color w:val="000000" w:themeColor="text1"/>
          <w:sz w:val="32"/>
          <w:highlight w:val="none"/>
          <w:lang w:val="en-US" w:eastAsia="zh-CN"/>
          <w14:textFill>
            <w14:solidFill>
              <w14:schemeClr w14:val="tx1"/>
            </w14:solidFill>
          </w14:textFill>
        </w:rPr>
        <w:t>学校</w:t>
      </w:r>
      <w:r>
        <w:rPr>
          <w:rFonts w:hint="eastAsia" w:ascii="仿宋" w:hAnsi="仿宋" w:eastAsia="仿宋" w:cs="仿宋"/>
          <w:color w:val="000000" w:themeColor="text1"/>
          <w:sz w:val="32"/>
          <w:highlight w:val="none"/>
          <w14:textFill>
            <w14:solidFill>
              <w14:schemeClr w14:val="tx1"/>
            </w14:solidFill>
          </w14:textFill>
        </w:rPr>
        <w:t>运行经费支出预算</w:t>
      </w:r>
      <w:r>
        <w:rPr>
          <w:rFonts w:hint="eastAsia" w:ascii="仿宋" w:hAnsi="仿宋" w:eastAsia="仿宋" w:cs="仿宋"/>
          <w:color w:val="000000"/>
          <w:sz w:val="32"/>
          <w:szCs w:val="32"/>
          <w:lang w:val="en-US" w:eastAsia="zh-CN"/>
        </w:rPr>
        <w:t>79.25</w:t>
      </w:r>
      <w:r>
        <w:rPr>
          <w:rFonts w:hint="eastAsia" w:ascii="仿宋" w:hAnsi="仿宋" w:eastAsia="仿宋" w:cs="仿宋"/>
          <w:color w:val="000000" w:themeColor="text1"/>
          <w:sz w:val="32"/>
          <w:highlight w:val="none"/>
          <w14:textFill>
            <w14:solidFill>
              <w14:schemeClr w14:val="tx1"/>
            </w14:solidFill>
          </w14:textFill>
        </w:rPr>
        <w:t>万元，主要保障机构正常运转及正常履职需要，用于购买货物和服务的支出。包括办公及印刷费、邮电费、差旅费、会议费、福利费、日常维修费及一般设备购置费、办公用房水电费、办公用房取暖费、办公用房物业管理费、公务用车运行维护费以及其他费用。</w:t>
      </w:r>
    </w:p>
    <w:p>
      <w:pPr>
        <w:ind w:firstLine="643" w:firstLineChars="200"/>
        <w:jc w:val="left"/>
        <w:rPr>
          <w:rFonts w:ascii="仿宋" w:hAnsi="仿宋" w:eastAsia="仿宋" w:cs="仿宋"/>
          <w:b/>
          <w:bCs/>
          <w:sz w:val="32"/>
        </w:rPr>
      </w:pPr>
      <w:r>
        <w:rPr>
          <w:rFonts w:hint="eastAsia" w:ascii="仿宋" w:hAnsi="仿宋" w:eastAsia="仿宋" w:cs="仿宋"/>
          <w:b/>
          <w:bCs/>
          <w:sz w:val="32"/>
        </w:rPr>
        <w:t>（二）政府采购支出预算情况</w:t>
      </w:r>
    </w:p>
    <w:p>
      <w:pPr>
        <w:ind w:firstLine="640" w:firstLineChars="200"/>
        <w:jc w:val="left"/>
        <w:rPr>
          <w:rFonts w:ascii="仿宋" w:hAnsi="仿宋" w:eastAsia="仿宋" w:cs="仿宋"/>
          <w:sz w:val="32"/>
        </w:rPr>
      </w:pPr>
      <w:r>
        <w:rPr>
          <w:rFonts w:hint="eastAsia" w:ascii="仿宋" w:hAnsi="仿宋" w:eastAsia="仿宋" w:cs="仿宋"/>
          <w:sz w:val="32"/>
        </w:rPr>
        <w:t>我单位202</w:t>
      </w:r>
      <w:r>
        <w:rPr>
          <w:rFonts w:hint="eastAsia" w:ascii="仿宋" w:hAnsi="仿宋" w:eastAsia="仿宋" w:cs="仿宋"/>
          <w:sz w:val="32"/>
          <w:lang w:val="en-US" w:eastAsia="zh-CN"/>
        </w:rPr>
        <w:t>3</w:t>
      </w:r>
      <w:r>
        <w:rPr>
          <w:rFonts w:hint="eastAsia" w:ascii="仿宋" w:hAnsi="仿宋" w:eastAsia="仿宋" w:cs="仿宋"/>
          <w:sz w:val="32"/>
        </w:rPr>
        <w:t>年政府采购预算安排</w:t>
      </w:r>
      <w:r>
        <w:rPr>
          <w:rFonts w:hint="eastAsia" w:ascii="仿宋" w:hAnsi="仿宋" w:eastAsia="仿宋" w:cs="仿宋"/>
          <w:sz w:val="32"/>
          <w:lang w:val="en-US" w:eastAsia="zh-CN"/>
        </w:rPr>
        <w:t>0</w:t>
      </w:r>
      <w:r>
        <w:rPr>
          <w:rFonts w:hint="eastAsia" w:ascii="仿宋" w:hAnsi="仿宋" w:eastAsia="仿宋" w:cs="仿宋"/>
          <w:sz w:val="32"/>
        </w:rPr>
        <w:t>万元，其中：货物类采购预算</w:t>
      </w:r>
      <w:r>
        <w:rPr>
          <w:rFonts w:hint="eastAsia" w:ascii="仿宋" w:hAnsi="仿宋" w:eastAsia="仿宋" w:cs="仿宋"/>
          <w:sz w:val="32"/>
          <w:lang w:val="en-US" w:eastAsia="zh-CN"/>
        </w:rPr>
        <w:t>0</w:t>
      </w:r>
      <w:r>
        <w:rPr>
          <w:rFonts w:hint="eastAsia" w:ascii="仿宋" w:hAnsi="仿宋" w:eastAsia="仿宋" w:cs="仿宋"/>
          <w:sz w:val="32"/>
        </w:rPr>
        <w:t>万元，工程类采购预算</w:t>
      </w:r>
      <w:r>
        <w:rPr>
          <w:rFonts w:hint="eastAsia" w:ascii="仿宋" w:hAnsi="仿宋" w:eastAsia="仿宋" w:cs="仿宋"/>
          <w:sz w:val="32"/>
          <w:lang w:val="en-US" w:eastAsia="zh-CN"/>
        </w:rPr>
        <w:t>0</w:t>
      </w:r>
      <w:r>
        <w:rPr>
          <w:rFonts w:hint="eastAsia" w:ascii="仿宋" w:hAnsi="仿宋" w:eastAsia="仿宋" w:cs="仿宋"/>
          <w:sz w:val="32"/>
        </w:rPr>
        <w:t>万元，服务类采购预算</w:t>
      </w:r>
      <w:r>
        <w:rPr>
          <w:rFonts w:hint="eastAsia" w:ascii="仿宋" w:hAnsi="仿宋" w:eastAsia="仿宋" w:cs="仿宋"/>
          <w:sz w:val="32"/>
          <w:lang w:val="en-US" w:eastAsia="zh-CN"/>
        </w:rPr>
        <w:t>0</w:t>
      </w:r>
      <w:r>
        <w:rPr>
          <w:rFonts w:hint="eastAsia" w:ascii="仿宋" w:hAnsi="仿宋" w:eastAsia="仿宋" w:cs="仿宋"/>
          <w:sz w:val="32"/>
        </w:rPr>
        <w:t>万元。</w:t>
      </w:r>
    </w:p>
    <w:p>
      <w:pPr>
        <w:numPr>
          <w:ilvl w:val="0"/>
          <w:numId w:val="5"/>
        </w:numPr>
        <w:ind w:firstLine="643" w:firstLineChars="200"/>
        <w:jc w:val="left"/>
        <w:rPr>
          <w:rFonts w:ascii="仿宋" w:hAnsi="仿宋" w:eastAsia="仿宋" w:cs="仿宋"/>
          <w:b/>
          <w:bCs/>
          <w:sz w:val="32"/>
        </w:rPr>
      </w:pPr>
      <w:r>
        <w:rPr>
          <w:rFonts w:hint="eastAsia" w:ascii="仿宋" w:hAnsi="仿宋" w:eastAsia="仿宋" w:cs="仿宋"/>
          <w:b/>
          <w:bCs/>
          <w:sz w:val="32"/>
        </w:rPr>
        <w:t>绩效目标设置情况</w:t>
      </w:r>
    </w:p>
    <w:p>
      <w:pPr>
        <w:ind w:firstLine="640" w:firstLineChars="200"/>
        <w:jc w:val="left"/>
        <w:rPr>
          <w:rFonts w:hint="eastAsia" w:ascii="仿宋" w:hAnsi="仿宋" w:eastAsia="仿宋" w:cs="仿宋"/>
          <w:sz w:val="32"/>
        </w:rPr>
      </w:pPr>
      <w:r>
        <w:rPr>
          <w:rFonts w:hint="eastAsia" w:ascii="仿宋" w:hAnsi="仿宋" w:eastAsia="仿宋" w:cs="仿宋"/>
          <w:sz w:val="32"/>
        </w:rPr>
        <w:t>我单位202</w:t>
      </w:r>
      <w:r>
        <w:rPr>
          <w:rFonts w:hint="eastAsia" w:ascii="仿宋" w:hAnsi="仿宋" w:eastAsia="仿宋" w:cs="仿宋"/>
          <w:sz w:val="32"/>
          <w:lang w:val="en-US" w:eastAsia="zh-CN"/>
        </w:rPr>
        <w:t>3</w:t>
      </w:r>
      <w:r>
        <w:rPr>
          <w:rFonts w:hint="eastAsia" w:ascii="仿宋" w:hAnsi="仿宋" w:eastAsia="仿宋" w:cs="仿宋"/>
          <w:sz w:val="32"/>
        </w:rPr>
        <w:t>年预算项目均按要求编制了绩效目标，从 项目产出、项目效益、满意度等方面设置了绩效目标，综合 反映项目预期完成的数量、实效、质量，预期达到的社会经 济效益、可持续影响以及对象满意度等情况。</w:t>
      </w:r>
    </w:p>
    <w:p>
      <w:pPr>
        <w:ind w:firstLine="640" w:firstLineChars="200"/>
        <w:jc w:val="left"/>
        <w:rPr>
          <w:rFonts w:hint="eastAsia" w:ascii="仿宋" w:hAnsi="仿宋" w:eastAsia="仿宋" w:cs="仿宋"/>
          <w:sz w:val="32"/>
        </w:rPr>
      </w:pPr>
      <w:bookmarkStart w:id="0" w:name="_GoBack"/>
      <w:r>
        <w:rPr>
          <w:rFonts w:hint="eastAsia" w:ascii="仿宋" w:hAnsi="仿宋" w:eastAsia="仿宋" w:cs="仿宋"/>
          <w:sz w:val="32"/>
          <w:lang w:val="en-US" w:eastAsia="zh-CN"/>
        </w:rPr>
        <w:t>2023年部门预算金额共计</w:t>
      </w:r>
      <w:r>
        <w:rPr>
          <w:rFonts w:hint="eastAsia" w:ascii="仿宋" w:hAnsi="仿宋" w:eastAsia="仿宋" w:cs="仿宋"/>
          <w:sz w:val="32"/>
          <w:szCs w:val="32"/>
        </w:rPr>
        <w:t>471.80</w:t>
      </w:r>
      <w:r>
        <w:rPr>
          <w:rFonts w:hint="eastAsia" w:ascii="仿宋" w:hAnsi="仿宋" w:eastAsia="仿宋" w:cs="仿宋"/>
          <w:sz w:val="32"/>
          <w:szCs w:val="32"/>
          <w:lang w:val="en-US" w:eastAsia="zh-CN"/>
        </w:rPr>
        <w:t>万元，其中项目共1个，金额为78万元。</w:t>
      </w:r>
      <w:bookmarkEnd w:id="0"/>
    </w:p>
    <w:p>
      <w:pPr>
        <w:numPr>
          <w:ilvl w:val="0"/>
          <w:numId w:val="5"/>
        </w:numPr>
        <w:ind w:firstLine="643" w:firstLineChars="200"/>
        <w:jc w:val="left"/>
        <w:rPr>
          <w:rFonts w:ascii="仿宋" w:hAnsi="仿宋" w:eastAsia="仿宋" w:cs="仿宋"/>
          <w:b/>
          <w:bCs/>
          <w:sz w:val="32"/>
        </w:rPr>
      </w:pPr>
      <w:r>
        <w:rPr>
          <w:rFonts w:hint="eastAsia" w:ascii="仿宋" w:hAnsi="仿宋" w:eastAsia="仿宋" w:cs="仿宋"/>
          <w:b/>
          <w:bCs/>
          <w:sz w:val="32"/>
        </w:rPr>
        <w:t>国有资产占用情况</w:t>
      </w:r>
    </w:p>
    <w:p>
      <w:pPr>
        <w:ind w:firstLine="640" w:firstLineChars="200"/>
        <w:jc w:val="left"/>
        <w:rPr>
          <w:rFonts w:ascii="仿宋" w:hAnsi="仿宋" w:eastAsia="仿宋" w:cs="仿宋"/>
          <w:sz w:val="32"/>
        </w:rPr>
      </w:pPr>
      <w:r>
        <w:rPr>
          <w:rFonts w:hint="eastAsia" w:ascii="仿宋" w:hAnsi="仿宋" w:eastAsia="仿宋" w:cs="仿宋"/>
          <w:sz w:val="32"/>
        </w:rPr>
        <w:t>202</w:t>
      </w:r>
      <w:r>
        <w:rPr>
          <w:rFonts w:hint="eastAsia" w:ascii="仿宋" w:hAnsi="仿宋" w:eastAsia="仿宋" w:cs="仿宋"/>
          <w:sz w:val="32"/>
          <w:lang w:val="en-US" w:eastAsia="zh-CN"/>
        </w:rPr>
        <w:t>2</w:t>
      </w:r>
      <w:r>
        <w:rPr>
          <w:rFonts w:hint="eastAsia" w:ascii="仿宋" w:hAnsi="仿宋" w:eastAsia="仿宋" w:cs="仿宋"/>
          <w:sz w:val="32"/>
        </w:rPr>
        <w:t>年期末，我单位共有车辆</w:t>
      </w:r>
      <w:r>
        <w:rPr>
          <w:rFonts w:hint="eastAsia" w:ascii="仿宋" w:hAnsi="仿宋" w:eastAsia="仿宋" w:cs="仿宋"/>
          <w:sz w:val="32"/>
          <w:lang w:val="en-US" w:eastAsia="zh-CN"/>
        </w:rPr>
        <w:t>0</w:t>
      </w:r>
      <w:r>
        <w:rPr>
          <w:rFonts w:hint="eastAsia" w:ascii="仿宋" w:hAnsi="仿宋" w:eastAsia="仿宋" w:cs="仿宋"/>
          <w:sz w:val="32"/>
        </w:rPr>
        <w:t>辆，其中：一般公务用车</w:t>
      </w:r>
      <w:r>
        <w:rPr>
          <w:rFonts w:hint="eastAsia" w:ascii="仿宋" w:hAnsi="仿宋" w:eastAsia="仿宋" w:cs="仿宋"/>
          <w:sz w:val="32"/>
          <w:lang w:val="en-US" w:eastAsia="zh-CN"/>
        </w:rPr>
        <w:t>0</w:t>
      </w:r>
      <w:r>
        <w:rPr>
          <w:rFonts w:hint="eastAsia" w:ascii="仿宋" w:hAnsi="仿宋" w:eastAsia="仿宋" w:cs="仿宋"/>
          <w:sz w:val="32"/>
        </w:rPr>
        <w:t>辆、一般执法执勤用车</w:t>
      </w:r>
      <w:r>
        <w:rPr>
          <w:rFonts w:hint="eastAsia" w:ascii="仿宋" w:hAnsi="仿宋" w:eastAsia="仿宋" w:cs="仿宋"/>
          <w:sz w:val="32"/>
          <w:lang w:val="en-US" w:eastAsia="zh-CN"/>
        </w:rPr>
        <w:t>0</w:t>
      </w:r>
      <w:r>
        <w:rPr>
          <w:rFonts w:hint="eastAsia" w:ascii="仿宋" w:hAnsi="仿宋" w:eastAsia="仿宋" w:cs="仿宋"/>
          <w:sz w:val="32"/>
        </w:rPr>
        <w:t>辆、其他用车</w:t>
      </w:r>
      <w:r>
        <w:rPr>
          <w:rFonts w:hint="eastAsia" w:ascii="仿宋" w:hAnsi="仿宋" w:eastAsia="仿宋" w:cs="仿宋"/>
          <w:sz w:val="32"/>
          <w:lang w:val="en-US" w:eastAsia="zh-CN"/>
        </w:rPr>
        <w:t>0</w:t>
      </w:r>
      <w:r>
        <w:rPr>
          <w:rFonts w:hint="eastAsia" w:ascii="仿宋" w:hAnsi="仿宋" w:eastAsia="仿宋" w:cs="仿宋"/>
          <w:sz w:val="32"/>
        </w:rPr>
        <w:t>辆；单价50万元以上通用设备</w:t>
      </w:r>
      <w:r>
        <w:rPr>
          <w:rFonts w:hint="eastAsia" w:ascii="仿宋" w:hAnsi="仿宋" w:eastAsia="仿宋" w:cs="仿宋"/>
          <w:sz w:val="32"/>
          <w:lang w:val="en-US" w:eastAsia="zh-CN"/>
        </w:rPr>
        <w:t>0</w:t>
      </w:r>
      <w:r>
        <w:rPr>
          <w:rFonts w:hint="eastAsia" w:ascii="仿宋" w:hAnsi="仿宋" w:eastAsia="仿宋" w:cs="仿宋"/>
          <w:sz w:val="32"/>
        </w:rPr>
        <w:t>套，单位价值100万元以上专用设备</w:t>
      </w:r>
      <w:r>
        <w:rPr>
          <w:rFonts w:hint="eastAsia" w:ascii="仿宋" w:hAnsi="仿宋" w:eastAsia="仿宋" w:cs="仿宋"/>
          <w:sz w:val="32"/>
          <w:lang w:val="en-US" w:eastAsia="zh-CN"/>
        </w:rPr>
        <w:t>0</w:t>
      </w:r>
      <w:r>
        <w:rPr>
          <w:rFonts w:hint="eastAsia" w:ascii="仿宋" w:hAnsi="仿宋" w:eastAsia="仿宋" w:cs="仿宋"/>
          <w:sz w:val="32"/>
        </w:rPr>
        <w:t>套。</w:t>
      </w:r>
    </w:p>
    <w:p>
      <w:pPr>
        <w:ind w:firstLine="643" w:firstLineChars="200"/>
        <w:jc w:val="left"/>
        <w:rPr>
          <w:rFonts w:ascii="黑体" w:hAnsi="黑体" w:eastAsia="黑体"/>
          <w:b/>
          <w:bCs/>
          <w:sz w:val="32"/>
        </w:rPr>
      </w:pPr>
      <w:r>
        <w:rPr>
          <w:rFonts w:hint="eastAsia" w:ascii="仿宋" w:hAnsi="仿宋" w:eastAsia="仿宋" w:cs="仿宋"/>
          <w:b/>
          <w:bCs/>
          <w:sz w:val="32"/>
        </w:rPr>
        <w:t>（五）专项转移支付项目情况</w:t>
      </w:r>
    </w:p>
    <w:p>
      <w:pPr>
        <w:ind w:firstLine="640" w:firstLineChars="200"/>
        <w:jc w:val="left"/>
        <w:rPr>
          <w:rFonts w:hint="eastAsia" w:ascii="仿宋" w:hAnsi="仿宋" w:eastAsia="仿宋" w:cs="仿宋"/>
          <w:sz w:val="32"/>
        </w:rPr>
      </w:pPr>
      <w:r>
        <w:rPr>
          <w:rFonts w:hint="eastAsia" w:ascii="仿宋" w:hAnsi="仿宋" w:eastAsia="仿宋" w:cs="仿宋"/>
          <w:sz w:val="32"/>
        </w:rPr>
        <w:t>我单位负责管理的专项转移支付项目共有</w:t>
      </w:r>
      <w:r>
        <w:rPr>
          <w:rFonts w:hint="eastAsia" w:ascii="仿宋" w:hAnsi="仿宋" w:eastAsia="仿宋" w:cs="仿宋"/>
          <w:sz w:val="32"/>
          <w:lang w:val="en-US" w:eastAsia="zh-CN"/>
        </w:rPr>
        <w:t>0</w:t>
      </w:r>
      <w:r>
        <w:rPr>
          <w:rFonts w:hint="eastAsia" w:ascii="仿宋" w:hAnsi="仿宋" w:eastAsia="仿宋" w:cs="仿宋"/>
          <w:sz w:val="32"/>
        </w:rPr>
        <w:t>项。主要是:</w:t>
      </w:r>
      <w:r>
        <w:rPr>
          <w:rFonts w:hint="eastAsia" w:ascii="仿宋" w:hAnsi="仿宋" w:eastAsia="仿宋" w:cs="仿宋"/>
          <w:sz w:val="32"/>
          <w:lang w:val="en-US" w:eastAsia="zh-CN"/>
        </w:rPr>
        <w:t>无</w:t>
      </w:r>
      <w:r>
        <w:rPr>
          <w:rFonts w:hint="eastAsia" w:ascii="仿宋" w:hAnsi="仿宋" w:eastAsia="仿宋" w:cs="仿宋"/>
          <w:sz w:val="32"/>
        </w:rPr>
        <w:t>专项资金。我单位将按照《预算法》等有关规定，积极做好项目分配前期准备工作，在规定的时间内向财政部门提出资金分配意见，根据有关要求做好项目申报公开等相关工作。</w:t>
      </w:r>
    </w:p>
    <w:p>
      <w:pPr>
        <w:ind w:firstLine="640" w:firstLineChars="200"/>
        <w:jc w:val="left"/>
        <w:rPr>
          <w:rFonts w:hint="eastAsia" w:ascii="仿宋" w:hAnsi="仿宋" w:eastAsia="仿宋" w:cs="仿宋"/>
          <w:sz w:val="32"/>
        </w:rPr>
      </w:pPr>
    </w:p>
    <w:p>
      <w:pPr>
        <w:ind w:firstLine="640" w:firstLineChars="200"/>
        <w:jc w:val="left"/>
        <w:rPr>
          <w:rFonts w:hint="eastAsia" w:ascii="仿宋" w:hAnsi="仿宋" w:eastAsia="仿宋" w:cs="仿宋"/>
          <w:sz w:val="32"/>
        </w:rPr>
      </w:pPr>
    </w:p>
    <w:p>
      <w:pPr>
        <w:ind w:firstLine="640" w:firstLineChars="200"/>
        <w:jc w:val="left"/>
        <w:rPr>
          <w:rFonts w:hint="eastAsia" w:ascii="仿宋" w:hAnsi="仿宋" w:eastAsia="仿宋" w:cs="仿宋"/>
          <w:sz w:val="32"/>
        </w:rPr>
      </w:pPr>
    </w:p>
    <w:p>
      <w:pPr>
        <w:ind w:firstLine="640" w:firstLineChars="200"/>
        <w:jc w:val="left"/>
        <w:rPr>
          <w:rFonts w:hint="eastAsia" w:ascii="仿宋" w:hAnsi="仿宋" w:eastAsia="仿宋" w:cs="仿宋"/>
          <w:sz w:val="32"/>
        </w:rPr>
      </w:pPr>
    </w:p>
    <w:p>
      <w:pPr>
        <w:ind w:firstLine="640" w:firstLineChars="200"/>
        <w:jc w:val="left"/>
        <w:rPr>
          <w:rFonts w:hint="eastAsia" w:ascii="仿宋" w:hAnsi="仿宋" w:eastAsia="仿宋" w:cs="仿宋"/>
          <w:sz w:val="32"/>
        </w:rPr>
      </w:pPr>
    </w:p>
    <w:p>
      <w:pPr>
        <w:ind w:firstLine="640" w:firstLineChars="200"/>
        <w:jc w:val="left"/>
        <w:rPr>
          <w:rFonts w:hint="eastAsia" w:ascii="仿宋" w:hAnsi="仿宋" w:eastAsia="仿宋" w:cs="仿宋"/>
          <w:sz w:val="32"/>
        </w:rPr>
      </w:pPr>
    </w:p>
    <w:p>
      <w:pPr>
        <w:ind w:firstLine="640" w:firstLineChars="200"/>
        <w:jc w:val="left"/>
        <w:rPr>
          <w:rFonts w:hint="eastAsia" w:ascii="仿宋" w:hAnsi="仿宋" w:eastAsia="仿宋" w:cs="仿宋"/>
          <w:sz w:val="32"/>
        </w:rPr>
      </w:pPr>
    </w:p>
    <w:p>
      <w:pPr>
        <w:ind w:firstLine="640" w:firstLineChars="200"/>
        <w:jc w:val="left"/>
        <w:rPr>
          <w:rFonts w:hint="eastAsia" w:ascii="仿宋" w:hAnsi="仿宋" w:eastAsia="仿宋" w:cs="仿宋"/>
          <w:sz w:val="32"/>
        </w:rPr>
      </w:pPr>
    </w:p>
    <w:p>
      <w:pPr>
        <w:ind w:firstLine="640" w:firstLineChars="200"/>
        <w:jc w:val="left"/>
        <w:rPr>
          <w:rFonts w:hint="eastAsia" w:ascii="仿宋" w:hAnsi="仿宋" w:eastAsia="仿宋" w:cs="仿宋"/>
          <w:sz w:val="32"/>
        </w:rPr>
      </w:pPr>
    </w:p>
    <w:p>
      <w:pPr>
        <w:ind w:firstLine="640" w:firstLineChars="200"/>
        <w:jc w:val="left"/>
        <w:rPr>
          <w:rFonts w:hint="eastAsia" w:ascii="仿宋" w:hAnsi="仿宋" w:eastAsia="仿宋" w:cs="仿宋"/>
          <w:sz w:val="32"/>
        </w:rPr>
      </w:pPr>
    </w:p>
    <w:p>
      <w:pPr>
        <w:ind w:firstLine="640" w:firstLineChars="200"/>
        <w:jc w:val="left"/>
        <w:rPr>
          <w:rFonts w:hint="eastAsia" w:ascii="仿宋" w:hAnsi="仿宋" w:eastAsia="仿宋" w:cs="仿宋"/>
          <w:sz w:val="32"/>
        </w:rPr>
      </w:pPr>
    </w:p>
    <w:p>
      <w:pPr>
        <w:ind w:firstLine="640" w:firstLineChars="200"/>
        <w:jc w:val="left"/>
        <w:rPr>
          <w:rFonts w:hint="eastAsia" w:ascii="仿宋" w:hAnsi="仿宋" w:eastAsia="仿宋" w:cs="仿宋"/>
          <w:sz w:val="32"/>
        </w:rPr>
      </w:pPr>
    </w:p>
    <w:p>
      <w:pPr>
        <w:ind w:firstLine="640" w:firstLineChars="200"/>
        <w:jc w:val="left"/>
        <w:rPr>
          <w:rFonts w:hint="eastAsia" w:ascii="仿宋" w:hAnsi="仿宋" w:eastAsia="仿宋" w:cs="仿宋"/>
          <w:sz w:val="32"/>
        </w:rPr>
      </w:pPr>
    </w:p>
    <w:p>
      <w:pPr>
        <w:ind w:firstLine="640" w:firstLineChars="200"/>
        <w:jc w:val="left"/>
        <w:rPr>
          <w:rFonts w:hint="eastAsia" w:ascii="仿宋" w:hAnsi="仿宋" w:eastAsia="仿宋" w:cs="仿宋"/>
          <w:sz w:val="32"/>
        </w:rPr>
      </w:pPr>
    </w:p>
    <w:p>
      <w:pPr>
        <w:ind w:firstLine="640" w:firstLineChars="200"/>
        <w:jc w:val="left"/>
        <w:rPr>
          <w:rFonts w:hint="eastAsia" w:ascii="仿宋" w:hAnsi="仿宋" w:eastAsia="仿宋" w:cs="仿宋"/>
          <w:sz w:val="32"/>
        </w:rPr>
      </w:pPr>
    </w:p>
    <w:p>
      <w:pPr>
        <w:ind w:firstLine="640" w:firstLineChars="200"/>
        <w:jc w:val="left"/>
        <w:rPr>
          <w:rFonts w:hint="eastAsia" w:ascii="仿宋" w:hAnsi="仿宋" w:eastAsia="仿宋" w:cs="仿宋"/>
          <w:sz w:val="32"/>
        </w:rPr>
      </w:pPr>
    </w:p>
    <w:p>
      <w:pPr>
        <w:ind w:firstLine="640" w:firstLineChars="200"/>
        <w:jc w:val="left"/>
        <w:rPr>
          <w:rFonts w:hint="eastAsia" w:ascii="仿宋" w:hAnsi="仿宋" w:eastAsia="仿宋" w:cs="仿宋"/>
          <w:sz w:val="32"/>
        </w:rPr>
      </w:pPr>
    </w:p>
    <w:p>
      <w:pPr>
        <w:ind w:firstLine="640" w:firstLineChars="200"/>
        <w:jc w:val="left"/>
        <w:rPr>
          <w:rFonts w:hint="eastAsia" w:ascii="仿宋" w:hAnsi="仿宋" w:eastAsia="仿宋" w:cs="仿宋"/>
          <w:sz w:val="32"/>
        </w:rPr>
      </w:pPr>
    </w:p>
    <w:p>
      <w:pPr>
        <w:ind w:firstLine="640" w:firstLineChars="200"/>
        <w:jc w:val="left"/>
        <w:rPr>
          <w:rFonts w:hint="eastAsia" w:ascii="仿宋" w:hAnsi="仿宋" w:eastAsia="仿宋" w:cs="仿宋"/>
          <w:sz w:val="32"/>
        </w:rPr>
      </w:pPr>
    </w:p>
    <w:p>
      <w:pPr>
        <w:jc w:val="center"/>
        <w:rPr>
          <w:rFonts w:ascii="黑体" w:hAnsi="黑体" w:eastAsia="黑体"/>
          <w:b/>
          <w:bCs/>
          <w:sz w:val="36"/>
          <w:szCs w:val="36"/>
        </w:rPr>
      </w:pPr>
      <w:r>
        <w:rPr>
          <w:rFonts w:hint="eastAsia" w:ascii="黑体" w:hAnsi="黑体" w:eastAsia="黑体"/>
          <w:b/>
          <w:bCs/>
          <w:sz w:val="36"/>
          <w:szCs w:val="36"/>
        </w:rPr>
        <w:t xml:space="preserve">第三部分 </w:t>
      </w:r>
    </w:p>
    <w:p>
      <w:pPr>
        <w:jc w:val="center"/>
        <w:rPr>
          <w:rFonts w:ascii="黑体" w:hAnsi="黑体" w:eastAsia="黑体"/>
          <w:b/>
          <w:bCs/>
          <w:sz w:val="36"/>
          <w:szCs w:val="36"/>
        </w:rPr>
      </w:pPr>
      <w:r>
        <w:rPr>
          <w:rFonts w:hint="eastAsia" w:ascii="黑体" w:hAnsi="黑体" w:eastAsia="黑体"/>
          <w:b/>
          <w:bCs/>
          <w:sz w:val="36"/>
          <w:szCs w:val="36"/>
        </w:rPr>
        <w:t>名词解释</w:t>
      </w:r>
    </w:p>
    <w:p>
      <w:pPr>
        <w:jc w:val="left"/>
        <w:rPr>
          <w:rFonts w:ascii="黑体" w:hAnsi="黑体" w:eastAsia="黑体"/>
          <w:sz w:val="32"/>
        </w:rPr>
      </w:pPr>
    </w:p>
    <w:p>
      <w:pPr>
        <w:numPr>
          <w:ilvl w:val="0"/>
          <w:numId w:val="6"/>
        </w:numPr>
        <w:ind w:firstLine="640" w:firstLineChars="200"/>
        <w:jc w:val="left"/>
        <w:rPr>
          <w:rFonts w:ascii="仿宋" w:hAnsi="仿宋" w:eastAsia="仿宋" w:cs="仿宋"/>
          <w:sz w:val="32"/>
        </w:rPr>
      </w:pPr>
      <w:r>
        <w:rPr>
          <w:rFonts w:hint="eastAsia" w:ascii="仿宋" w:hAnsi="仿宋" w:eastAsia="仿宋" w:cs="仿宋"/>
          <w:sz w:val="32"/>
        </w:rPr>
        <w:t xml:space="preserve">财政拨款收入：是指县级财政当年拨付的资金。 </w:t>
      </w:r>
    </w:p>
    <w:p>
      <w:pPr>
        <w:numPr>
          <w:ilvl w:val="0"/>
          <w:numId w:val="6"/>
        </w:numPr>
        <w:ind w:firstLine="640" w:firstLineChars="200"/>
        <w:jc w:val="left"/>
        <w:rPr>
          <w:rFonts w:ascii="仿宋" w:hAnsi="仿宋" w:eastAsia="仿宋" w:cs="仿宋"/>
          <w:sz w:val="32"/>
        </w:rPr>
      </w:pPr>
      <w:r>
        <w:rPr>
          <w:rFonts w:hint="eastAsia" w:ascii="仿宋" w:hAnsi="仿宋" w:eastAsia="仿宋" w:cs="仿宋"/>
          <w:sz w:val="32"/>
        </w:rPr>
        <w:t>事业收入：是指事业单位开展专业活动及辅助活动</w:t>
      </w:r>
    </w:p>
    <w:p>
      <w:pPr>
        <w:jc w:val="left"/>
        <w:rPr>
          <w:rFonts w:ascii="仿宋" w:hAnsi="仿宋" w:eastAsia="仿宋" w:cs="仿宋"/>
          <w:sz w:val="32"/>
        </w:rPr>
      </w:pPr>
      <w:r>
        <w:rPr>
          <w:rFonts w:hint="eastAsia" w:ascii="仿宋" w:hAnsi="仿宋" w:eastAsia="仿宋" w:cs="仿宋"/>
          <w:sz w:val="32"/>
        </w:rPr>
        <w:t>所取得的收入。</w:t>
      </w:r>
    </w:p>
    <w:p>
      <w:pPr>
        <w:numPr>
          <w:ilvl w:val="0"/>
          <w:numId w:val="6"/>
        </w:numPr>
        <w:ind w:firstLine="640" w:firstLineChars="200"/>
        <w:jc w:val="left"/>
        <w:rPr>
          <w:rFonts w:ascii="宋体" w:hAnsi="宋体" w:eastAsia="宋体" w:cs="宋体"/>
          <w:color w:val="333333"/>
          <w:sz w:val="24"/>
        </w:rPr>
      </w:pPr>
      <w:r>
        <w:rPr>
          <w:rFonts w:hint="eastAsia" w:ascii="仿宋" w:hAnsi="仿宋" w:eastAsia="仿宋" w:cs="仿宋"/>
          <w:sz w:val="32"/>
        </w:rPr>
        <w:t>其他收入：是指部门取得的除“财政拨款”、“事 业收入”、“事业单位经营收入”等以外的收入。</w:t>
      </w:r>
    </w:p>
    <w:p>
      <w:pPr>
        <w:numPr>
          <w:ilvl w:val="0"/>
          <w:numId w:val="6"/>
        </w:numPr>
        <w:ind w:firstLine="640" w:firstLineChars="200"/>
        <w:jc w:val="left"/>
        <w:rPr>
          <w:rFonts w:ascii="仿宋" w:hAnsi="仿宋" w:eastAsia="仿宋" w:cs="仿宋"/>
          <w:sz w:val="32"/>
        </w:rPr>
      </w:pPr>
      <w:r>
        <w:rPr>
          <w:rFonts w:ascii="仿宋" w:hAnsi="仿宋" w:eastAsia="仿宋" w:cs="仿宋"/>
          <w:color w:val="333333"/>
          <w:sz w:val="32"/>
          <w:szCs w:val="32"/>
          <w:shd w:val="clear" w:color="auto" w:fill="FFFFFF"/>
        </w:rPr>
        <w:t>上年结转：</w:t>
      </w:r>
      <w:r>
        <w:rPr>
          <w:rFonts w:hint="eastAsia" w:ascii="仿宋" w:hAnsi="仿宋" w:eastAsia="仿宋" w:cs="仿宋"/>
          <w:color w:val="333333"/>
          <w:sz w:val="32"/>
          <w:szCs w:val="32"/>
          <w:shd w:val="clear" w:color="auto" w:fill="FFFFFF"/>
        </w:rPr>
        <w:t>指以前年度安排、结转到本年仍按原用途继续使用的资金。</w:t>
      </w:r>
    </w:p>
    <w:p>
      <w:pPr>
        <w:numPr>
          <w:ilvl w:val="0"/>
          <w:numId w:val="6"/>
        </w:numPr>
        <w:ind w:firstLine="640" w:firstLineChars="200"/>
        <w:jc w:val="left"/>
        <w:rPr>
          <w:rFonts w:ascii="仿宋" w:hAnsi="仿宋" w:eastAsia="仿宋" w:cs="仿宋"/>
          <w:sz w:val="32"/>
        </w:rPr>
      </w:pPr>
      <w:r>
        <w:rPr>
          <w:rFonts w:ascii="仿宋" w:hAnsi="仿宋" w:eastAsia="仿宋" w:cs="仿宋"/>
          <w:color w:val="333333"/>
          <w:sz w:val="32"/>
          <w:szCs w:val="32"/>
          <w:shd w:val="clear" w:color="auto" w:fill="FFFFFF"/>
        </w:rPr>
        <w:t>结转下年：</w:t>
      </w:r>
      <w:r>
        <w:rPr>
          <w:rFonts w:hint="eastAsia" w:ascii="仿宋" w:hAnsi="仿宋" w:eastAsia="仿宋" w:cs="仿宋"/>
          <w:color w:val="333333"/>
          <w:sz w:val="32"/>
          <w:szCs w:val="32"/>
          <w:shd w:val="clear" w:color="auto" w:fill="FFFFFF"/>
        </w:rPr>
        <w:t>指以前年度预算安排、因客观条件发生变化无法按原计划实施，需以后年度按原用途继续使用的资金。</w:t>
      </w:r>
    </w:p>
    <w:p>
      <w:pPr>
        <w:numPr>
          <w:ilvl w:val="0"/>
          <w:numId w:val="6"/>
        </w:numPr>
        <w:ind w:firstLine="640" w:firstLineChars="200"/>
        <w:jc w:val="left"/>
        <w:rPr>
          <w:rFonts w:ascii="仿宋" w:hAnsi="仿宋" w:eastAsia="仿宋" w:cs="仿宋"/>
          <w:sz w:val="32"/>
        </w:rPr>
      </w:pPr>
      <w:r>
        <w:rPr>
          <w:rFonts w:hint="eastAsia" w:ascii="仿宋" w:hAnsi="仿宋" w:eastAsia="仿宋" w:cs="仿宋"/>
          <w:sz w:val="32"/>
        </w:rPr>
        <w:t>用事业基金弥补收支差额：是指事业单位在当年的 “财政拨款收入”、“事业收入”、“经营收入”和“其他 收入”不足以安排当年支出的情况下，使用以前年度积累的 事业基金（即事业单位以前各年度收支相抵后，按国家规定 提取、用于弥补以后年度收支差额的基金）弥补当年收支 缺口的资金。</w:t>
      </w:r>
    </w:p>
    <w:p>
      <w:pPr>
        <w:numPr>
          <w:ilvl w:val="0"/>
          <w:numId w:val="6"/>
        </w:numPr>
        <w:ind w:firstLine="640" w:firstLineChars="200"/>
        <w:jc w:val="left"/>
        <w:rPr>
          <w:rFonts w:ascii="仿宋" w:hAnsi="仿宋" w:eastAsia="仿宋" w:cs="仿宋"/>
          <w:sz w:val="32"/>
        </w:rPr>
      </w:pPr>
      <w:r>
        <w:rPr>
          <w:rFonts w:hint="eastAsia" w:ascii="仿宋" w:hAnsi="仿宋" w:eastAsia="仿宋" w:cs="仿宋"/>
          <w:sz w:val="32"/>
        </w:rPr>
        <w:t>基本支出：是指为保障机构正常运转、完成日常工 作任务所必需的开支，其内容包括人员经费和日常公用经费 两部分。</w:t>
      </w:r>
    </w:p>
    <w:p>
      <w:pPr>
        <w:numPr>
          <w:ilvl w:val="0"/>
          <w:numId w:val="6"/>
        </w:numPr>
        <w:ind w:firstLine="640" w:firstLineChars="200"/>
        <w:jc w:val="left"/>
        <w:rPr>
          <w:rFonts w:ascii="仿宋" w:hAnsi="仿宋" w:eastAsia="仿宋" w:cs="仿宋"/>
          <w:sz w:val="32"/>
        </w:rPr>
      </w:pPr>
      <w:r>
        <w:rPr>
          <w:rFonts w:hint="eastAsia" w:ascii="仿宋" w:hAnsi="仿宋" w:eastAsia="仿宋" w:cs="仿宋"/>
          <w:sz w:val="32"/>
        </w:rPr>
        <w:t>项目支出：是指在基本支出之外，为完成特定的行政工作任务或事业发展目标所发生的支出。</w:t>
      </w:r>
    </w:p>
    <w:p>
      <w:pPr>
        <w:numPr>
          <w:ilvl w:val="0"/>
          <w:numId w:val="6"/>
        </w:numPr>
        <w:ind w:firstLine="640" w:firstLineChars="200"/>
        <w:jc w:val="left"/>
        <w:rPr>
          <w:rFonts w:ascii="仿宋" w:hAnsi="仿宋" w:eastAsia="仿宋" w:cs="仿宋"/>
          <w:sz w:val="32"/>
        </w:rPr>
      </w:pPr>
      <w:r>
        <w:rPr>
          <w:rFonts w:hint="eastAsia" w:ascii="仿宋" w:hAnsi="仿宋" w:eastAsia="仿宋" w:cs="仿宋"/>
          <w:sz w:val="32"/>
        </w:rPr>
        <w:t>“三公”经费：是指纳入市级财政预算管理，部门 使用财政拨款安排的因公出国（境）费、公务用车购置及运 行费和公务接待费。其中，因公出国（境）费反映单位公务 出国（境）的住宿费、旅费、伙食补助费、杂费、培训费等 支出；公务用车购置及运行费反映单位公务用车购置费及租 用费、燃料费、维修费、过路过桥费、保险费、安全奖励费 用等支出；公务接待费反映单位按规定开支的各类公务接待</w:t>
      </w:r>
    </w:p>
    <w:p>
      <w:pPr>
        <w:jc w:val="left"/>
        <w:rPr>
          <w:rFonts w:ascii="仿宋" w:hAnsi="仿宋" w:eastAsia="仿宋" w:cs="仿宋"/>
          <w:sz w:val="32"/>
        </w:rPr>
      </w:pPr>
      <w:r>
        <w:rPr>
          <w:rFonts w:hint="eastAsia" w:ascii="仿宋" w:hAnsi="仿宋" w:eastAsia="仿宋" w:cs="仿宋"/>
          <w:sz w:val="32"/>
        </w:rPr>
        <w:t>（含外宾接待）支出。</w:t>
      </w:r>
    </w:p>
    <w:p>
      <w:pPr>
        <w:numPr>
          <w:ilvl w:val="0"/>
          <w:numId w:val="6"/>
        </w:numPr>
        <w:ind w:firstLine="640" w:firstLineChars="200"/>
        <w:jc w:val="left"/>
        <w:rPr>
          <w:rFonts w:ascii="仿宋" w:hAnsi="仿宋" w:eastAsia="仿宋" w:cs="仿宋"/>
          <w:sz w:val="32"/>
        </w:rPr>
      </w:pPr>
      <w:r>
        <w:rPr>
          <w:rFonts w:hint="eastAsia" w:ascii="仿宋" w:hAnsi="仿宋" w:eastAsia="仿宋" w:cs="仿宋"/>
          <w:sz w:val="32"/>
        </w:rPr>
        <w:t>机关运行经费：是指为保障行政单位（含参照公务员法管理的事业单位）运行用于购买货物和服务的各项资 金，包括办公及印刷费、邮电费、差旅费、会议费、福利费、 日常维修费及一般设备购置费、办公用房水电费、办公用房 取暖费、办公用房物业管理费、公务用车运行维护费以及其 他费用。</w:t>
      </w:r>
    </w:p>
    <w:p>
      <w:pPr>
        <w:numPr>
          <w:ilvl w:val="0"/>
          <w:numId w:val="6"/>
        </w:numPr>
        <w:ind w:firstLine="620" w:firstLineChars="200"/>
        <w:jc w:val="left"/>
        <w:rPr>
          <w:rFonts w:ascii="仿宋" w:hAnsi="仿宋" w:eastAsia="仿宋" w:cs="仿宋"/>
          <w:sz w:val="32"/>
        </w:rPr>
      </w:pPr>
      <w:r>
        <w:rPr>
          <w:rFonts w:ascii="仿宋_GB2312" w:hAnsi="宋体" w:eastAsia="仿宋_GB2312" w:cs="仿宋_GB2312"/>
          <w:color w:val="000000"/>
          <w:sz w:val="31"/>
          <w:szCs w:val="31"/>
          <w:shd w:val="clear" w:color="auto" w:fill="FFFFFF"/>
        </w:rPr>
        <w:t>专项转移支付：</w:t>
      </w:r>
      <w:r>
        <w:rPr>
          <w:rFonts w:hint="eastAsia" w:ascii="仿宋_GB2312" w:hAnsi="宋体" w:eastAsia="仿宋_GB2312" w:cs="仿宋_GB2312"/>
          <w:color w:val="000000"/>
          <w:sz w:val="31"/>
          <w:szCs w:val="31"/>
          <w:shd w:val="clear" w:color="auto" w:fill="FFFFFF"/>
        </w:rPr>
        <w:t>是指上级政府(在我国一般指中央、省、市级政府)为实现特定的宏观政策目标，以及对委托下级政府代理的一些事务进行补偿而设立的专项补助资金。资金接受者需按规定用途使用资金。</w:t>
      </w:r>
    </w:p>
    <w:p>
      <w:pPr>
        <w:tabs>
          <w:tab w:val="left" w:pos="7506"/>
        </w:tabs>
        <w:ind w:firstLine="640" w:firstLineChars="200"/>
        <w:jc w:val="left"/>
        <w:rPr>
          <w:rFonts w:ascii="黑体" w:hAnsi="黑体" w:eastAsia="黑体" w:cs="黑体"/>
          <w:sz w:val="32"/>
        </w:rPr>
      </w:pPr>
      <w:r>
        <w:rPr>
          <w:rFonts w:hint="eastAsia" w:ascii="黑体" w:hAnsi="黑体" w:eastAsia="黑体" w:cs="黑体"/>
          <w:sz w:val="32"/>
        </w:rPr>
        <w:t>附件：</w:t>
      </w:r>
      <w:r>
        <w:rPr>
          <w:rFonts w:hint="eastAsia" w:ascii="黑体" w:hAnsi="黑体" w:eastAsia="黑体" w:cs="黑体"/>
          <w:sz w:val="32"/>
          <w:lang w:eastAsia="zh-CN"/>
        </w:rPr>
        <w:t>淮滨县第一幼儿园</w:t>
      </w:r>
      <w:r>
        <w:rPr>
          <w:rFonts w:hint="eastAsia" w:ascii="黑体" w:hAnsi="黑体" w:eastAsia="黑体" w:cs="黑体"/>
          <w:sz w:val="32"/>
        </w:rPr>
        <w:t>202</w:t>
      </w:r>
      <w:r>
        <w:rPr>
          <w:rFonts w:hint="eastAsia" w:ascii="黑体" w:hAnsi="黑体" w:eastAsia="黑体" w:cs="黑体"/>
          <w:sz w:val="32"/>
          <w:lang w:val="en-US" w:eastAsia="zh-CN"/>
        </w:rPr>
        <w:t>3</w:t>
      </w:r>
      <w:r>
        <w:rPr>
          <w:rFonts w:hint="eastAsia" w:ascii="黑体" w:hAnsi="黑体" w:eastAsia="黑体" w:cs="黑体"/>
          <w:sz w:val="32"/>
        </w:rPr>
        <w:t>年部门预算表</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仿宋_GB2312">
    <w:altName w:val="仿宋"/>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C8B0532"/>
    <w:multiLevelType w:val="singleLevel"/>
    <w:tmpl w:val="CC8B0532"/>
    <w:lvl w:ilvl="0" w:tentative="0">
      <w:start w:val="1"/>
      <w:numFmt w:val="chineseCounting"/>
      <w:suff w:val="space"/>
      <w:lvlText w:val="第%1部分"/>
      <w:lvlJc w:val="left"/>
      <w:rPr>
        <w:rFonts w:hint="eastAsia"/>
      </w:rPr>
    </w:lvl>
  </w:abstractNum>
  <w:abstractNum w:abstractNumId="1">
    <w:nsid w:val="DECAE212"/>
    <w:multiLevelType w:val="singleLevel"/>
    <w:tmpl w:val="DECAE212"/>
    <w:lvl w:ilvl="0" w:tentative="0">
      <w:start w:val="1"/>
      <w:numFmt w:val="chineseCounting"/>
      <w:suff w:val="nothing"/>
      <w:lvlText w:val="%1、"/>
      <w:lvlJc w:val="left"/>
      <w:pPr>
        <w:ind w:left="-10"/>
      </w:pPr>
      <w:rPr>
        <w:rFonts w:hint="eastAsia"/>
      </w:rPr>
    </w:lvl>
  </w:abstractNum>
  <w:abstractNum w:abstractNumId="2">
    <w:nsid w:val="E1D7C83E"/>
    <w:multiLevelType w:val="singleLevel"/>
    <w:tmpl w:val="E1D7C83E"/>
    <w:lvl w:ilvl="0" w:tentative="0">
      <w:start w:val="1"/>
      <w:numFmt w:val="chineseCounting"/>
      <w:suff w:val="nothing"/>
      <w:lvlText w:val="%1、"/>
      <w:lvlJc w:val="left"/>
      <w:rPr>
        <w:rFonts w:hint="eastAsia" w:ascii="仿宋" w:hAnsi="仿宋" w:eastAsia="仿宋" w:cs="仿宋"/>
        <w:b w:val="0"/>
        <w:bCs w:val="0"/>
        <w:sz w:val="32"/>
        <w:szCs w:val="32"/>
      </w:rPr>
    </w:lvl>
  </w:abstractNum>
  <w:abstractNum w:abstractNumId="3">
    <w:nsid w:val="1DBE515B"/>
    <w:multiLevelType w:val="singleLevel"/>
    <w:tmpl w:val="1DBE515B"/>
    <w:lvl w:ilvl="0" w:tentative="0">
      <w:start w:val="1"/>
      <w:numFmt w:val="chineseCounting"/>
      <w:suff w:val="nothing"/>
      <w:lvlText w:val="%1、"/>
      <w:lvlJc w:val="left"/>
      <w:rPr>
        <w:rFonts w:hint="eastAsia"/>
      </w:rPr>
    </w:lvl>
  </w:abstractNum>
  <w:abstractNum w:abstractNumId="4">
    <w:nsid w:val="6EC1A300"/>
    <w:multiLevelType w:val="singleLevel"/>
    <w:tmpl w:val="6EC1A300"/>
    <w:lvl w:ilvl="0" w:tentative="0">
      <w:start w:val="1"/>
      <w:numFmt w:val="chineseCounting"/>
      <w:suff w:val="nothing"/>
      <w:lvlText w:val="%1、"/>
      <w:lvlJc w:val="left"/>
      <w:rPr>
        <w:rFonts w:hint="eastAsia"/>
      </w:rPr>
    </w:lvl>
  </w:abstractNum>
  <w:abstractNum w:abstractNumId="5">
    <w:nsid w:val="73A1052D"/>
    <w:multiLevelType w:val="singleLevel"/>
    <w:tmpl w:val="73A1052D"/>
    <w:lvl w:ilvl="0" w:tentative="0">
      <w:start w:val="3"/>
      <w:numFmt w:val="chineseCounting"/>
      <w:suff w:val="nothing"/>
      <w:lvlText w:val="（%1）"/>
      <w:lvlJc w:val="left"/>
      <w:rPr>
        <w:rFonts w:hint="eastAsia"/>
      </w:rPr>
    </w:lvl>
  </w:abstractNum>
  <w:num w:numId="1">
    <w:abstractNumId w:val="3"/>
  </w:num>
  <w:num w:numId="2">
    <w:abstractNumId w:val="0"/>
  </w:num>
  <w:num w:numId="3">
    <w:abstractNumId w:val="4"/>
  </w:num>
  <w:num w:numId="4">
    <w:abstractNumId w:val="1"/>
  </w:num>
  <w:num w:numId="5">
    <w:abstractNumId w:val="5"/>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dhZTE5YTJiN2MyYjVjNzJmNTIwZTBmZDU0NzgyNGEifQ=="/>
    <w:docVar w:name="KSO_WPS_MARK_KEY" w:val="1c95b384-0a60-4a28-8c2f-7eb0d8688faa"/>
  </w:docVars>
  <w:rsids>
    <w:rsidRoot w:val="3E5A6C85"/>
    <w:rsid w:val="00077C0D"/>
    <w:rsid w:val="000A6609"/>
    <w:rsid w:val="000D60B2"/>
    <w:rsid w:val="00143DF7"/>
    <w:rsid w:val="001742A7"/>
    <w:rsid w:val="00174CFC"/>
    <w:rsid w:val="001B17CE"/>
    <w:rsid w:val="001C1C18"/>
    <w:rsid w:val="001F4C06"/>
    <w:rsid w:val="00256527"/>
    <w:rsid w:val="00490CAA"/>
    <w:rsid w:val="004B7307"/>
    <w:rsid w:val="004C7D32"/>
    <w:rsid w:val="005128CE"/>
    <w:rsid w:val="005A553F"/>
    <w:rsid w:val="005A78FC"/>
    <w:rsid w:val="005C5D65"/>
    <w:rsid w:val="00647F85"/>
    <w:rsid w:val="006D14AB"/>
    <w:rsid w:val="0091161C"/>
    <w:rsid w:val="009238E3"/>
    <w:rsid w:val="00937FE5"/>
    <w:rsid w:val="009412CA"/>
    <w:rsid w:val="00997E16"/>
    <w:rsid w:val="00AA7872"/>
    <w:rsid w:val="00AD7827"/>
    <w:rsid w:val="00B44F53"/>
    <w:rsid w:val="00BD1004"/>
    <w:rsid w:val="00C40E6C"/>
    <w:rsid w:val="00C9610D"/>
    <w:rsid w:val="00CB1918"/>
    <w:rsid w:val="00CF0B03"/>
    <w:rsid w:val="00D1451C"/>
    <w:rsid w:val="00D67A39"/>
    <w:rsid w:val="00D84F17"/>
    <w:rsid w:val="00EA37A7"/>
    <w:rsid w:val="00FB5B8C"/>
    <w:rsid w:val="037B79F7"/>
    <w:rsid w:val="041D2A27"/>
    <w:rsid w:val="05377B18"/>
    <w:rsid w:val="06440A7A"/>
    <w:rsid w:val="071D4AEC"/>
    <w:rsid w:val="084542FA"/>
    <w:rsid w:val="0A6251B2"/>
    <w:rsid w:val="0AF83BF1"/>
    <w:rsid w:val="0D0F4ED6"/>
    <w:rsid w:val="0D513137"/>
    <w:rsid w:val="10602789"/>
    <w:rsid w:val="123258EF"/>
    <w:rsid w:val="12EF1A32"/>
    <w:rsid w:val="144A1E7D"/>
    <w:rsid w:val="15F07B94"/>
    <w:rsid w:val="173B6758"/>
    <w:rsid w:val="191C5F4B"/>
    <w:rsid w:val="1B351FAC"/>
    <w:rsid w:val="1B637AEF"/>
    <w:rsid w:val="1C8B464F"/>
    <w:rsid w:val="1CA53161"/>
    <w:rsid w:val="1D0460DA"/>
    <w:rsid w:val="1D2E3157"/>
    <w:rsid w:val="1F046865"/>
    <w:rsid w:val="1FE67D19"/>
    <w:rsid w:val="228003BD"/>
    <w:rsid w:val="228C104B"/>
    <w:rsid w:val="22CA1FC5"/>
    <w:rsid w:val="246B28E3"/>
    <w:rsid w:val="24DA1A42"/>
    <w:rsid w:val="274F7F6E"/>
    <w:rsid w:val="279A1B15"/>
    <w:rsid w:val="27A42993"/>
    <w:rsid w:val="28196722"/>
    <w:rsid w:val="28447CD2"/>
    <w:rsid w:val="2959414C"/>
    <w:rsid w:val="2AA67AA4"/>
    <w:rsid w:val="2AA8279A"/>
    <w:rsid w:val="2ACE5F14"/>
    <w:rsid w:val="2C081B10"/>
    <w:rsid w:val="2D4A0B6E"/>
    <w:rsid w:val="2F072B71"/>
    <w:rsid w:val="2F8530AA"/>
    <w:rsid w:val="32476D3D"/>
    <w:rsid w:val="326C12BA"/>
    <w:rsid w:val="33ED121E"/>
    <w:rsid w:val="3402116D"/>
    <w:rsid w:val="34030A42"/>
    <w:rsid w:val="34E010E6"/>
    <w:rsid w:val="358856A2"/>
    <w:rsid w:val="3699743B"/>
    <w:rsid w:val="38237904"/>
    <w:rsid w:val="3872263A"/>
    <w:rsid w:val="39D84127"/>
    <w:rsid w:val="3A2B0CF2"/>
    <w:rsid w:val="3A865F28"/>
    <w:rsid w:val="3C1F6635"/>
    <w:rsid w:val="3E5A6C85"/>
    <w:rsid w:val="419D0727"/>
    <w:rsid w:val="41FF59D4"/>
    <w:rsid w:val="43572B58"/>
    <w:rsid w:val="45554E75"/>
    <w:rsid w:val="456A4DC4"/>
    <w:rsid w:val="469D4D26"/>
    <w:rsid w:val="46D01A4F"/>
    <w:rsid w:val="483D40CA"/>
    <w:rsid w:val="48CD07C5"/>
    <w:rsid w:val="4B86222C"/>
    <w:rsid w:val="4BBC3BEF"/>
    <w:rsid w:val="4CC72AFC"/>
    <w:rsid w:val="4E10402F"/>
    <w:rsid w:val="519E1D35"/>
    <w:rsid w:val="52843E6B"/>
    <w:rsid w:val="56CE6835"/>
    <w:rsid w:val="56E7105D"/>
    <w:rsid w:val="591B6E99"/>
    <w:rsid w:val="600C1A1A"/>
    <w:rsid w:val="61F061FA"/>
    <w:rsid w:val="63514A76"/>
    <w:rsid w:val="63E675EE"/>
    <w:rsid w:val="647F6552"/>
    <w:rsid w:val="64BB489D"/>
    <w:rsid w:val="65921CF6"/>
    <w:rsid w:val="65DB5214"/>
    <w:rsid w:val="66A82BFF"/>
    <w:rsid w:val="67AE693B"/>
    <w:rsid w:val="67F105D6"/>
    <w:rsid w:val="69F65D89"/>
    <w:rsid w:val="6AAD2EDA"/>
    <w:rsid w:val="6C715A72"/>
    <w:rsid w:val="6E8E36C9"/>
    <w:rsid w:val="6EEF1D13"/>
    <w:rsid w:val="70A26769"/>
    <w:rsid w:val="71BD526D"/>
    <w:rsid w:val="71E053FD"/>
    <w:rsid w:val="746F63D8"/>
    <w:rsid w:val="747B790C"/>
    <w:rsid w:val="75A37A3E"/>
    <w:rsid w:val="75E31EA6"/>
    <w:rsid w:val="768A2321"/>
    <w:rsid w:val="76D0242A"/>
    <w:rsid w:val="791401EC"/>
    <w:rsid w:val="792702FB"/>
    <w:rsid w:val="7B6C0247"/>
    <w:rsid w:val="7EE527EB"/>
    <w:rsid w:val="7F5636E8"/>
    <w:rsid w:val="7F6C71A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1"/>
    <w:qFormat/>
    <w:uiPriority w:val="0"/>
    <w:pPr>
      <w:jc w:val="left"/>
    </w:pPr>
  </w:style>
  <w:style w:type="paragraph" w:styleId="3">
    <w:name w:val="Body Text"/>
    <w:basedOn w:val="1"/>
    <w:unhideWhenUsed/>
    <w:qFormat/>
    <w:uiPriority w:val="1"/>
    <w:pPr>
      <w:spacing w:before="140"/>
      <w:ind w:left="120"/>
    </w:pPr>
    <w:rPr>
      <w:rFonts w:hint="eastAsia" w:ascii="仿宋" w:hAnsi="仿宋" w:eastAsia="仿宋"/>
      <w:sz w:val="32"/>
    </w:rPr>
  </w:style>
  <w:style w:type="paragraph" w:styleId="4">
    <w:name w:val="Balloon Text"/>
    <w:basedOn w:val="1"/>
    <w:link w:val="13"/>
    <w:qFormat/>
    <w:uiPriority w:val="0"/>
    <w:rPr>
      <w:sz w:val="18"/>
      <w:szCs w:val="18"/>
    </w:rPr>
  </w:style>
  <w:style w:type="paragraph" w:styleId="5">
    <w:name w:val="Normal (Web)"/>
    <w:basedOn w:val="1"/>
    <w:qFormat/>
    <w:uiPriority w:val="0"/>
    <w:pPr>
      <w:spacing w:beforeAutospacing="1" w:afterAutospacing="1"/>
      <w:jc w:val="left"/>
    </w:pPr>
    <w:rPr>
      <w:rFonts w:cs="Times New Roman"/>
      <w:kern w:val="0"/>
      <w:sz w:val="24"/>
    </w:rPr>
  </w:style>
  <w:style w:type="paragraph" w:styleId="6">
    <w:name w:val="annotation subject"/>
    <w:basedOn w:val="2"/>
    <w:next w:val="2"/>
    <w:link w:val="12"/>
    <w:qFormat/>
    <w:uiPriority w:val="0"/>
    <w:rPr>
      <w:b/>
      <w:bCs/>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annotation reference"/>
    <w:basedOn w:val="9"/>
    <w:qFormat/>
    <w:uiPriority w:val="0"/>
    <w:rPr>
      <w:sz w:val="21"/>
      <w:szCs w:val="21"/>
    </w:rPr>
  </w:style>
  <w:style w:type="character" w:customStyle="1" w:styleId="11">
    <w:name w:val="批注文字 字符"/>
    <w:basedOn w:val="9"/>
    <w:link w:val="2"/>
    <w:qFormat/>
    <w:uiPriority w:val="0"/>
    <w:rPr>
      <w:rFonts w:asciiTheme="minorHAnsi" w:hAnsiTheme="minorHAnsi" w:eastAsiaTheme="minorEastAsia" w:cstheme="minorBidi"/>
      <w:kern w:val="2"/>
      <w:sz w:val="21"/>
      <w:szCs w:val="24"/>
    </w:rPr>
  </w:style>
  <w:style w:type="character" w:customStyle="1" w:styleId="12">
    <w:name w:val="批注主题 字符"/>
    <w:basedOn w:val="11"/>
    <w:link w:val="6"/>
    <w:qFormat/>
    <w:uiPriority w:val="0"/>
    <w:rPr>
      <w:rFonts w:asciiTheme="minorHAnsi" w:hAnsiTheme="minorHAnsi" w:eastAsiaTheme="minorEastAsia" w:cstheme="minorBidi"/>
      <w:b/>
      <w:bCs/>
      <w:kern w:val="2"/>
      <w:sz w:val="21"/>
      <w:szCs w:val="24"/>
    </w:rPr>
  </w:style>
  <w:style w:type="character" w:customStyle="1" w:styleId="13">
    <w:name w:val="批注框文本 字符"/>
    <w:basedOn w:val="9"/>
    <w:link w:val="4"/>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chart" Target="charts/chart6.xml"/><Relationship Id="rId8" Type="http://schemas.openxmlformats.org/officeDocument/2006/relationships/chart" Target="charts/chart5.xml"/><Relationship Id="rId7" Type="http://schemas.openxmlformats.org/officeDocument/2006/relationships/chart" Target="charts/chart4.xml"/><Relationship Id="rId6" Type="http://schemas.openxmlformats.org/officeDocument/2006/relationships/chart" Target="charts/chart3.xml"/><Relationship Id="rId5" Type="http://schemas.openxmlformats.org/officeDocument/2006/relationships/chart" Target="charts/chart2.xml"/><Relationship Id="rId4" Type="http://schemas.openxmlformats.org/officeDocument/2006/relationships/chart" Target="charts/chart1.xml"/><Relationship Id="rId3" Type="http://schemas.openxmlformats.org/officeDocument/2006/relationships/theme" Target="theme/theme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hart" Target="charts/chart7.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3" Type="http://schemas.microsoft.com/office/2011/relationships/chartColorStyle" Target="colors5.xml"/><Relationship Id="rId2" Type="http://schemas.microsoft.com/office/2011/relationships/chartStyle" Target="style5.xml"/><Relationship Id="rId1" Type="http://schemas.openxmlformats.org/officeDocument/2006/relationships/package" Target="../embeddings/Workbook7.xlsx"/></Relationships>
</file>

<file path=word/charts/_rels/chart2.xml.rels><?xml version="1.0" encoding="UTF-8" standalone="yes"?>
<Relationships xmlns="http://schemas.openxmlformats.org/package/2006/relationships"><Relationship Id="rId1" Type="http://schemas.openxmlformats.org/officeDocument/2006/relationships/package" Target="../embeddings/Workbook1.xlsx"/></Relationships>
</file>

<file path=word/charts/_rels/chart3.xml.rels><?xml version="1.0" encoding="UTF-8" standalone="yes"?>
<Relationships xmlns="http://schemas.openxmlformats.org/package/2006/relationships"><Relationship Id="rId1" Type="http://schemas.openxmlformats.org/officeDocument/2006/relationships/package" Target="../embeddings/Workbook2.xlsx"/></Relationships>
</file>

<file path=word/charts/_rels/chart4.xml.rels><?xml version="1.0" encoding="UTF-8" standalone="yes"?>
<Relationships xmlns="http://schemas.openxmlformats.org/package/2006/relationships"><Relationship Id="rId3" Type="http://schemas.microsoft.com/office/2011/relationships/chartColorStyle" Target="colors1.xml"/><Relationship Id="rId2" Type="http://schemas.microsoft.com/office/2011/relationships/chartStyle" Target="style1.xml"/><Relationship Id="rId1" Type="http://schemas.openxmlformats.org/officeDocument/2006/relationships/package" Target="../embeddings/Workbook3.xlsx"/></Relationships>
</file>

<file path=word/charts/_rels/chart5.xml.rels><?xml version="1.0" encoding="UTF-8" standalone="yes"?>
<Relationships xmlns="http://schemas.openxmlformats.org/package/2006/relationships"><Relationship Id="rId3" Type="http://schemas.microsoft.com/office/2011/relationships/chartColorStyle" Target="colors2.xml"/><Relationship Id="rId2" Type="http://schemas.microsoft.com/office/2011/relationships/chartStyle" Target="style2.xml"/><Relationship Id="rId1" Type="http://schemas.openxmlformats.org/officeDocument/2006/relationships/package" Target="../embeddings/Workbook4.xlsx"/></Relationships>
</file>

<file path=word/charts/_rels/chart6.xml.rels><?xml version="1.0" encoding="UTF-8" standalone="yes"?>
<Relationships xmlns="http://schemas.openxmlformats.org/package/2006/relationships"><Relationship Id="rId3" Type="http://schemas.microsoft.com/office/2011/relationships/chartColorStyle" Target="colors3.xml"/><Relationship Id="rId2" Type="http://schemas.microsoft.com/office/2011/relationships/chartStyle" Target="style3.xml"/><Relationship Id="rId1" Type="http://schemas.openxmlformats.org/officeDocument/2006/relationships/package" Target="../embeddings/Workbook5.xlsx"/></Relationships>
</file>

<file path=word/charts/_rels/chart7.xml.rels><?xml version="1.0" encoding="UTF-8" standalone="yes"?>
<Relationships xmlns="http://schemas.openxmlformats.org/package/2006/relationships"><Relationship Id="rId3" Type="http://schemas.microsoft.com/office/2011/relationships/chartColorStyle" Target="colors4.xml"/><Relationship Id="rId2" Type="http://schemas.microsoft.com/office/2011/relationships/chartStyle" Target="style4.xml"/><Relationship Id="rId1" Type="http://schemas.openxmlformats.org/officeDocument/2006/relationships/package" Target="../embeddings/Workbook6.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lgn="l">
              <a:defRPr lang="zh-CN" sz="1400" b="1" i="0" u="none" strike="noStrike" kern="1200" spc="0" baseline="0">
                <a:solidFill>
                  <a:schemeClr val="tx1">
                    <a:lumMod val="65000"/>
                    <a:lumOff val="35000"/>
                  </a:schemeClr>
                </a:solidFill>
                <a:latin typeface="+mj-ea"/>
                <a:ea typeface="+mj-ea"/>
                <a:cs typeface="+mn-cs"/>
              </a:defRPr>
            </a:pPr>
            <a:r>
              <a:rPr lang="zh-CN" altLang="en-US" b="1">
                <a:latin typeface="+mj-ea"/>
                <a:ea typeface="+mj-ea"/>
              </a:rPr>
              <a:t>收支预算总体情况</a:t>
            </a:r>
            <a:endParaRPr lang="zh-CN" altLang="en-US" b="1">
              <a:latin typeface="+mj-ea"/>
              <a:ea typeface="+mj-ea"/>
            </a:endParaRPr>
          </a:p>
        </c:rich>
      </c:tx>
      <c:layout>
        <c:manualLayout>
          <c:xMode val="edge"/>
          <c:yMode val="edge"/>
          <c:x val="0.330989646039008"/>
          <c:y val="0.0247678018575851"/>
        </c:manualLayout>
      </c:layout>
      <c:overlay val="0"/>
      <c:spPr>
        <a:noFill/>
        <a:ln>
          <a:noFill/>
        </a:ln>
        <a:effectLst/>
      </c:spPr>
    </c:title>
    <c:autoTitleDeleted val="0"/>
    <c:plotArea>
      <c:layout/>
      <c:barChart>
        <c:barDir val="col"/>
        <c:grouping val="clustered"/>
        <c:varyColors val="0"/>
        <c:ser>
          <c:idx val="0"/>
          <c:order val="0"/>
          <c:tx>
            <c:strRef>
              <c:f>'2022年部门收支预算表'!$B$1</c:f>
              <c:strCache>
                <c:ptCount val="1"/>
                <c:pt idx="0">
                  <c:v>收入</c:v>
                </c:pt>
              </c:strCache>
            </c:strRef>
          </c:tx>
          <c:spPr>
            <a:solidFill>
              <a:schemeClr val="accent1"/>
            </a:solidFill>
            <a:ln>
              <a:noFill/>
            </a:ln>
            <a:effectLst/>
          </c:spPr>
          <c:invertIfNegative val="0"/>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'2022年部门收支预算表'!$A$2:$A$3</c:f>
              <c:strCache>
                <c:ptCount val="2"/>
                <c:pt idx="0">
                  <c:v>2022年</c:v>
                </c:pt>
                <c:pt idx="1">
                  <c:v>2023年</c:v>
                </c:pt>
              </c:strCache>
            </c:strRef>
          </c:cat>
          <c:val>
            <c:numRef>
              <c:f>'2022年部门收支预算表'!$B$2:$B$3</c:f>
              <c:numCache>
                <c:formatCode>General</c:formatCode>
                <c:ptCount val="2"/>
                <c:pt idx="0">
                  <c:v>1053.35</c:v>
                </c:pt>
                <c:pt idx="1">
                  <c:v>471.8</c:v>
                </c:pt>
              </c:numCache>
            </c:numRef>
          </c:val>
        </c:ser>
        <c:ser>
          <c:idx val="1"/>
          <c:order val="1"/>
          <c:tx>
            <c:strRef>
              <c:f>'2022年部门收支预算表'!$C$1</c:f>
              <c:strCache>
                <c:ptCount val="1"/>
                <c:pt idx="0">
                  <c:v>支出</c:v>
                </c:pt>
              </c:strCache>
            </c:strRef>
          </c:tx>
          <c:spPr>
            <a:solidFill>
              <a:schemeClr val="accent2"/>
            </a:solidFill>
            <a:ln>
              <a:noFill/>
            </a:ln>
            <a:effectLst/>
          </c:spPr>
          <c:invertIfNegative val="0"/>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'2022年部门收支预算表'!$A$2:$A$3</c:f>
              <c:strCache>
                <c:ptCount val="2"/>
                <c:pt idx="0">
                  <c:v>2022年</c:v>
                </c:pt>
                <c:pt idx="1">
                  <c:v>2023年</c:v>
                </c:pt>
              </c:strCache>
            </c:strRef>
          </c:cat>
          <c:val>
            <c:numRef>
              <c:f>'2022年部门收支预算表'!$C$2:$C$3</c:f>
              <c:numCache>
                <c:formatCode>General</c:formatCode>
                <c:ptCount val="2"/>
                <c:pt idx="0">
                  <c:v>1053.35</c:v>
                </c:pt>
                <c:pt idx="1">
                  <c:v>471.8</c:v>
                </c:pt>
              </c:numCache>
            </c:numRef>
          </c:val>
        </c:ser>
        <c:dLbls>
          <c:showLegendKey val="0"/>
          <c:showVal val="1"/>
          <c:showCatName val="0"/>
          <c:showSerName val="0"/>
          <c:showPercent val="0"/>
          <c:showBubbleSize val="0"/>
        </c:dLbls>
        <c:gapWidth val="182"/>
        <c:axId val="1007866207"/>
        <c:axId val="1007867039"/>
      </c:barChart>
      <c:catAx>
        <c:axId val="1007866207"/>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1007867039"/>
        <c:crosses val="autoZero"/>
        <c:auto val="1"/>
        <c:lblAlgn val="ctr"/>
        <c:lblOffset val="100"/>
        <c:noMultiLvlLbl val="0"/>
      </c:catAx>
      <c:valAx>
        <c:axId val="1007867039"/>
        <c:scaling>
          <c:orientation val="minMax"/>
          <c:min val="50"/>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1007866207"/>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lang="zh-CN" sz="1400" b="1" i="0" u="none" strike="noStrike" kern="1200" spc="0" baseline="0">
                <a:solidFill>
                  <a:schemeClr val="tx1">
                    <a:lumMod val="65000"/>
                    <a:lumOff val="35000"/>
                  </a:schemeClr>
                </a:solidFill>
                <a:latin typeface="+mn-lt"/>
                <a:ea typeface="+mn-ea"/>
                <a:cs typeface="+mn-cs"/>
              </a:defRPr>
            </a:pPr>
            <a:r>
              <a:rPr lang="zh-CN" altLang="en-US" b="1"/>
              <a:t>收入预算总体情况</a:t>
            </a:r>
            <a:endParaRPr lang="zh-CN" altLang="en-US" b="1"/>
          </a:p>
        </c:rich>
      </c:tx>
      <c:layout/>
      <c:overlay val="0"/>
      <c:spPr>
        <a:noFill/>
        <a:ln>
          <a:noFill/>
        </a:ln>
        <a:effectLst/>
      </c:spPr>
    </c:title>
    <c:autoTitleDeleted val="0"/>
    <c:plotArea>
      <c:layout/>
      <c:barChart>
        <c:barDir val="bar"/>
        <c:grouping val="clustered"/>
        <c:varyColors val="0"/>
        <c:ser>
          <c:idx val="0"/>
          <c:order val="0"/>
          <c:tx>
            <c:strRef>
              <c:f>Sheet1!$B$1</c:f>
              <c:strCache>
                <c:ptCount val="1"/>
                <c:pt idx="0">
                  <c:v>收入预算</c:v>
                </c:pt>
              </c:strCache>
            </c:strRef>
          </c:tx>
          <c:invertIfNegative val="0"/>
          <c:dPt>
            <c:idx val="0"/>
            <c:invertIfNegative val="0"/>
            <c:bubble3D val="0"/>
            <c:spPr>
              <a:solidFill>
                <a:schemeClr val="accent1"/>
              </a:solidFill>
              <a:ln w="19050">
                <a:solidFill>
                  <a:schemeClr val="lt1"/>
                </a:solidFill>
              </a:ln>
              <a:effectLst/>
            </c:spPr>
          </c:dPt>
          <c:dPt>
            <c:idx val="1"/>
            <c:invertIfNegative val="0"/>
            <c:bubble3D val="0"/>
            <c:spPr>
              <a:solidFill>
                <a:schemeClr val="accent2"/>
              </a:solidFill>
              <a:ln w="19050">
                <a:solidFill>
                  <a:schemeClr val="lt1"/>
                </a:solidFill>
              </a:ln>
              <a:effectLst/>
            </c:spPr>
          </c:dPt>
          <c:dPt>
            <c:idx val="2"/>
            <c:invertIfNegative val="0"/>
            <c:bubble3D val="0"/>
            <c:spPr>
              <a:solidFill>
                <a:schemeClr val="accent3"/>
              </a:solidFill>
              <a:ln w="19050">
                <a:solidFill>
                  <a:schemeClr val="lt1"/>
                </a:solidFill>
              </a:ln>
              <a:effectLst/>
            </c:spPr>
          </c:dPt>
          <c:dPt>
            <c:idx val="3"/>
            <c:invertIfNegative val="0"/>
            <c:bubble3D val="0"/>
            <c:spPr>
              <a:solidFill>
                <a:schemeClr val="accent4"/>
              </a:solidFill>
              <a:ln w="19050">
                <a:solidFill>
                  <a:schemeClr val="lt1"/>
                </a:solidFill>
              </a:ln>
              <a:effectLst/>
            </c:spPr>
          </c:dPt>
          <c:dPt>
            <c:idx val="4"/>
            <c:invertIfNegative val="0"/>
            <c:bubble3D val="0"/>
            <c:spPr>
              <a:solidFill>
                <a:schemeClr val="accent5"/>
              </a:solidFill>
              <a:ln w="19050">
                <a:solidFill>
                  <a:schemeClr val="lt1"/>
                </a:solidFill>
              </a:ln>
              <a:effectLst/>
            </c:spPr>
          </c:dPt>
          <c:dPt>
            <c:idx val="5"/>
            <c:invertIfNegative val="0"/>
            <c:bubble3D val="0"/>
            <c:spPr>
              <a:solidFill>
                <a:schemeClr val="accent6"/>
              </a:solidFill>
              <a:ln w="19050">
                <a:solidFill>
                  <a:schemeClr val="lt1"/>
                </a:solidFill>
              </a:ln>
              <a:effectLst/>
            </c:spPr>
          </c:dPt>
          <c:dPt>
            <c:idx val="6"/>
            <c:invertIfNegative val="0"/>
            <c:bubble3D val="0"/>
            <c:spPr>
              <a:solidFill>
                <a:schemeClr val="accent1">
                  <a:lumMod val="60000"/>
                </a:schemeClr>
              </a:solidFill>
              <a:ln w="19050">
                <a:solidFill>
                  <a:schemeClr val="lt1"/>
                </a:solidFill>
              </a:ln>
              <a:effectLst/>
            </c:spPr>
          </c:dPt>
          <c:dPt>
            <c:idx val="7"/>
            <c:invertIfNegative val="0"/>
            <c:bubble3D val="0"/>
            <c:spPr>
              <a:solidFill>
                <a:schemeClr val="accent2">
                  <a:lumMod val="60000"/>
                </a:schemeClr>
              </a:solidFill>
              <a:ln w="19050">
                <a:solidFill>
                  <a:schemeClr val="lt1"/>
                </a:solidFill>
              </a:ln>
              <a:effectLst/>
            </c:spPr>
          </c:dPt>
          <c:dPt>
            <c:idx val="8"/>
            <c:invertIfNegative val="0"/>
            <c:bubble3D val="0"/>
            <c:spPr>
              <a:solidFill>
                <a:schemeClr val="accent3">
                  <a:lumMod val="60000"/>
                </a:schemeClr>
              </a:solidFill>
              <a:ln w="19050">
                <a:solidFill>
                  <a:schemeClr val="lt1"/>
                </a:solidFill>
              </a:ln>
              <a:effectLst/>
            </c:spPr>
          </c:dPt>
          <c:dPt>
            <c:idx val="9"/>
            <c:invertIfNegative val="0"/>
            <c:bubble3D val="0"/>
            <c:spPr>
              <a:solidFill>
                <a:schemeClr val="accent4">
                  <a:lumMod val="60000"/>
                </a:schemeClr>
              </a:solidFill>
              <a:ln w="19050">
                <a:solidFill>
                  <a:schemeClr val="lt1"/>
                </a:solidFill>
              </a:ln>
              <a:effectLst/>
            </c:spPr>
          </c:dPt>
          <c:dLbls>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ext>
            </c:extLst>
          </c:dLbls>
          <c:cat>
            <c:strRef>
              <c:f>Sheet1!$A$2:$A$11</c:f>
              <c:strCache>
                <c:ptCount val="10"/>
                <c:pt idx="0">
                  <c:v>一般公共预算收入</c:v>
                </c:pt>
                <c:pt idx="1">
                  <c:v>政府性基金收入</c:v>
                </c:pt>
                <c:pt idx="2">
                  <c:v>国有资本经营收入</c:v>
                </c:pt>
                <c:pt idx="3">
                  <c:v>财政专户管理资金收入</c:v>
                </c:pt>
                <c:pt idx="4">
                  <c:v>事业收入</c:v>
                </c:pt>
                <c:pt idx="5">
                  <c:v>事业单位经营收入</c:v>
                </c:pt>
                <c:pt idx="6">
                  <c:v>上级补助收入</c:v>
                </c:pt>
                <c:pt idx="7">
                  <c:v>附属单位上缴收入</c:v>
                </c:pt>
                <c:pt idx="8">
                  <c:v>其他收入</c:v>
                </c:pt>
                <c:pt idx="9">
                  <c:v>上年结转结余</c:v>
                </c:pt>
              </c:strCache>
            </c:strRef>
          </c:cat>
          <c:val>
            <c:numRef>
              <c:f>Sheet1!$B$2:$B$11</c:f>
              <c:numCache>
                <c:formatCode>General</c:formatCode>
                <c:ptCount val="10"/>
                <c:pt idx="0">
                  <c:v>471.8</c:v>
                </c:pt>
              </c:numCache>
            </c:numRef>
          </c:val>
        </c:ser>
        <c:dLbls>
          <c:showLegendKey val="0"/>
          <c:showVal val="0"/>
          <c:showCatName val="0"/>
          <c:showSerName val="0"/>
          <c:showPercent val="0"/>
          <c:showBubbleSize val="0"/>
        </c:dLbls>
        <c:gapWidth val="100"/>
        <c:axId val="2127909856"/>
        <c:axId val="2127920256"/>
      </c:barChart>
      <c:catAx>
        <c:axId val="2127909856"/>
        <c:scaling>
          <c:orientation val="minMax"/>
        </c:scaling>
        <c:delete val="0"/>
        <c:axPos val="l"/>
        <c:numFmt formatCode="General" sourceLinked="1"/>
        <c:majorTickMark val="out"/>
        <c:minorTickMark val="none"/>
        <c:tickLblPos val="nextTo"/>
        <c:txPr>
          <a:bodyPr rot="-6000000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crossAx val="2127920256"/>
        <c:crosses val="autoZero"/>
        <c:auto val="1"/>
        <c:lblAlgn val="ctr"/>
        <c:lblOffset val="100"/>
        <c:noMultiLvlLbl val="0"/>
      </c:catAx>
      <c:valAx>
        <c:axId val="2127920256"/>
        <c:scaling>
          <c:orientation val="minMax"/>
        </c:scaling>
        <c:delete val="0"/>
        <c:axPos val="b"/>
        <c:majorGridlines/>
        <c:numFmt formatCode="General" sourceLinked="1"/>
        <c:majorTickMark val="out"/>
        <c:minorTickMark val="none"/>
        <c:tickLblPos val="nextTo"/>
        <c:txPr>
          <a:bodyPr rot="-6000000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crossAx val="2127909856"/>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prstDash val="solid"/>
      <a:round/>
    </a:ln>
    <a:effectLst/>
  </c:spPr>
  <c:txPr>
    <a:bodyPr/>
    <a:lstStyle/>
    <a:p>
      <a:pPr>
        <a:defRPr lang="zh-CN"/>
      </a:pPr>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lang="zh-CN" sz="1400" b="1" i="0" u="none" strike="noStrike" kern="1200" spc="0" baseline="0">
                <a:solidFill>
                  <a:schemeClr val="tx1">
                    <a:lumMod val="65000"/>
                    <a:lumOff val="35000"/>
                  </a:schemeClr>
                </a:solidFill>
                <a:latin typeface="+mn-lt"/>
                <a:ea typeface="+mn-ea"/>
                <a:cs typeface="+mn-cs"/>
              </a:defRPr>
            </a:pPr>
            <a:r>
              <a:rPr lang="zh-CN" altLang="en-US" b="1"/>
              <a:t>支出预算总体情况</a:t>
            </a:r>
            <a:endParaRPr lang="zh-CN" altLang="en-US" b="1"/>
          </a:p>
        </c:rich>
      </c:tx>
      <c:layout/>
      <c:overlay val="0"/>
      <c:spPr>
        <a:noFill/>
        <a:ln>
          <a:noFill/>
        </a:ln>
        <a:effectLst/>
      </c:spPr>
    </c:title>
    <c:autoTitleDeleted val="0"/>
    <c:plotArea>
      <c:layout/>
      <c:pieChart>
        <c:varyColors val="1"/>
        <c:ser>
          <c:idx val="0"/>
          <c:order val="0"/>
          <c:tx>
            <c:strRef>
              <c:f>Sheet1!$B$1</c:f>
              <c:strCache>
                <c:ptCount val="1"/>
                <c:pt idx="0">
                  <c:v>支出预算</c:v>
                </c:pt>
              </c:strCache>
            </c:strRef>
          </c:tx>
          <c:explosion val="0"/>
          <c:dPt>
            <c:idx val="0"/>
            <c:bubble3D val="0"/>
            <c:spPr>
              <a:solidFill>
                <a:schemeClr val="accent1"/>
              </a:solidFill>
              <a:ln w="19050">
                <a:solidFill>
                  <a:schemeClr val="lt1"/>
                </a:solidFill>
              </a:ln>
              <a:effectLst/>
            </c:spPr>
          </c:dPt>
          <c:dPt>
            <c:idx val="1"/>
            <c:bubble3D val="0"/>
            <c:spPr>
              <a:solidFill>
                <a:schemeClr val="accent2"/>
              </a:solidFill>
              <a:ln w="19050">
                <a:solidFill>
                  <a:schemeClr val="lt1"/>
                </a:solidFill>
              </a:ln>
              <a:effectLst/>
            </c:spPr>
          </c:dPt>
          <c:dLbls>
            <c:numFmt formatCode="0.00%" sourceLinked="0"/>
            <c:spPr>
              <a:solidFill>
                <a:sysClr val="window" lastClr="FFFFFF"/>
              </a:solidFill>
              <a:ln>
                <a:solidFill>
                  <a:sysClr val="windowText" lastClr="000000">
                    <a:lumMod val="65000"/>
                    <a:lumOff val="35000"/>
                  </a:sysClr>
                </a:solid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p>
            </c:txPr>
            <c:dLblPos val="outEnd"/>
            <c:showLegendKey val="0"/>
            <c:showVal val="0"/>
            <c:showCatName val="1"/>
            <c:showSerName val="0"/>
            <c:showPercent val="1"/>
            <c:showBubbleSize val="0"/>
            <c:showLeaderLines val="0"/>
            <c:extLst>
              <c:ext xmlns:c15="http://schemas.microsoft.com/office/drawing/2012/chart" uri="{CE6537A1-D6FC-4f65-9D91-7224C49458BB}">
                <c15:spPr xmlns:c15="http://schemas.microsoft.com/office/drawing/2012/chart">
                  <a:prstGeom prst="wedgeRectCallout">
                    <a:avLst/>
                  </a:prstGeom>
                  <a:noFill/>
                  <a:ln>
                    <a:noFill/>
                  </a:ln>
                </c15:spPr>
                <c15:layout/>
                <c15:showLeaderLines val="0"/>
                <c15:leaderLines/>
              </c:ext>
            </c:extLst>
          </c:dLbls>
          <c:cat>
            <c:strRef>
              <c:f>Sheet1!$A$2:$A$3</c:f>
              <c:strCache>
                <c:ptCount val="2"/>
                <c:pt idx="0">
                  <c:v>基本支出</c:v>
                </c:pt>
                <c:pt idx="1">
                  <c:v>项目支出</c:v>
                </c:pt>
              </c:strCache>
            </c:strRef>
          </c:cat>
          <c:val>
            <c:numRef>
              <c:f>Sheet1!$B$2:$B$3</c:f>
              <c:numCache>
                <c:formatCode>General</c:formatCode>
                <c:ptCount val="2"/>
                <c:pt idx="0">
                  <c:v>393.8</c:v>
                </c:pt>
                <c:pt idx="1">
                  <c:v>78</c:v>
                </c:pt>
              </c:numCache>
            </c:numRef>
          </c:val>
        </c:ser>
        <c:dLbls>
          <c:showLegendKey val="0"/>
          <c:showVal val="0"/>
          <c:showCatName val="0"/>
          <c:showSerName val="0"/>
          <c:showPercent val="0"/>
          <c:showBubbleSize val="0"/>
          <c:showLeaderLines val="0"/>
        </c:dLbls>
        <c:firstSliceAng val="0"/>
      </c:pieChart>
      <c:spPr>
        <a:noFill/>
        <a:ln>
          <a:noFill/>
        </a:ln>
        <a:effectLst/>
      </c:spPr>
    </c:plotArea>
    <c:legend>
      <c:legendPos val="b"/>
      <c:layout/>
      <c:overlay val="0"/>
      <c:spPr>
        <a:noFill/>
        <a:ln>
          <a:noFill/>
        </a:ln>
        <a:effectLst/>
      </c:spPr>
      <c:txPr>
        <a:bodyPr rot="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prstDash val="solid"/>
      <a:round/>
    </a:ln>
    <a:effectLst/>
  </c:spPr>
  <c:txPr>
    <a:bodyPr/>
    <a:lstStyle/>
    <a:p>
      <a:pPr>
        <a:defRPr lang="zh-CN"/>
      </a:pPr>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lgn="ctr">
              <a:defRPr lang="zh-CN" sz="1400" b="1" i="0" u="none" strike="noStrike" kern="1200" spc="0" baseline="0">
                <a:solidFill>
                  <a:schemeClr val="tx1">
                    <a:lumMod val="65000"/>
                    <a:lumOff val="35000"/>
                  </a:schemeClr>
                </a:solidFill>
                <a:latin typeface="+mj-ea"/>
                <a:ea typeface="+mj-ea"/>
                <a:cs typeface="+mn-cs"/>
              </a:defRPr>
            </a:pPr>
            <a:r>
              <a:rPr lang="zh-CN" altLang="en-US" b="1">
                <a:latin typeface="+mj-ea"/>
                <a:ea typeface="+mj-ea"/>
              </a:rPr>
              <a:t>财政拨款收支预算总体情况</a:t>
            </a:r>
            <a:endParaRPr lang="zh-CN" altLang="en-US" b="1">
              <a:latin typeface="+mj-ea"/>
              <a:ea typeface="+mj-ea"/>
            </a:endParaRPr>
          </a:p>
        </c:rich>
      </c:tx>
      <c:layout>
        <c:manualLayout>
          <c:xMode val="edge"/>
          <c:yMode val="edge"/>
          <c:x val="0.330989646039008"/>
          <c:y val="0.0247678018575851"/>
        </c:manualLayout>
      </c:layout>
      <c:overlay val="0"/>
      <c:spPr>
        <a:noFill/>
        <a:ln>
          <a:noFill/>
        </a:ln>
        <a:effectLst/>
      </c:spPr>
    </c:title>
    <c:autoTitleDeleted val="0"/>
    <c:plotArea>
      <c:layout/>
      <c:barChart>
        <c:barDir val="col"/>
        <c:grouping val="clustered"/>
        <c:varyColors val="0"/>
        <c:ser>
          <c:idx val="0"/>
          <c:order val="0"/>
          <c:tx>
            <c:strRef>
              <c:f>'2022年部门收支预算表'!$B$1</c:f>
              <c:strCache>
                <c:ptCount val="1"/>
                <c:pt idx="0">
                  <c:v>收入</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lang="zh-CN" sz="900" b="0" i="0" u="none" strike="noStrike" kern="1200" baseline="0">
                    <a:solidFill>
                      <a:schemeClr val="tx1">
                        <a:lumMod val="75000"/>
                        <a:lumOff val="25000"/>
                      </a:schemeClr>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'2022年部门收支预算表'!$A$2:$A$3</c:f>
              <c:strCache>
                <c:ptCount val="2"/>
                <c:pt idx="0">
                  <c:v>2022年</c:v>
                </c:pt>
                <c:pt idx="1">
                  <c:v>2023年</c:v>
                </c:pt>
              </c:strCache>
            </c:strRef>
          </c:cat>
          <c:val>
            <c:numRef>
              <c:f>'2022年部门收支预算表'!$B$2:$B$3</c:f>
              <c:numCache>
                <c:formatCode>General</c:formatCode>
                <c:ptCount val="2"/>
                <c:pt idx="0">
                  <c:v>1053.35</c:v>
                </c:pt>
                <c:pt idx="1">
                  <c:v>393.8</c:v>
                </c:pt>
              </c:numCache>
            </c:numRef>
          </c:val>
        </c:ser>
        <c:ser>
          <c:idx val="1"/>
          <c:order val="1"/>
          <c:tx>
            <c:strRef>
              <c:f>'2022年部门收支预算表'!$C$1</c:f>
              <c:strCache>
                <c:ptCount val="1"/>
                <c:pt idx="0">
                  <c:v>支出</c:v>
                </c:pt>
              </c:strCache>
            </c:strRef>
          </c:tx>
          <c:spPr>
            <a:solidFill>
              <a:schemeClr val="accent2"/>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lang="zh-CN" sz="900" b="0" i="0" u="none" strike="noStrike" kern="1200" baseline="0">
                    <a:solidFill>
                      <a:schemeClr val="tx1">
                        <a:lumMod val="75000"/>
                        <a:lumOff val="25000"/>
                      </a:schemeClr>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'2022年部门收支预算表'!$A$2:$A$3</c:f>
              <c:strCache>
                <c:ptCount val="2"/>
                <c:pt idx="0">
                  <c:v>2022年</c:v>
                </c:pt>
                <c:pt idx="1">
                  <c:v>2023年</c:v>
                </c:pt>
              </c:strCache>
            </c:strRef>
          </c:cat>
          <c:val>
            <c:numRef>
              <c:f>'2022年部门收支预算表'!$C$2:$C$3</c:f>
              <c:numCache>
                <c:formatCode>General</c:formatCode>
                <c:ptCount val="2"/>
                <c:pt idx="0">
                  <c:v>1053.35</c:v>
                </c:pt>
                <c:pt idx="1">
                  <c:v>393.8</c:v>
                </c:pt>
              </c:numCache>
            </c:numRef>
          </c:val>
        </c:ser>
        <c:dLbls>
          <c:showLegendKey val="0"/>
          <c:showVal val="1"/>
          <c:showCatName val="0"/>
          <c:showSerName val="0"/>
          <c:showPercent val="0"/>
          <c:showBubbleSize val="0"/>
        </c:dLbls>
        <c:gapWidth val="182"/>
        <c:axId val="1007866207"/>
        <c:axId val="1007867039"/>
      </c:barChart>
      <c:catAx>
        <c:axId val="1007866207"/>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1007867039"/>
        <c:crosses val="autoZero"/>
        <c:auto val="1"/>
        <c:lblAlgn val="ctr"/>
        <c:lblOffset val="100"/>
        <c:noMultiLvlLbl val="0"/>
      </c:catAx>
      <c:valAx>
        <c:axId val="1007867039"/>
        <c:scaling>
          <c:orientation val="minMax"/>
          <c:min val="50"/>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1007866207"/>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defTabSz="914400">
              <a:defRPr lang="zh-CN" sz="1400" b="1" i="0" u="none" strike="noStrike" kern="1200" spc="0" baseline="0">
                <a:solidFill>
                  <a:schemeClr val="tx1">
                    <a:lumMod val="65000"/>
                    <a:lumOff val="35000"/>
                  </a:schemeClr>
                </a:solidFill>
                <a:latin typeface="+mn-lt"/>
                <a:ea typeface="+mn-ea"/>
                <a:cs typeface="+mn-cs"/>
              </a:defRPr>
            </a:pPr>
            <a:r>
              <a:rPr lang="zh-CN" altLang="en-US" sz="1400"/>
              <a:t>一般公共预算支出预算情况</a:t>
            </a:r>
            <a:endParaRPr lang="zh-CN" altLang="en-US" sz="1400"/>
          </a:p>
        </c:rich>
      </c:tx>
      <c:layout/>
      <c:overlay val="0"/>
      <c:spPr>
        <a:noFill/>
        <a:ln>
          <a:noFill/>
        </a:ln>
        <a:effectLst/>
      </c:spPr>
    </c:title>
    <c:autoTitleDeleted val="0"/>
    <c:plotArea>
      <c:layout/>
      <c:pieChart>
        <c:varyColors val="1"/>
        <c:ser>
          <c:idx val="0"/>
          <c:order val="0"/>
          <c:tx>
            <c:strRef>
              <c:f>Sheet1!$B$1</c:f>
              <c:strCache>
                <c:ptCount val="1"/>
                <c:pt idx="0">
                  <c:v>列1</c:v>
                </c:pt>
              </c:strCache>
            </c:strRef>
          </c:tx>
          <c:spPr/>
          <c:explosion val="0"/>
          <c:dPt>
            <c:idx val="0"/>
            <c:bubble3D val="0"/>
            <c:spPr>
              <a:solidFill>
                <a:schemeClr val="accent1"/>
              </a:solidFill>
              <a:ln w="19050">
                <a:solidFill>
                  <a:schemeClr val="lt1"/>
                </a:solidFill>
              </a:ln>
              <a:effectLst/>
            </c:spPr>
          </c:dPt>
          <c:dPt>
            <c:idx val="1"/>
            <c:bubble3D val="0"/>
            <c:spPr>
              <a:solidFill>
                <a:schemeClr val="accent2"/>
              </a:solidFill>
              <a:ln w="19050">
                <a:solidFill>
                  <a:schemeClr val="lt1"/>
                </a:solidFill>
              </a:ln>
              <a:effectLst/>
            </c:spPr>
          </c:dPt>
          <c:dLbls>
            <c:numFmt formatCode="0.00%" sourceLinked="0"/>
            <c:spPr>
              <a:solidFill>
                <a:sysClr val="window" lastClr="FFFFFF"/>
              </a:solidFill>
              <a:ln>
                <a:solidFill>
                  <a:sysClr val="windowText" lastClr="000000">
                    <a:lumMod val="25000"/>
                    <a:lumOff val="75000"/>
                  </a:sysClr>
                </a:solidFill>
              </a:ln>
              <a:effectLst/>
            </c:spPr>
            <c:txPr>
              <a:bodyPr rot="0" spcFirstLastPara="1" vertOverflow="clip" horzOverflow="clip" vert="horz" wrap="square" lIns="38100" tIns="19050" rIns="38100" bIns="19050" anchor="ctr" anchorCtr="1">
                <a:spAutoFit/>
              </a:bodyPr>
              <a:lstStyle/>
              <a:p>
                <a:pPr>
                  <a:defRPr lang="zh-CN" sz="900" b="0" i="0" u="none" strike="noStrike" kern="1200" baseline="0">
                    <a:solidFill>
                      <a:schemeClr val="dk1">
                        <a:lumMod val="65000"/>
                        <a:lumOff val="35000"/>
                      </a:schemeClr>
                    </a:solidFill>
                    <a:latin typeface="+mn-lt"/>
                    <a:ea typeface="+mn-ea"/>
                    <a:cs typeface="+mn-cs"/>
                  </a:defRPr>
                </a:pPr>
              </a:p>
            </c:txPr>
            <c:dLblPos val="outEnd"/>
            <c:showLegendKey val="0"/>
            <c:showVal val="0"/>
            <c:showCatName val="1"/>
            <c:showSerName val="0"/>
            <c:showPercent val="1"/>
            <c:showBubbleSize val="0"/>
            <c:showLeaderLines val="0"/>
            <c:extLst>
              <c:ext xmlns:c15="http://schemas.microsoft.com/office/drawing/2012/chart" uri="{CE6537A1-D6FC-4f65-9D91-7224C49458BB}">
                <c15:spPr xmlns:c15="http://schemas.microsoft.com/office/drawing/2012/chart">
                  <a:prstGeom prst="wedgeRectCallout">
                    <a:avLst/>
                  </a:prstGeom>
                  <a:noFill/>
                  <a:ln>
                    <a:noFill/>
                  </a:ln>
                </c15:spPr>
                <c15:layout/>
                <c15:showLeaderLines val="0"/>
                <c15:leaderLines>
                  <c:spPr>
                    <a:ln w="9525" cap="flat" cmpd="sng" algn="ctr">
                      <a:solidFill>
                        <a:schemeClr val="tx1">
                          <a:lumMod val="35000"/>
                          <a:lumOff val="65000"/>
                        </a:schemeClr>
                      </a:solidFill>
                      <a:round/>
                    </a:ln>
                    <a:effectLst/>
                  </c:spPr>
                </c15:leaderLines>
              </c:ext>
            </c:extLst>
          </c:dLbls>
          <c:cat>
            <c:strRef>
              <c:f>Sheet1!$A$2:$A$3</c:f>
              <c:strCache>
                <c:ptCount val="2"/>
                <c:pt idx="0">
                  <c:v>基本支出</c:v>
                </c:pt>
                <c:pt idx="1">
                  <c:v>项目支出</c:v>
                </c:pt>
              </c:strCache>
            </c:strRef>
          </c:cat>
          <c:val>
            <c:numRef>
              <c:f>Sheet1!$B$2:$B$3</c:f>
              <c:numCache>
                <c:formatCode>General</c:formatCode>
                <c:ptCount val="2"/>
                <c:pt idx="0">
                  <c:v>393.8</c:v>
                </c:pt>
                <c:pt idx="1">
                  <c:v>78</c:v>
                </c:pt>
              </c:numCache>
            </c:numRef>
          </c:val>
        </c:ser>
        <c:dLbls>
          <c:showLegendKey val="0"/>
          <c:showVal val="0"/>
          <c:showCatName val="0"/>
          <c:showSerName val="0"/>
          <c:showPercent val="0"/>
          <c:showBubbleSize val="0"/>
          <c:showLeaderLines val="0"/>
        </c:dLbls>
        <c:firstSliceAng val="0"/>
      </c:pieChart>
      <c:spPr>
        <a:noFill/>
        <a:ln>
          <a:noFill/>
        </a:ln>
        <a:effectLst/>
      </c:spPr>
    </c:plotArea>
    <c:legend>
      <c:legendPos val="b"/>
      <c:layout/>
      <c:overlay val="0"/>
      <c:spPr>
        <a:noFill/>
        <a:ln>
          <a:noFill/>
        </a:ln>
        <a:effectLst/>
      </c:spPr>
      <c:txPr>
        <a:bodyPr rot="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lang="zh-CN" sz="1400" b="1" i="0" u="none" strike="noStrike" kern="1200" spc="0" baseline="0">
                <a:solidFill>
                  <a:schemeClr val="tx1">
                    <a:lumMod val="65000"/>
                    <a:lumOff val="35000"/>
                  </a:schemeClr>
                </a:solidFill>
                <a:latin typeface="+mn-lt"/>
                <a:ea typeface="+mn-ea"/>
                <a:cs typeface="+mn-cs"/>
              </a:defRPr>
            </a:pPr>
            <a:r>
              <a:rPr lang="zh-CN" altLang="en-US"/>
              <a:t>一般公共预算基本支出预算情况</a:t>
            </a:r>
            <a:endParaRPr lang="zh-CN" altLang="en-US"/>
          </a:p>
        </c:rich>
      </c:tx>
      <c:layout/>
      <c:overlay val="0"/>
      <c:spPr>
        <a:noFill/>
        <a:ln>
          <a:noFill/>
        </a:ln>
        <a:effectLst/>
      </c:spPr>
    </c:title>
    <c:autoTitleDeleted val="0"/>
    <c:plotArea>
      <c:layout>
        <c:manualLayout>
          <c:layoutTarget val="inner"/>
          <c:xMode val="edge"/>
          <c:yMode val="edge"/>
          <c:x val="0.322369371538647"/>
          <c:y val="0.194344685242518"/>
          <c:w val="0.361281001685529"/>
          <c:h val="0.619360165118679"/>
        </c:manualLayout>
      </c:layout>
      <c:pieChart>
        <c:varyColors val="1"/>
        <c:ser>
          <c:idx val="0"/>
          <c:order val="0"/>
          <c:tx>
            <c:strRef>
              <c:f>Sheet1!$B$1</c:f>
              <c:strCache>
                <c:ptCount val="1"/>
                <c:pt idx="0">
                  <c:v>一般公共预算支出预算情况</c:v>
                </c:pt>
              </c:strCache>
            </c:strRef>
          </c:tx>
          <c:spPr/>
          <c:explosion val="0"/>
          <c:dPt>
            <c:idx val="0"/>
            <c:bubble3D val="0"/>
            <c:spPr>
              <a:solidFill>
                <a:schemeClr val="accent1"/>
              </a:solidFill>
              <a:ln w="19050">
                <a:solidFill>
                  <a:schemeClr val="lt1"/>
                </a:solidFill>
              </a:ln>
              <a:effectLst/>
            </c:spPr>
          </c:dPt>
          <c:dPt>
            <c:idx val="1"/>
            <c:bubble3D val="0"/>
            <c:spPr>
              <a:solidFill>
                <a:schemeClr val="accent2"/>
              </a:solidFill>
              <a:ln w="19050">
                <a:solidFill>
                  <a:schemeClr val="lt1"/>
                </a:solidFill>
              </a:ln>
              <a:effectLst/>
            </c:spPr>
          </c:dPt>
          <c:dLbls>
            <c:numFmt formatCode="0.00%" sourceLinked="0"/>
            <c:spPr>
              <a:solidFill>
                <a:sysClr val="window" lastClr="FFFFFF"/>
              </a:solidFill>
              <a:ln>
                <a:solidFill>
                  <a:sysClr val="windowText" lastClr="000000">
                    <a:lumMod val="25000"/>
                    <a:lumOff val="75000"/>
                  </a:sysClr>
                </a:solidFill>
              </a:ln>
              <a:effectLst/>
            </c:spPr>
            <c:txPr>
              <a:bodyPr rot="0" spcFirstLastPara="1" vertOverflow="clip" horzOverflow="clip" vert="horz" wrap="square" lIns="38100" tIns="19050" rIns="38100" bIns="19050" anchor="ctr" anchorCtr="1">
                <a:spAutoFit/>
              </a:bodyPr>
              <a:lstStyle/>
              <a:p>
                <a:pPr>
                  <a:defRPr lang="zh-CN" sz="900" b="0" i="0" u="none" strike="noStrike" kern="1200" baseline="0">
                    <a:solidFill>
                      <a:schemeClr val="dk1">
                        <a:lumMod val="65000"/>
                        <a:lumOff val="35000"/>
                      </a:schemeClr>
                    </a:solidFill>
                    <a:latin typeface="+mn-lt"/>
                    <a:ea typeface="+mn-ea"/>
                    <a:cs typeface="+mn-cs"/>
                  </a:defRPr>
                </a:pPr>
              </a:p>
            </c:txPr>
            <c:dLblPos val="outEnd"/>
            <c:showLegendKey val="0"/>
            <c:showVal val="0"/>
            <c:showCatName val="1"/>
            <c:showSerName val="0"/>
            <c:showPercent val="1"/>
            <c:showBubbleSize val="0"/>
            <c:showLeaderLines val="0"/>
            <c:extLst>
              <c:ext xmlns:c15="http://schemas.microsoft.com/office/drawing/2012/chart" uri="{CE6537A1-D6FC-4f65-9D91-7224C49458BB}">
                <c15:spPr xmlns:c15="http://schemas.microsoft.com/office/drawing/2012/chart">
                  <a:prstGeom prst="wedgeRectCallout">
                    <a:avLst/>
                  </a:prstGeom>
                  <a:noFill/>
                  <a:ln>
                    <a:noFill/>
                  </a:ln>
                </c15:spPr>
                <c15:layout/>
                <c15:showLeaderLines val="0"/>
                <c15:leaderLines>
                  <c:spPr>
                    <a:ln w="9525" cap="flat" cmpd="sng" algn="ctr">
                      <a:solidFill>
                        <a:schemeClr val="tx1">
                          <a:lumMod val="35000"/>
                          <a:lumOff val="65000"/>
                        </a:schemeClr>
                      </a:solidFill>
                      <a:round/>
                    </a:ln>
                    <a:effectLst/>
                  </c:spPr>
                </c15:leaderLines>
              </c:ext>
            </c:extLst>
          </c:dLbls>
          <c:cat>
            <c:strRef>
              <c:f>Sheet1!$A$2:$A$3</c:f>
              <c:strCache>
                <c:ptCount val="2"/>
                <c:pt idx="0">
                  <c:v>人员经费</c:v>
                </c:pt>
                <c:pt idx="1">
                  <c:v>公用经费</c:v>
                </c:pt>
              </c:strCache>
            </c:strRef>
          </c:cat>
          <c:val>
            <c:numRef>
              <c:f>Sheet1!$B$2:$B$3</c:f>
              <c:numCache>
                <c:formatCode>General</c:formatCode>
                <c:ptCount val="2"/>
                <c:pt idx="0">
                  <c:v>382.56</c:v>
                </c:pt>
                <c:pt idx="1">
                  <c:v>11.25</c:v>
                </c:pt>
              </c:numCache>
            </c:numRef>
          </c:val>
        </c:ser>
        <c:dLbls>
          <c:showLegendKey val="0"/>
          <c:showVal val="0"/>
          <c:showCatName val="0"/>
          <c:showSerName val="0"/>
          <c:showPercent val="0"/>
          <c:showBubbleSize val="0"/>
          <c:showLeaderLines val="0"/>
        </c:dLbls>
        <c:firstSliceAng val="0"/>
      </c:pieChart>
      <c:spPr>
        <a:noFill/>
        <a:ln>
          <a:noFill/>
        </a:ln>
        <a:effectLst/>
      </c:spPr>
    </c:plotArea>
    <c:legend>
      <c:legendPos val="b"/>
      <c:layout/>
      <c:overlay val="0"/>
      <c:spPr>
        <a:noFill/>
        <a:ln>
          <a:noFill/>
        </a:ln>
        <a:effectLst/>
      </c:spPr>
      <c:txPr>
        <a:bodyPr rot="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lgn="l">
              <a:defRPr lang="zh-CN" sz="1400" b="0" i="0" u="none" strike="noStrike" kern="1200" spc="0" baseline="0">
                <a:solidFill>
                  <a:schemeClr val="tx1">
                    <a:lumMod val="65000"/>
                    <a:lumOff val="35000"/>
                  </a:schemeClr>
                </a:solidFill>
                <a:latin typeface="+mn-lt"/>
                <a:ea typeface="+mn-ea"/>
                <a:cs typeface="+mn-cs"/>
              </a:defRPr>
            </a:pPr>
            <a:r>
              <a:rPr lang="zh-CN" altLang="zh-CN" sz="1400" b="1" i="0" u="none" strike="noStrike" baseline="0">
                <a:effectLst/>
              </a:rPr>
              <a:t>一般公共预算“三公”经费支出预算情况</a:t>
            </a:r>
            <a:endParaRPr lang="zh-CN" altLang="en-US" sz="1400" b="1"/>
          </a:p>
        </c:rich>
      </c:tx>
      <c:layout>
        <c:manualLayout>
          <c:xMode val="edge"/>
          <c:yMode val="edge"/>
          <c:x val="0.188538405971587"/>
          <c:y val="0.0371517027863777"/>
        </c:manualLayout>
      </c:layout>
      <c:overlay val="0"/>
      <c:spPr>
        <a:noFill/>
        <a:ln>
          <a:noFill/>
        </a:ln>
        <a:effectLst/>
      </c:spPr>
    </c:title>
    <c:autoTitleDeleted val="0"/>
    <c:plotArea>
      <c:layout>
        <c:manualLayout>
          <c:layoutTarget val="inner"/>
          <c:xMode val="edge"/>
          <c:yMode val="edge"/>
          <c:x val="0.0992776306284614"/>
          <c:y val="0.154179566563467"/>
          <c:w val="0.876041415843968"/>
          <c:h val="0.649411764705882"/>
        </c:manualLayout>
      </c:layout>
      <c:barChart>
        <c:barDir val="bar"/>
        <c:grouping val="clustered"/>
        <c:varyColors val="0"/>
        <c:ser>
          <c:idx val="0"/>
          <c:order val="0"/>
          <c:tx>
            <c:strRef>
              <c:f>Sheet1!$B$1</c:f>
              <c:strCache>
                <c:ptCount val="1"/>
                <c:pt idx="0">
                  <c:v>因公出国（境）费用</c:v>
                </c:pt>
              </c:strCache>
            </c:strRef>
          </c:tx>
          <c:spPr>
            <a:solidFill>
              <a:schemeClr val="accent1"/>
            </a:solidFill>
            <a:ln>
              <a:noFill/>
            </a:ln>
            <a:effectLst/>
          </c:spPr>
          <c:invertIfNegative val="0"/>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Sheet1!$A$2:$A$3</c:f>
              <c:strCache>
                <c:ptCount val="2"/>
                <c:pt idx="0">
                  <c:v>2022年</c:v>
                </c:pt>
                <c:pt idx="1">
                  <c:v>2023年</c:v>
                </c:pt>
              </c:strCache>
            </c:strRef>
          </c:cat>
          <c:val>
            <c:numRef>
              <c:f>Sheet1!$B$2:$B$3</c:f>
              <c:numCache>
                <c:formatCode>General</c:formatCode>
                <c:ptCount val="2"/>
                <c:pt idx="0">
                  <c:v>0</c:v>
                </c:pt>
                <c:pt idx="1">
                  <c:v>0</c:v>
                </c:pt>
              </c:numCache>
            </c:numRef>
          </c:val>
        </c:ser>
        <c:ser>
          <c:idx val="1"/>
          <c:order val="1"/>
          <c:tx>
            <c:strRef>
              <c:f>Sheet1!$C$1</c:f>
              <c:strCache>
                <c:ptCount val="1"/>
                <c:pt idx="0">
                  <c:v>公务接待费</c:v>
                </c:pt>
              </c:strCache>
            </c:strRef>
          </c:tx>
          <c:spPr>
            <a:solidFill>
              <a:schemeClr val="accent2"/>
            </a:solidFill>
            <a:ln>
              <a:noFill/>
            </a:ln>
            <a:effectLst/>
          </c:spPr>
          <c:invertIfNegative val="0"/>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Sheet1!$A$2:$A$3</c:f>
              <c:strCache>
                <c:ptCount val="2"/>
                <c:pt idx="0">
                  <c:v>2022年</c:v>
                </c:pt>
                <c:pt idx="1">
                  <c:v>2023年</c:v>
                </c:pt>
              </c:strCache>
            </c:strRef>
          </c:cat>
          <c:val>
            <c:numRef>
              <c:f>Sheet1!$C$2:$C$3</c:f>
              <c:numCache>
                <c:formatCode>General</c:formatCode>
                <c:ptCount val="2"/>
                <c:pt idx="0">
                  <c:v>0</c:v>
                </c:pt>
                <c:pt idx="1">
                  <c:v>0</c:v>
                </c:pt>
              </c:numCache>
            </c:numRef>
          </c:val>
        </c:ser>
        <c:ser>
          <c:idx val="2"/>
          <c:order val="2"/>
          <c:tx>
            <c:strRef>
              <c:f>Sheet1!$D$1</c:f>
              <c:strCache>
                <c:ptCount val="1"/>
                <c:pt idx="0">
                  <c:v>公务用车购置及运行费</c:v>
                </c:pt>
              </c:strCache>
            </c:strRef>
          </c:tx>
          <c:spPr>
            <a:solidFill>
              <a:schemeClr val="accent3"/>
            </a:solidFill>
            <a:ln>
              <a:noFill/>
            </a:ln>
            <a:effectLst/>
          </c:spPr>
          <c:invertIfNegative val="0"/>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Sheet1!$A$2:$A$3</c:f>
              <c:strCache>
                <c:ptCount val="2"/>
                <c:pt idx="0">
                  <c:v>2022年</c:v>
                </c:pt>
                <c:pt idx="1">
                  <c:v>2023年</c:v>
                </c:pt>
              </c:strCache>
            </c:strRef>
          </c:cat>
          <c:val>
            <c:numRef>
              <c:f>Sheet1!$D$2:$D$3</c:f>
              <c:numCache>
                <c:formatCode>General</c:formatCode>
                <c:ptCount val="2"/>
                <c:pt idx="0">
                  <c:v>0</c:v>
                </c:pt>
                <c:pt idx="1">
                  <c:v>0</c:v>
                </c:pt>
              </c:numCache>
            </c:numRef>
          </c:val>
        </c:ser>
        <c:dLbls>
          <c:showLegendKey val="0"/>
          <c:showVal val="1"/>
          <c:showCatName val="0"/>
          <c:showSerName val="0"/>
          <c:showPercent val="0"/>
          <c:showBubbleSize val="0"/>
        </c:dLbls>
        <c:gapWidth val="219"/>
        <c:axId val="408582879"/>
        <c:axId val="408594943"/>
      </c:barChart>
      <c:catAx>
        <c:axId val="408582879"/>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408594943"/>
        <c:crosses val="autoZero"/>
        <c:auto val="1"/>
        <c:lblAlgn val="ctr"/>
        <c:lblOffset val="100"/>
        <c:noMultiLvlLbl val="0"/>
      </c:catAx>
      <c:valAx>
        <c:axId val="408594943"/>
        <c:scaling>
          <c:orientation val="minMax"/>
        </c:scaling>
        <c:delete val="0"/>
        <c:axPos val="b"/>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408582879"/>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5.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2722</Words>
  <Characters>2956</Characters>
  <Lines>20</Lines>
  <Paragraphs>5</Paragraphs>
  <TotalTime>2</TotalTime>
  <ScaleCrop>false</ScaleCrop>
  <LinksUpToDate>false</LinksUpToDate>
  <CharactersWithSpaces>2990</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2022-05-23T00:38:00Z</dcterms:created>
  <dc:creator>Administrator</dc:creator>
  <cp:lastModifiedBy>阿贝</cp:lastModifiedBy>
  <cp:lastPrinted>2023-02-22T07:28:00Z</cp:lastPrinted>
  <dcterms:modified xsi:type="dcterms:W3CDTF">2023-03-10T01:55:35Z</dcterms:modified>
  <cp:revision>26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2F606E965C3F47A2A23C8CF82E347772</vt:lpwstr>
  </property>
</Properties>
</file>