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2023年淮滨县第二幼儿园</w:t>
      </w:r>
      <w:r>
        <w:rPr>
          <w:rFonts w:hint="eastAsia" w:ascii="黑体" w:hAnsi="黑体" w:eastAsia="黑体" w:cs="黑体"/>
          <w:b/>
          <w:bCs/>
          <w:sz w:val="44"/>
          <w:szCs w:val="44"/>
        </w:rPr>
        <w:t>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lang w:val="en-US" w:eastAsia="zh-CN"/>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eastAsia="zh-CN"/>
        </w:rPr>
        <w:t>淮滨县第二幼儿园</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二、部门所属预算单位构成情况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w:t>
      </w:r>
      <w:r>
        <w:rPr>
          <w:rFonts w:hint="eastAsia" w:ascii="黑体" w:hAnsi="黑体" w:eastAsia="黑体" w:cs="Times New Roman"/>
          <w:spacing w:val="-5"/>
          <w:sz w:val="32"/>
          <w:szCs w:val="32"/>
          <w:lang w:eastAsia="zh-CN"/>
        </w:rPr>
        <w:t>淮滨县第二幼儿园</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w:t>
      </w:r>
      <w:r>
        <w:rPr>
          <w:rFonts w:hint="eastAsia" w:ascii="黑体" w:hAnsi="黑体" w:eastAsia="黑体" w:cs="Times New Roman"/>
          <w:sz w:val="32"/>
          <w:szCs w:val="32"/>
          <w:lang w:eastAsia="zh-CN"/>
        </w:rPr>
        <w:t>淮滨县第二幼儿园2023年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b/>
          <w:sz w:val="36"/>
          <w:szCs w:val="36"/>
          <w:lang w:eastAsia="zh-CN"/>
        </w:rPr>
        <w:t>淮滨县第二幼儿园</w:t>
      </w:r>
      <w:r>
        <w:rPr>
          <w:rFonts w:ascii="黑体" w:hAnsi="黑体" w:eastAsia="黑体" w:cs="黑体"/>
          <w:b/>
          <w:sz w:val="36"/>
          <w:szCs w:val="36"/>
        </w:rPr>
        <w:t>概况</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淮滨县第二幼儿园</w:t>
      </w:r>
      <w:r>
        <w:rPr>
          <w:rFonts w:ascii="黑体" w:hAnsi="黑体" w:eastAsia="黑体" w:cs="黑体"/>
          <w:bCs/>
          <w:szCs w:val="32"/>
        </w:rPr>
        <w:t>主要职责</w:t>
      </w:r>
    </w:p>
    <w:p>
      <w:pPr>
        <w:pStyle w:val="3"/>
        <w:numPr>
          <w:ilvl w:val="0"/>
          <w:numId w:val="4"/>
        </w:numPr>
        <w:tabs>
          <w:tab w:val="left" w:pos="880"/>
          <w:tab w:val="clear" w:pos="312"/>
        </w:tabs>
        <w:kinsoku w:val="0"/>
        <w:overflowPunct w:val="0"/>
        <w:spacing w:before="0"/>
        <w:ind w:left="0" w:leftChars="0" w:firstLine="640" w:firstLineChars="200"/>
        <w:jc w:val="left"/>
        <w:rPr>
          <w:rFonts w:hint="eastAsia" w:ascii="仿宋_GB2312" w:hAnsi="仿宋_GB2312" w:eastAsia="仿宋_GB2312" w:cs="仿宋_GB2312"/>
          <w:bCs/>
          <w:szCs w:val="32"/>
          <w:lang w:eastAsia="zh-CN"/>
        </w:rPr>
      </w:pPr>
      <w:r>
        <w:rPr>
          <w:rFonts w:hint="default" w:ascii="仿宋_GB2312" w:hAnsi="仿宋_GB2312" w:eastAsia="仿宋_GB2312" w:cs="仿宋_GB2312"/>
          <w:bCs/>
          <w:szCs w:val="32"/>
        </w:rPr>
        <w:t>以学前教育为主, 以体、智、德、美诸方面的教育互相渗透，有机结合</w:t>
      </w:r>
      <w:r>
        <w:rPr>
          <w:rFonts w:hint="eastAsia" w:ascii="仿宋_GB2312" w:hAnsi="仿宋_GB2312" w:eastAsia="仿宋_GB2312" w:cs="仿宋_GB2312"/>
          <w:bCs/>
          <w:szCs w:val="32"/>
          <w:lang w:eastAsia="zh-CN"/>
        </w:rPr>
        <w:t>。</w:t>
      </w:r>
    </w:p>
    <w:p>
      <w:pPr>
        <w:pStyle w:val="3"/>
        <w:numPr>
          <w:ilvl w:val="0"/>
          <w:numId w:val="4"/>
        </w:numPr>
        <w:tabs>
          <w:tab w:val="left" w:pos="880"/>
          <w:tab w:val="clear" w:pos="312"/>
        </w:tabs>
        <w:kinsoku w:val="0"/>
        <w:overflowPunct w:val="0"/>
        <w:spacing w:before="0"/>
        <w:ind w:left="0" w:leftChars="0" w:firstLine="640" w:firstLineChars="200"/>
        <w:jc w:val="left"/>
        <w:rPr>
          <w:rFonts w:hint="eastAsia" w:ascii="仿宋_GB2312" w:hAnsi="仿宋_GB2312" w:eastAsia="仿宋_GB2312" w:cs="仿宋_GB2312"/>
          <w:bCs/>
          <w:szCs w:val="32"/>
          <w:lang w:eastAsia="zh-CN"/>
        </w:rPr>
      </w:pPr>
      <w:r>
        <w:rPr>
          <w:rFonts w:hint="default" w:ascii="仿宋_GB2312" w:hAnsi="仿宋_GB2312" w:eastAsia="仿宋_GB2312" w:cs="仿宋_GB2312"/>
          <w:bCs/>
          <w:szCs w:val="32"/>
        </w:rPr>
        <w:t>遵循幼儿身心发展的规律，符合幼儿的年龄特点，注重个体差异，因人施教，引导幼儿个性健康发展</w:t>
      </w:r>
      <w:r>
        <w:rPr>
          <w:rFonts w:hint="eastAsia" w:ascii="仿宋_GB2312" w:hAnsi="仿宋_GB2312" w:eastAsia="仿宋_GB2312" w:cs="仿宋_GB2312"/>
          <w:bCs/>
          <w:szCs w:val="32"/>
          <w:lang w:eastAsia="zh-CN"/>
        </w:rPr>
        <w:t>。</w:t>
      </w:r>
    </w:p>
    <w:p>
      <w:pPr>
        <w:pStyle w:val="3"/>
        <w:numPr>
          <w:ilvl w:val="0"/>
          <w:numId w:val="4"/>
        </w:numPr>
        <w:tabs>
          <w:tab w:val="left" w:pos="880"/>
          <w:tab w:val="clear" w:pos="312"/>
        </w:tabs>
        <w:kinsoku w:val="0"/>
        <w:overflowPunct w:val="0"/>
        <w:spacing w:before="0"/>
        <w:ind w:left="0" w:leftChars="0" w:firstLine="640" w:firstLineChars="200"/>
        <w:jc w:val="left"/>
        <w:rPr>
          <w:rFonts w:hint="default" w:ascii="黑体" w:hAnsi="黑体" w:eastAsia="黑体" w:cs="黑体"/>
          <w:bCs/>
          <w:szCs w:val="32"/>
        </w:rPr>
      </w:pPr>
      <w:r>
        <w:rPr>
          <w:rFonts w:hint="default" w:ascii="仿宋_GB2312" w:hAnsi="仿宋_GB2312" w:eastAsia="仿宋_GB2312" w:cs="仿宋_GB2312"/>
          <w:bCs/>
          <w:szCs w:val="32"/>
        </w:rPr>
        <w:t>面向全体幼儿，热爱幼儿，坚持积极鼓励、启发诱导的正面教育</w:t>
      </w:r>
      <w:r>
        <w:rPr>
          <w:rFonts w:hint="eastAsia" w:ascii="仿宋_GB2312" w:hAnsi="仿宋_GB2312" w:eastAsia="仿宋_GB2312" w:cs="仿宋_GB2312"/>
          <w:bCs/>
          <w:szCs w:val="32"/>
          <w:lang w:eastAsia="zh-CN"/>
        </w:rPr>
        <w:t>。</w:t>
      </w:r>
    </w:p>
    <w:p>
      <w:pPr>
        <w:pStyle w:val="3"/>
        <w:numPr>
          <w:ilvl w:val="0"/>
          <w:numId w:val="4"/>
        </w:numPr>
        <w:tabs>
          <w:tab w:val="left" w:pos="880"/>
          <w:tab w:val="clear" w:pos="312"/>
        </w:tabs>
        <w:kinsoku w:val="0"/>
        <w:overflowPunct w:val="0"/>
        <w:spacing w:before="0"/>
        <w:ind w:left="0" w:leftChars="0" w:firstLine="640" w:firstLineChars="200"/>
        <w:jc w:val="left"/>
        <w:rPr>
          <w:rFonts w:hint="default" w:ascii="黑体" w:hAnsi="黑体" w:eastAsia="黑体" w:cs="黑体"/>
          <w:bCs/>
          <w:szCs w:val="32"/>
        </w:rPr>
      </w:pPr>
      <w:r>
        <w:rPr>
          <w:rFonts w:hint="default" w:ascii="仿宋_GB2312" w:hAnsi="仿宋_GB2312" w:eastAsia="仿宋_GB2312" w:cs="仿宋_GB2312"/>
          <w:bCs/>
          <w:szCs w:val="32"/>
        </w:rPr>
        <w:t>合理地综合组织各方面的教育内容，并渗透于幼儿一日生活的各项活动中，充分发挥各种教育手段的交互作用</w:t>
      </w:r>
      <w:r>
        <w:rPr>
          <w:rFonts w:hint="eastAsia" w:ascii="仿宋_GB2312" w:hAnsi="仿宋_GB2312" w:eastAsia="仿宋_GB2312" w:cs="仿宋_GB2312"/>
          <w:bCs/>
          <w:szCs w:val="32"/>
          <w:lang w:eastAsia="zh-CN"/>
        </w:rPr>
        <w:t>。</w:t>
      </w:r>
    </w:p>
    <w:p>
      <w:pPr>
        <w:pStyle w:val="3"/>
        <w:numPr>
          <w:ilvl w:val="0"/>
          <w:numId w:val="4"/>
        </w:numPr>
        <w:tabs>
          <w:tab w:val="left" w:pos="880"/>
          <w:tab w:val="clear" w:pos="312"/>
        </w:tabs>
        <w:kinsoku w:val="0"/>
        <w:overflowPunct w:val="0"/>
        <w:spacing w:before="0"/>
        <w:ind w:left="0" w:leftChars="0" w:firstLine="640" w:firstLineChars="200"/>
        <w:jc w:val="left"/>
        <w:rPr>
          <w:rFonts w:hint="default" w:ascii="黑体" w:hAnsi="黑体" w:eastAsia="黑体" w:cs="黑体"/>
          <w:bCs/>
          <w:szCs w:val="32"/>
        </w:rPr>
      </w:pPr>
      <w:r>
        <w:rPr>
          <w:rFonts w:hint="default" w:ascii="仿宋_GB2312" w:hAnsi="仿宋_GB2312" w:eastAsia="仿宋_GB2312" w:cs="仿宋_GB2312"/>
          <w:bCs/>
          <w:szCs w:val="32"/>
        </w:rPr>
        <w:t>创设与教育相适应的良好环境，为幼儿提供活动和表现能力的机会与条件；是以游戏为基本活动，寓教育于各项活动之中。</w:t>
      </w:r>
    </w:p>
    <w:p>
      <w:pPr>
        <w:pStyle w:val="3"/>
        <w:numPr>
          <w:ilvl w:val="0"/>
          <w:numId w:val="4"/>
        </w:numPr>
        <w:tabs>
          <w:tab w:val="left" w:pos="880"/>
          <w:tab w:val="clear" w:pos="312"/>
        </w:tabs>
        <w:kinsoku w:val="0"/>
        <w:overflowPunct w:val="0"/>
        <w:spacing w:before="0"/>
        <w:ind w:left="0" w:leftChars="0" w:firstLine="640" w:firstLineChars="200"/>
        <w:jc w:val="left"/>
        <w:rPr>
          <w:rFonts w:hint="default" w:ascii="黑体" w:hAnsi="黑体" w:eastAsia="黑体" w:cs="黑体"/>
          <w:bCs/>
          <w:szCs w:val="32"/>
        </w:rPr>
      </w:pPr>
      <w:r>
        <w:rPr>
          <w:rFonts w:hint="default" w:ascii="仿宋_GB2312" w:hAnsi="仿宋_GB2312" w:eastAsia="仿宋_GB2312" w:cs="仿宋_GB2312"/>
          <w:bCs/>
          <w:szCs w:val="32"/>
        </w:rPr>
        <w:t>为学龄前儿童提供保育和教育。</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val="en-US" w:eastAsia="zh-CN"/>
        </w:rPr>
        <w:t>内设机构设置情况</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淮滨县第</w:t>
      </w: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bCs/>
          <w:sz w:val="32"/>
          <w:szCs w:val="32"/>
          <w:lang w:eastAsia="zh-CN"/>
        </w:rPr>
        <w:t>幼儿园</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w:t>
      </w:r>
      <w:r>
        <w:rPr>
          <w:rFonts w:hint="eastAsia" w:ascii="仿宋_GB2312" w:hAnsi="仿宋_GB2312" w:eastAsia="仿宋_GB2312" w:cs="仿宋_GB2312"/>
          <w:bCs/>
          <w:sz w:val="32"/>
          <w:szCs w:val="32"/>
          <w:lang w:val="en-US" w:eastAsia="zh-CN"/>
        </w:rPr>
        <w:t>为</w:t>
      </w:r>
      <w:r>
        <w:rPr>
          <w:rFonts w:hint="eastAsia" w:ascii="仿宋_GB2312" w:hAnsi="仿宋_GB2312" w:eastAsia="仿宋_GB2312" w:cs="仿宋_GB2312"/>
          <w:bCs/>
          <w:sz w:val="32"/>
          <w:szCs w:val="32"/>
        </w:rPr>
        <w:t>本级预算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本单位无所属二级机构预算。</w:t>
      </w:r>
    </w:p>
    <w:p>
      <w:pPr>
        <w:pStyle w:val="3"/>
        <w:numPr>
          <w:numId w:val="0"/>
        </w:numPr>
        <w:tabs>
          <w:tab w:val="left" w:pos="880"/>
        </w:tabs>
        <w:kinsoku w:val="0"/>
        <w:overflowPunct w:val="0"/>
        <w:spacing w:before="0"/>
        <w:ind w:firstLine="640" w:firstLineChars="200"/>
        <w:jc w:val="left"/>
        <w:rPr>
          <w:rFonts w:hint="eastAsia" w:ascii="仿宋_GB2312" w:hAnsi="仿宋_GB2312" w:eastAsia="仿宋_GB2312" w:cs="仿宋_GB2312"/>
          <w:bCs/>
          <w:sz w:val="32"/>
          <w:szCs w:val="32"/>
        </w:rPr>
      </w:pPr>
      <w:r>
        <w:rPr>
          <w:rFonts w:hint="eastAsia" w:ascii="黑体" w:hAnsi="黑体" w:eastAsia="黑体" w:cs="黑体"/>
          <w:bCs/>
          <w:szCs w:val="32"/>
          <w:lang w:val="en-US" w:eastAsia="zh-CN"/>
        </w:rPr>
        <w:t>三、部门所属预算单位构成情况</w:t>
      </w:r>
    </w:p>
    <w:p>
      <w:pPr>
        <w:numPr>
          <w:ilvl w:val="0"/>
          <w:numId w:val="0"/>
        </w:numPr>
        <w:ind w:firstLine="640" w:firstLineChars="200"/>
        <w:jc w:val="left"/>
        <w:rPr>
          <w:rFonts w:hint="eastAsia" w:ascii="仿宋" w:hAnsi="仿宋" w:eastAsia="仿宋" w:cs="仿宋"/>
          <w:bCs/>
          <w:sz w:val="32"/>
          <w:szCs w:val="32"/>
        </w:rPr>
      </w:pPr>
      <w:r>
        <w:rPr>
          <w:rFonts w:hint="eastAsia" w:ascii="仿宋_GB2312" w:hAnsi="仿宋_GB2312" w:eastAsia="仿宋_GB2312" w:cs="仿宋_GB2312"/>
          <w:bCs/>
          <w:sz w:val="32"/>
          <w:szCs w:val="32"/>
          <w:lang w:eastAsia="zh-CN"/>
        </w:rPr>
        <w:t>淮滨县第</w:t>
      </w: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bCs/>
          <w:sz w:val="32"/>
          <w:szCs w:val="32"/>
          <w:lang w:eastAsia="zh-CN"/>
        </w:rPr>
        <w:t>幼儿园</w:t>
      </w:r>
      <w:r>
        <w:rPr>
          <w:rFonts w:hint="eastAsia" w:ascii="仿宋_GB2312" w:hAnsi="仿宋_GB2312" w:eastAsia="仿宋_GB2312" w:cs="仿宋_GB2312"/>
          <w:bCs/>
          <w:sz w:val="32"/>
          <w:szCs w:val="32"/>
        </w:rPr>
        <w:t>本级预算包括：设办公室、财务室、</w:t>
      </w:r>
      <w:r>
        <w:rPr>
          <w:rFonts w:hint="eastAsia" w:ascii="仿宋_GB2312" w:hAnsi="仿宋_GB2312" w:eastAsia="仿宋_GB2312" w:cs="仿宋_GB2312"/>
          <w:bCs/>
          <w:sz w:val="32"/>
          <w:szCs w:val="32"/>
          <w:lang w:val="en-US" w:eastAsia="zh-CN"/>
        </w:rPr>
        <w:t>政教处、教导处、总务处</w:t>
      </w:r>
      <w:r>
        <w:rPr>
          <w:rFonts w:hint="eastAsia" w:ascii="仿宋_GB2312" w:hAnsi="仿宋_GB2312" w:eastAsia="仿宋_GB2312" w:cs="仿宋_GB2312"/>
          <w:bCs/>
          <w:sz w:val="32"/>
          <w:szCs w:val="32"/>
        </w:rPr>
        <w:t>、医务室等</w:t>
      </w:r>
      <w:r>
        <w:rPr>
          <w:rFonts w:hint="eastAsia" w:ascii="仿宋_GB2312" w:hAnsi="仿宋_GB2312" w:eastAsia="仿宋_GB2312" w:cs="仿宋_GB2312"/>
          <w:bCs/>
          <w:sz w:val="32"/>
          <w:szCs w:val="32"/>
          <w:lang w:val="en-US" w:eastAsia="zh-CN"/>
        </w:rPr>
        <w:t>处室</w:t>
      </w:r>
      <w:r>
        <w:rPr>
          <w:rFonts w:hint="eastAsia" w:ascii="仿宋_GB2312" w:hAnsi="仿宋_GB2312" w:eastAsia="仿宋_GB2312" w:cs="仿宋_GB2312"/>
          <w:bCs/>
          <w:sz w:val="32"/>
          <w:szCs w:val="32"/>
        </w:rPr>
        <w:t>预算。</w:t>
      </w: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lang w:eastAsia="zh-CN"/>
        </w:rPr>
        <w:t>淮滨县第二幼儿园2023年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eastAsia="zh-CN"/>
        </w:rPr>
        <w:t>淮滨县第二幼儿园2023年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710.02万元</w:t>
      </w:r>
      <w:r>
        <w:rPr>
          <w:rFonts w:hint="eastAsia" w:ascii="仿宋" w:hAnsi="仿宋" w:eastAsia="仿宋" w:cs="仿宋"/>
          <w:sz w:val="32"/>
          <w:szCs w:val="32"/>
        </w:rPr>
        <w:t>，支出总计</w:t>
      </w:r>
      <w:r>
        <w:rPr>
          <w:rFonts w:hint="eastAsia" w:ascii="仿宋" w:hAnsi="仿宋" w:eastAsia="仿宋" w:cs="仿宋"/>
          <w:sz w:val="32"/>
          <w:szCs w:val="32"/>
          <w:lang w:val="en-US" w:eastAsia="zh-CN"/>
        </w:rPr>
        <w:t>710.02</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w:t>
      </w:r>
      <w:r>
        <w:rPr>
          <w:rFonts w:hint="eastAsia" w:ascii="仿宋" w:hAnsi="仿宋" w:eastAsia="仿宋" w:cs="仿宋"/>
          <w:sz w:val="32"/>
          <w:szCs w:val="32"/>
          <w:lang w:val="en-US" w:eastAsia="zh-CN"/>
        </w:rPr>
        <w:t>增加710.02</w:t>
      </w:r>
      <w:r>
        <w:rPr>
          <w:rFonts w:hint="eastAsia" w:ascii="仿宋" w:hAnsi="仿宋" w:eastAsia="仿宋" w:cs="仿宋"/>
          <w:sz w:val="32"/>
          <w:szCs w:val="32"/>
        </w:rPr>
        <w:t>万元，</w:t>
      </w:r>
      <w:r>
        <w:rPr>
          <w:rFonts w:hint="eastAsia" w:ascii="仿宋" w:hAnsi="仿宋" w:eastAsia="仿宋" w:cs="仿宋"/>
          <w:sz w:val="32"/>
          <w:szCs w:val="32"/>
          <w:lang w:val="en-US" w:eastAsia="zh-CN"/>
        </w:rPr>
        <w:t>增长100</w:t>
      </w:r>
      <w:r>
        <w:rPr>
          <w:rFonts w:hint="eastAsia" w:ascii="仿宋" w:hAnsi="仿宋" w:eastAsia="仿宋" w:cs="仿宋"/>
          <w:sz w:val="32"/>
          <w:szCs w:val="32"/>
        </w:rPr>
        <w:t>%。主要原因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原县直机关幼儿园机构改革，划分为两个单位，本单位为新增预算单位。</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淮滨县第二幼儿园2023年</w:t>
      </w:r>
      <w:r>
        <w:rPr>
          <w:rFonts w:hint="eastAsia" w:ascii="仿宋" w:hAnsi="仿宋" w:eastAsia="仿宋" w:cs="仿宋"/>
          <w:sz w:val="32"/>
        </w:rPr>
        <w:t>收入合计</w:t>
      </w:r>
      <w:r>
        <w:rPr>
          <w:rFonts w:hint="eastAsia" w:ascii="仿宋" w:hAnsi="仿宋" w:eastAsia="仿宋" w:cs="仿宋"/>
          <w:sz w:val="32"/>
          <w:szCs w:val="32"/>
          <w:lang w:val="en-US" w:eastAsia="zh-CN"/>
        </w:rPr>
        <w:t>710.02</w:t>
      </w:r>
      <w:r>
        <w:rPr>
          <w:rFonts w:hint="eastAsia" w:ascii="仿宋" w:hAnsi="仿宋" w:eastAsia="仿宋" w:cs="仿宋"/>
          <w:sz w:val="32"/>
        </w:rPr>
        <w:t>万元，其中：一般公共预算收入</w:t>
      </w:r>
      <w:r>
        <w:rPr>
          <w:rFonts w:hint="eastAsia" w:ascii="仿宋" w:hAnsi="仿宋" w:eastAsia="仿宋" w:cs="仿宋"/>
          <w:sz w:val="32"/>
          <w:szCs w:val="32"/>
          <w:lang w:val="en-US" w:eastAsia="zh-CN"/>
        </w:rPr>
        <w:t>710.02</w:t>
      </w:r>
      <w:r>
        <w:rPr>
          <w:rFonts w:hint="eastAsia" w:ascii="仿宋" w:hAnsi="仿宋" w:eastAsia="仿宋" w:cs="仿宋"/>
          <w:sz w:val="32"/>
        </w:rPr>
        <w:t>万元，上年结转结余</w:t>
      </w:r>
      <w:r>
        <w:rPr>
          <w:rFonts w:hint="eastAsia" w:ascii="仿宋" w:hAnsi="仿宋" w:eastAsia="仿宋" w:cs="仿宋"/>
          <w:sz w:val="32"/>
          <w:lang w:val="en-US" w:eastAsia="zh-CN"/>
        </w:rPr>
        <w:t>0.00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淮滨县第二幼儿园2023年</w:t>
      </w:r>
      <w:r>
        <w:rPr>
          <w:rFonts w:hint="eastAsia" w:ascii="仿宋" w:hAnsi="仿宋" w:eastAsia="仿宋" w:cs="仿宋"/>
          <w:sz w:val="32"/>
        </w:rPr>
        <w:t>支出合计</w:t>
      </w:r>
      <w:r>
        <w:rPr>
          <w:rFonts w:hint="eastAsia" w:ascii="仿宋" w:hAnsi="仿宋" w:eastAsia="仿宋" w:cs="仿宋"/>
          <w:sz w:val="32"/>
          <w:szCs w:val="32"/>
          <w:lang w:val="en-US" w:eastAsia="zh-CN"/>
        </w:rPr>
        <w:t>710.02</w:t>
      </w:r>
      <w:r>
        <w:rPr>
          <w:rFonts w:hint="eastAsia" w:ascii="仿宋" w:hAnsi="仿宋" w:eastAsia="仿宋" w:cs="仿宋"/>
          <w:sz w:val="32"/>
        </w:rPr>
        <w:t>万元，其中：基本支出</w:t>
      </w:r>
      <w:r>
        <w:rPr>
          <w:rFonts w:hint="eastAsia" w:ascii="仿宋" w:hAnsi="仿宋" w:eastAsia="仿宋" w:cs="仿宋"/>
          <w:sz w:val="32"/>
          <w:lang w:eastAsia="zh-CN"/>
        </w:rPr>
        <w:t>473.2</w:t>
      </w:r>
      <w:r>
        <w:rPr>
          <w:rFonts w:hint="eastAsia" w:ascii="仿宋" w:hAnsi="仿宋" w:eastAsia="仿宋" w:cs="仿宋"/>
          <w:sz w:val="32"/>
          <w:lang w:val="en-US" w:eastAsia="zh-CN"/>
        </w:rPr>
        <w:t>2</w:t>
      </w:r>
      <w:r>
        <w:rPr>
          <w:rFonts w:hint="eastAsia" w:ascii="仿宋" w:hAnsi="仿宋" w:eastAsia="仿宋" w:cs="仿宋"/>
          <w:sz w:val="32"/>
        </w:rPr>
        <w:t>万元，占</w:t>
      </w:r>
      <w:r>
        <w:rPr>
          <w:rFonts w:hint="eastAsia" w:ascii="仿宋" w:hAnsi="仿宋" w:eastAsia="仿宋" w:cs="仿宋"/>
          <w:sz w:val="32"/>
          <w:lang w:val="en-US" w:eastAsia="zh-CN"/>
        </w:rPr>
        <w:t>66.65</w:t>
      </w:r>
      <w:r>
        <w:rPr>
          <w:rFonts w:hint="eastAsia" w:ascii="仿宋" w:hAnsi="仿宋" w:eastAsia="仿宋" w:cs="仿宋"/>
          <w:sz w:val="32"/>
        </w:rPr>
        <w:t>%；项目支出</w:t>
      </w:r>
      <w:r>
        <w:rPr>
          <w:rFonts w:hint="eastAsia" w:ascii="仿宋" w:hAnsi="仿宋" w:eastAsia="仿宋" w:cs="仿宋"/>
          <w:sz w:val="32"/>
          <w:lang w:eastAsia="zh-CN"/>
        </w:rPr>
        <w:t>236.8</w:t>
      </w:r>
      <w:r>
        <w:rPr>
          <w:rFonts w:hint="eastAsia" w:ascii="仿宋" w:hAnsi="仿宋" w:eastAsia="仿宋" w:cs="仿宋"/>
          <w:sz w:val="32"/>
        </w:rPr>
        <w:t>万元，占</w:t>
      </w:r>
      <w:r>
        <w:rPr>
          <w:rFonts w:hint="eastAsia" w:ascii="仿宋" w:hAnsi="仿宋" w:eastAsia="仿宋" w:cs="仿宋"/>
          <w:sz w:val="32"/>
          <w:lang w:val="en-US" w:eastAsia="zh-CN"/>
        </w:rPr>
        <w:t>33.35</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lang w:eastAsia="zh-CN"/>
        </w:rPr>
        <w:t>淮滨县第二幼儿园</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szCs w:val="32"/>
          <w:lang w:val="en-US" w:eastAsia="zh-CN"/>
        </w:rPr>
        <w:t>710.02</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szCs w:val="32"/>
          <w:lang w:val="en-US" w:eastAsia="zh-CN"/>
        </w:rPr>
        <w:t>增加710.02</w:t>
      </w:r>
      <w:r>
        <w:rPr>
          <w:rFonts w:hint="eastAsia" w:ascii="仿宋" w:hAnsi="仿宋" w:eastAsia="仿宋" w:cs="仿宋"/>
          <w:sz w:val="32"/>
          <w:szCs w:val="32"/>
        </w:rPr>
        <w:t>万元，</w:t>
      </w:r>
      <w:r>
        <w:rPr>
          <w:rFonts w:hint="eastAsia" w:ascii="仿宋" w:hAnsi="仿宋" w:eastAsia="仿宋" w:cs="仿宋"/>
          <w:sz w:val="32"/>
          <w:szCs w:val="32"/>
          <w:lang w:val="en-US" w:eastAsia="zh-CN"/>
        </w:rPr>
        <w:t>增长100</w:t>
      </w:r>
      <w:r>
        <w:rPr>
          <w:rFonts w:hint="eastAsia" w:ascii="仿宋" w:hAnsi="仿宋" w:eastAsia="仿宋" w:cs="仿宋"/>
          <w:sz w:val="32"/>
          <w:szCs w:val="32"/>
        </w:rPr>
        <w:t>%。主要原因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原县直机关幼儿园机构改革，划分为两个单位，本单位为新增预算单位。</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淮滨县第二幼儿园2023年</w:t>
      </w:r>
      <w:r>
        <w:rPr>
          <w:rFonts w:hint="eastAsia" w:ascii="仿宋" w:hAnsi="仿宋" w:eastAsia="仿宋" w:cs="仿宋"/>
          <w:sz w:val="32"/>
        </w:rPr>
        <w:t>一般公共预算支出年初预算为</w:t>
      </w:r>
      <w:r>
        <w:rPr>
          <w:rFonts w:hint="eastAsia" w:ascii="仿宋" w:hAnsi="仿宋" w:eastAsia="仿宋" w:cs="仿宋"/>
          <w:sz w:val="32"/>
          <w:szCs w:val="32"/>
          <w:lang w:val="en-US" w:eastAsia="zh-CN"/>
        </w:rPr>
        <w:t>710.02</w:t>
      </w:r>
      <w:r>
        <w:rPr>
          <w:rFonts w:hint="eastAsia" w:ascii="仿宋" w:hAnsi="仿宋" w:eastAsia="仿宋" w:cs="仿宋"/>
          <w:sz w:val="32"/>
        </w:rPr>
        <w:t>万元。其中：基本支出</w:t>
      </w:r>
      <w:r>
        <w:rPr>
          <w:rFonts w:hint="eastAsia" w:ascii="仿宋" w:hAnsi="仿宋" w:eastAsia="仿宋" w:cs="仿宋"/>
          <w:sz w:val="32"/>
          <w:lang w:eastAsia="zh-CN"/>
        </w:rPr>
        <w:t>473.2</w:t>
      </w:r>
      <w:r>
        <w:rPr>
          <w:rFonts w:hint="eastAsia" w:ascii="仿宋" w:hAnsi="仿宋" w:eastAsia="仿宋" w:cs="仿宋"/>
          <w:sz w:val="32"/>
          <w:lang w:val="en-US" w:eastAsia="zh-CN"/>
        </w:rPr>
        <w:t>2</w:t>
      </w:r>
      <w:r>
        <w:rPr>
          <w:rFonts w:hint="eastAsia" w:ascii="仿宋" w:hAnsi="仿宋" w:eastAsia="仿宋" w:cs="仿宋"/>
          <w:sz w:val="32"/>
        </w:rPr>
        <w:t>万元，占</w:t>
      </w:r>
      <w:r>
        <w:rPr>
          <w:rFonts w:hint="eastAsia" w:ascii="仿宋" w:hAnsi="仿宋" w:eastAsia="仿宋" w:cs="仿宋"/>
          <w:sz w:val="32"/>
          <w:lang w:val="en-US" w:eastAsia="zh-CN"/>
        </w:rPr>
        <w:t>66.65</w:t>
      </w:r>
      <w:r>
        <w:rPr>
          <w:rFonts w:hint="eastAsia" w:ascii="仿宋" w:hAnsi="仿宋" w:eastAsia="仿宋" w:cs="仿宋"/>
          <w:sz w:val="32"/>
        </w:rPr>
        <w:t>%；项目支出</w:t>
      </w:r>
      <w:r>
        <w:rPr>
          <w:rFonts w:hint="eastAsia" w:ascii="仿宋" w:hAnsi="仿宋" w:eastAsia="仿宋" w:cs="仿宋"/>
          <w:sz w:val="32"/>
          <w:lang w:eastAsia="zh-CN"/>
        </w:rPr>
        <w:t>236.8</w:t>
      </w:r>
      <w:r>
        <w:rPr>
          <w:rFonts w:hint="eastAsia" w:ascii="仿宋" w:hAnsi="仿宋" w:eastAsia="仿宋" w:cs="仿宋"/>
          <w:sz w:val="32"/>
        </w:rPr>
        <w:t>万元，占</w:t>
      </w:r>
      <w:r>
        <w:rPr>
          <w:rFonts w:hint="eastAsia" w:ascii="仿宋" w:hAnsi="仿宋" w:eastAsia="仿宋" w:cs="仿宋"/>
          <w:sz w:val="32"/>
          <w:lang w:val="en-US" w:eastAsia="zh-CN"/>
        </w:rPr>
        <w:t>33.35</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color w:val="000000"/>
          <w:sz w:val="32"/>
          <w:szCs w:val="32"/>
          <w:lang w:eastAsia="zh-CN"/>
        </w:rPr>
        <w:t>淮滨县第二幼儿园2023年</w:t>
      </w:r>
      <w:r>
        <w:rPr>
          <w:rFonts w:hint="eastAsia" w:ascii="仿宋" w:hAnsi="仿宋" w:eastAsia="仿宋" w:cs="仿宋"/>
          <w:color w:val="000000"/>
          <w:sz w:val="32"/>
          <w:szCs w:val="32"/>
        </w:rPr>
        <w:t>一般公共预算基本支出年初预算为</w:t>
      </w:r>
      <w:r>
        <w:rPr>
          <w:rFonts w:hint="eastAsia" w:ascii="仿宋" w:hAnsi="仿宋" w:eastAsia="仿宋" w:cs="仿宋"/>
          <w:sz w:val="32"/>
          <w:lang w:eastAsia="zh-CN"/>
        </w:rPr>
        <w:t>473.2</w:t>
      </w:r>
      <w:r>
        <w:rPr>
          <w:rFonts w:hint="eastAsia" w:ascii="仿宋" w:hAnsi="仿宋" w:eastAsia="仿宋" w:cs="仿宋"/>
          <w:sz w:val="32"/>
          <w:lang w:val="en-US" w:eastAsia="zh-CN"/>
        </w:rPr>
        <w:t>2</w:t>
      </w:r>
      <w:r>
        <w:rPr>
          <w:rFonts w:hint="eastAsia" w:ascii="仿宋" w:hAnsi="仿宋" w:eastAsia="仿宋" w:cs="仿宋"/>
          <w:color w:val="000000"/>
          <w:sz w:val="32"/>
          <w:szCs w:val="32"/>
        </w:rPr>
        <w:t>万元。其中：人员经费支出</w:t>
      </w:r>
      <w:r>
        <w:rPr>
          <w:rFonts w:hint="eastAsia" w:ascii="仿宋" w:hAnsi="仿宋" w:eastAsia="仿宋" w:cs="仿宋"/>
          <w:sz w:val="32"/>
          <w:lang w:val="en-US" w:eastAsia="zh-CN"/>
        </w:rPr>
        <w:t>459.63</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97.13</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13.59</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2.87</w:t>
      </w:r>
      <w:r>
        <w:rPr>
          <w:rFonts w:hint="eastAsia" w:ascii="仿宋" w:hAnsi="仿宋" w:eastAsia="仿宋" w:cs="仿宋"/>
          <w:color w:val="000000"/>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left"/>
        <w:rPr>
          <w:rFonts w:hint="eastAsia" w:ascii="仿宋" w:hAnsi="仿宋" w:eastAsia="仿宋" w:cs="仿宋"/>
          <w:sz w:val="32"/>
          <w:szCs w:val="32"/>
        </w:rPr>
      </w:pPr>
    </w:p>
    <w:p>
      <w:pPr>
        <w:jc w:val="left"/>
        <w:rPr>
          <w:rFonts w:hint="eastAsia" w:ascii="仿宋" w:hAnsi="仿宋" w:eastAsia="仿宋" w:cs="仿宋"/>
          <w:sz w:val="32"/>
          <w:szCs w:val="32"/>
        </w:rPr>
      </w:pP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lang w:eastAsia="zh-CN"/>
        </w:rPr>
        <w:t>淮滨县第二幼儿园2023年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 xml:space="preserve"> 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eastAsia="zh-CN"/>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val="en-US" w:eastAsia="zh-CN"/>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无使用政府性基金预算拨款安排的支出。</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color w:val="000000" w:themeColor="text1"/>
          <w:sz w:val="32"/>
          <w:highlight w:val="none"/>
          <w14:textFill>
            <w14:solidFill>
              <w14:schemeClr w14:val="tx1"/>
            </w14:solidFill>
          </w14:textFill>
        </w:rPr>
      </w:pPr>
      <w:r>
        <w:rPr>
          <w:rFonts w:hint="eastAsia" w:ascii="仿宋" w:hAnsi="仿宋" w:eastAsia="仿宋" w:cs="仿宋"/>
          <w:color w:val="000000" w:themeColor="text1"/>
          <w:sz w:val="32"/>
          <w:highlight w:val="none"/>
          <w14:textFill>
            <w14:solidFill>
              <w14:schemeClr w14:val="tx1"/>
            </w14:solidFill>
          </w14:textFill>
        </w:rPr>
        <w:t>我单位202</w:t>
      </w:r>
      <w:r>
        <w:rPr>
          <w:rFonts w:hint="eastAsia" w:ascii="仿宋" w:hAnsi="仿宋" w:eastAsia="仿宋" w:cs="仿宋"/>
          <w:color w:val="000000" w:themeColor="text1"/>
          <w:sz w:val="32"/>
          <w:highlight w:val="none"/>
          <w:lang w:val="en-US" w:eastAsia="zh-CN"/>
          <w14:textFill>
            <w14:solidFill>
              <w14:schemeClr w14:val="tx1"/>
            </w14:solidFill>
          </w14:textFill>
        </w:rPr>
        <w:t>3</w:t>
      </w:r>
      <w:r>
        <w:rPr>
          <w:rFonts w:hint="eastAsia" w:ascii="仿宋" w:hAnsi="仿宋" w:eastAsia="仿宋" w:cs="仿宋"/>
          <w:color w:val="000000" w:themeColor="text1"/>
          <w:sz w:val="32"/>
          <w:highlight w:val="none"/>
          <w14:textFill>
            <w14:solidFill>
              <w14:schemeClr w14:val="tx1"/>
            </w14:solidFill>
          </w14:textFill>
        </w:rPr>
        <w:t>年</w:t>
      </w:r>
      <w:r>
        <w:rPr>
          <w:rFonts w:hint="eastAsia" w:ascii="仿宋" w:hAnsi="仿宋" w:eastAsia="仿宋" w:cs="仿宋"/>
          <w:color w:val="000000" w:themeColor="text1"/>
          <w:sz w:val="32"/>
          <w:highlight w:val="none"/>
          <w:lang w:val="en-US" w:eastAsia="zh-CN"/>
          <w14:textFill>
            <w14:solidFill>
              <w14:schemeClr w14:val="tx1"/>
            </w14:solidFill>
          </w14:textFill>
        </w:rPr>
        <w:t>学校</w:t>
      </w:r>
      <w:r>
        <w:rPr>
          <w:rFonts w:hint="eastAsia" w:ascii="仿宋" w:hAnsi="仿宋" w:eastAsia="仿宋" w:cs="仿宋"/>
          <w:color w:val="000000" w:themeColor="text1"/>
          <w:sz w:val="32"/>
          <w:highlight w:val="none"/>
          <w14:textFill>
            <w14:solidFill>
              <w14:schemeClr w14:val="tx1"/>
            </w14:solidFill>
          </w14:textFill>
        </w:rPr>
        <w:t>运行经费支出预算</w:t>
      </w:r>
      <w:r>
        <w:rPr>
          <w:rFonts w:hint="eastAsia" w:ascii="仿宋" w:hAnsi="仿宋" w:eastAsia="仿宋" w:cs="仿宋"/>
          <w:color w:val="000000"/>
          <w:sz w:val="32"/>
          <w:szCs w:val="32"/>
          <w:lang w:val="en-US" w:eastAsia="zh-CN"/>
        </w:rPr>
        <w:t>250.39</w:t>
      </w:r>
      <w:r>
        <w:rPr>
          <w:rFonts w:hint="eastAsia" w:ascii="仿宋" w:hAnsi="仿宋" w:eastAsia="仿宋" w:cs="仿宋"/>
          <w:color w:val="000000" w:themeColor="text1"/>
          <w:sz w:val="32"/>
          <w:highlight w:val="none"/>
          <w14:textFill>
            <w14:solidFill>
              <w14:schemeClr w14:val="tx1"/>
            </w14:solidFill>
          </w14:textFill>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 w:hAnsi="仿宋" w:eastAsia="仿宋" w:cs="仿宋"/>
          <w:sz w:val="32"/>
          <w:lang w:val="en-US" w:eastAsia="zh-CN"/>
        </w:rPr>
        <w:t>2023年部门预算金额共计</w:t>
      </w:r>
      <w:r>
        <w:rPr>
          <w:rFonts w:hint="eastAsia" w:ascii="仿宋" w:hAnsi="仿宋" w:eastAsia="仿宋" w:cs="仿宋"/>
          <w:sz w:val="32"/>
          <w:szCs w:val="32"/>
          <w:lang w:val="en-US" w:eastAsia="zh-CN"/>
        </w:rPr>
        <w:t>710.02万元，其中项目共1个，金额为236.80万元。</w:t>
      </w:r>
      <w:bookmarkStart w:id="0" w:name="_GoBack"/>
      <w:bookmarkEnd w:id="0"/>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专项资金。我单位将按照《预算法》等有关规定，积极做好项目分配前期准备工作，在规定的时间内向财政部门提出资金分配意见，根据有关要求做好项目申报公开等相关工作。</w:t>
      </w: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jc w:val="left"/>
        <w:rPr>
          <w:rFonts w:hint="eastAsia" w:ascii="仿宋" w:hAnsi="仿宋" w:eastAsia="仿宋" w:cs="仿宋"/>
          <w:sz w:val="32"/>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w:t>
      </w:r>
      <w:r>
        <w:rPr>
          <w:rFonts w:hint="eastAsia" w:ascii="黑体" w:hAnsi="黑体" w:eastAsia="黑体" w:cs="黑体"/>
          <w:sz w:val="32"/>
          <w:lang w:eastAsia="zh-CN"/>
        </w:rPr>
        <w:t>淮滨县第二幼儿园</w:t>
      </w:r>
      <w:r>
        <w:rPr>
          <w:rFonts w:hint="eastAsia" w:ascii="黑体" w:hAnsi="黑体" w:eastAsia="黑体" w:cs="黑体"/>
          <w:sz w:val="32"/>
        </w:rPr>
        <w:t>202</w:t>
      </w:r>
      <w:r>
        <w:rPr>
          <w:rFonts w:hint="eastAsia" w:ascii="黑体" w:hAnsi="黑体" w:eastAsia="黑体" w:cs="黑体"/>
          <w:sz w:val="32"/>
          <w:lang w:val="en-US" w:eastAsia="zh-CN"/>
        </w:rPr>
        <w:t>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B50EB4"/>
    <w:multiLevelType w:val="singleLevel"/>
    <w:tmpl w:val="B4B50EB4"/>
    <w:lvl w:ilvl="0" w:tentative="0">
      <w:start w:val="1"/>
      <w:numFmt w:val="decimal"/>
      <w:lvlText w:val="%1."/>
      <w:lvlJc w:val="left"/>
      <w:pPr>
        <w:tabs>
          <w:tab w:val="left" w:pos="312"/>
        </w:tabs>
      </w:pPr>
    </w:lvl>
  </w:abstractNum>
  <w:abstractNum w:abstractNumId="1">
    <w:nsid w:val="CC8B0532"/>
    <w:multiLevelType w:val="singleLevel"/>
    <w:tmpl w:val="CC8B0532"/>
    <w:lvl w:ilvl="0" w:tentative="0">
      <w:start w:val="1"/>
      <w:numFmt w:val="chineseCounting"/>
      <w:suff w:val="space"/>
      <w:lvlText w:val="第%1部分"/>
      <w:lvlJc w:val="left"/>
      <w:rPr>
        <w:rFonts w:hint="eastAsia"/>
      </w:rPr>
    </w:lvl>
  </w:abstractNum>
  <w:abstractNum w:abstractNumId="2">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3">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hZTE5YTJiN2MyYjVjNzJmNTIwZTBmZDU0NzgyNGEifQ=="/>
    <w:docVar w:name="KSO_WPS_MARK_KEY" w:val="1c95b384-0a60-4a28-8c2f-7eb0d8688faa"/>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AF83BF1"/>
    <w:rsid w:val="0D0F4ED6"/>
    <w:rsid w:val="0D513137"/>
    <w:rsid w:val="10602789"/>
    <w:rsid w:val="123258EF"/>
    <w:rsid w:val="12EF1A32"/>
    <w:rsid w:val="144A1E7D"/>
    <w:rsid w:val="15F07B94"/>
    <w:rsid w:val="173B6758"/>
    <w:rsid w:val="191C5F4B"/>
    <w:rsid w:val="1B351FAC"/>
    <w:rsid w:val="1B637AEF"/>
    <w:rsid w:val="1C8B464F"/>
    <w:rsid w:val="1CA53161"/>
    <w:rsid w:val="1D0460DA"/>
    <w:rsid w:val="1D2E3157"/>
    <w:rsid w:val="1F046865"/>
    <w:rsid w:val="1FE67D19"/>
    <w:rsid w:val="228003BD"/>
    <w:rsid w:val="228C104B"/>
    <w:rsid w:val="22CA1FC5"/>
    <w:rsid w:val="246B28E3"/>
    <w:rsid w:val="24DA1A42"/>
    <w:rsid w:val="274F7F6E"/>
    <w:rsid w:val="279A1B15"/>
    <w:rsid w:val="27A42993"/>
    <w:rsid w:val="28196722"/>
    <w:rsid w:val="28447CD2"/>
    <w:rsid w:val="2959414C"/>
    <w:rsid w:val="2AA67AA4"/>
    <w:rsid w:val="2AA8279A"/>
    <w:rsid w:val="2ACE5F14"/>
    <w:rsid w:val="2C081B10"/>
    <w:rsid w:val="2D4A0B6E"/>
    <w:rsid w:val="2F072B71"/>
    <w:rsid w:val="2F8530AA"/>
    <w:rsid w:val="32223DBF"/>
    <w:rsid w:val="32476D3D"/>
    <w:rsid w:val="326C12BA"/>
    <w:rsid w:val="33ED121E"/>
    <w:rsid w:val="3402116D"/>
    <w:rsid w:val="34030A42"/>
    <w:rsid w:val="34E010E6"/>
    <w:rsid w:val="358856A2"/>
    <w:rsid w:val="3699743B"/>
    <w:rsid w:val="38237904"/>
    <w:rsid w:val="3872263A"/>
    <w:rsid w:val="39D84127"/>
    <w:rsid w:val="3A2B0CF2"/>
    <w:rsid w:val="3A865F28"/>
    <w:rsid w:val="3C1F6635"/>
    <w:rsid w:val="3E5A6C85"/>
    <w:rsid w:val="419D0727"/>
    <w:rsid w:val="41FF59D4"/>
    <w:rsid w:val="43572B58"/>
    <w:rsid w:val="45554E75"/>
    <w:rsid w:val="456A4DC4"/>
    <w:rsid w:val="469D4D26"/>
    <w:rsid w:val="46D01A4F"/>
    <w:rsid w:val="483D40CA"/>
    <w:rsid w:val="48CD07C5"/>
    <w:rsid w:val="4B86222C"/>
    <w:rsid w:val="4BBC3BEF"/>
    <w:rsid w:val="4CC72AFC"/>
    <w:rsid w:val="4E10402F"/>
    <w:rsid w:val="519E1D35"/>
    <w:rsid w:val="52843E6B"/>
    <w:rsid w:val="56CE6835"/>
    <w:rsid w:val="56E7105D"/>
    <w:rsid w:val="591B6E99"/>
    <w:rsid w:val="600C1A1A"/>
    <w:rsid w:val="61F061FA"/>
    <w:rsid w:val="63514A76"/>
    <w:rsid w:val="647F6552"/>
    <w:rsid w:val="64BB489D"/>
    <w:rsid w:val="65921CF6"/>
    <w:rsid w:val="65DB5214"/>
    <w:rsid w:val="66A82BFF"/>
    <w:rsid w:val="67AE693B"/>
    <w:rsid w:val="67F105D6"/>
    <w:rsid w:val="69F65D89"/>
    <w:rsid w:val="6A5A7F2E"/>
    <w:rsid w:val="6AAD2EDA"/>
    <w:rsid w:val="6C715A72"/>
    <w:rsid w:val="6EEF1D13"/>
    <w:rsid w:val="70A26769"/>
    <w:rsid w:val="71BD526D"/>
    <w:rsid w:val="71E053FD"/>
    <w:rsid w:val="746F63D8"/>
    <w:rsid w:val="747B790C"/>
    <w:rsid w:val="75A37A3E"/>
    <w:rsid w:val="75E31EA6"/>
    <w:rsid w:val="768A2321"/>
    <w:rsid w:val="76D0242A"/>
    <w:rsid w:val="791401EC"/>
    <w:rsid w:val="792702FB"/>
    <w:rsid w:val="7A7B37E7"/>
    <w:rsid w:val="7B6C0247"/>
    <w:rsid w:val="7EE527EB"/>
    <w:rsid w:val="7F5636E8"/>
    <w:rsid w:val="7F6C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_rels/chart7.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0</c:v>
                </c:pt>
                <c:pt idx="1">
                  <c:v>710.02</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0</c:v>
                </c:pt>
                <c:pt idx="1">
                  <c:v>710.02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710.02</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473.22</c:v>
                </c:pt>
                <c:pt idx="1">
                  <c:v>236.8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0</c:v>
                </c:pt>
                <c:pt idx="1">
                  <c:v>710.02</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0</c:v>
                </c:pt>
                <c:pt idx="1">
                  <c:v>710.02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473.22</c:v>
                </c:pt>
                <c:pt idx="1">
                  <c:v>236.8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manualLayout>
          <c:layoutTarget val="inner"/>
          <c:xMode val="edge"/>
          <c:yMode val="edge"/>
          <c:x val="0.322369371538647"/>
          <c:y val="0.194344685242518"/>
          <c:w val="0.361281001685529"/>
          <c:h val="0.619360165118679"/>
        </c:manualLayout>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459.63</c:v>
                </c:pt>
                <c:pt idx="1">
                  <c:v>13.59</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2692</Words>
  <Characters>2929</Characters>
  <Lines>20</Lines>
  <Paragraphs>5</Paragraphs>
  <TotalTime>2</TotalTime>
  <ScaleCrop>false</ScaleCrop>
  <LinksUpToDate>false</LinksUpToDate>
  <CharactersWithSpaces>2962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阿贝</cp:lastModifiedBy>
  <cp:lastPrinted>2023-02-22T07:28:00Z</cp:lastPrinted>
  <dcterms:modified xsi:type="dcterms:W3CDTF">2023-03-10T01:55:31Z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2F606E965C3F47A2A23C8CF82E347772</vt:lpwstr>
  </property>
</Properties>
</file>