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黑体" w:hAnsi="黑体" w:eastAsia="黑体" w:cs="黑体"/>
          <w:b/>
          <w:bCs/>
          <w:sz w:val="44"/>
          <w:szCs w:val="44"/>
        </w:rPr>
      </w:pPr>
    </w:p>
    <w:p>
      <w:pPr>
        <w:spacing w:line="480" w:lineRule="auto"/>
        <w:jc w:val="center"/>
        <w:rPr>
          <w:rFonts w:ascii="宋体" w:hAnsi="宋体" w:eastAsia="宋体" w:cs="宋体"/>
          <w:b/>
          <w:bCs/>
          <w:sz w:val="44"/>
          <w:szCs w:val="44"/>
        </w:rPr>
      </w:pPr>
      <w:r>
        <w:rPr>
          <w:rFonts w:hint="eastAsia" w:ascii="黑体" w:hAnsi="黑体" w:eastAsia="黑体" w:cs="黑体"/>
          <w:b/>
          <w:bCs/>
          <w:sz w:val="44"/>
          <w:szCs w:val="44"/>
        </w:rPr>
        <w:t>202</w:t>
      </w:r>
      <w:r>
        <w:rPr>
          <w:rFonts w:hint="eastAsia" w:ascii="黑体" w:hAnsi="黑体" w:eastAsia="黑体" w:cs="黑体"/>
          <w:b/>
          <w:bCs/>
          <w:sz w:val="44"/>
          <w:szCs w:val="44"/>
          <w:lang w:val="en-US" w:eastAsia="zh-CN"/>
        </w:rPr>
        <w:t>3</w:t>
      </w:r>
      <w:r>
        <w:rPr>
          <w:rFonts w:hint="eastAsia" w:ascii="黑体" w:hAnsi="黑体" w:eastAsia="黑体" w:cs="黑体"/>
          <w:b/>
          <w:bCs/>
          <w:sz w:val="44"/>
          <w:szCs w:val="44"/>
        </w:rPr>
        <w:t>年淮滨县</w:t>
      </w:r>
      <w:r>
        <w:rPr>
          <w:rFonts w:hint="eastAsia" w:ascii="黑体" w:hAnsi="黑体" w:eastAsia="黑体" w:cs="黑体"/>
          <w:b/>
          <w:bCs/>
          <w:sz w:val="44"/>
          <w:szCs w:val="44"/>
          <w:lang w:val="en-US" w:eastAsia="zh-CN"/>
        </w:rPr>
        <w:t>思源实验学校</w:t>
      </w:r>
      <w:r>
        <w:rPr>
          <w:rFonts w:hint="eastAsia" w:ascii="黑体" w:hAnsi="黑体" w:eastAsia="黑体" w:cs="黑体"/>
          <w:b/>
          <w:bCs/>
          <w:sz w:val="44"/>
          <w:szCs w:val="44"/>
        </w:rPr>
        <w:t>部门预算说明</w:t>
      </w:r>
    </w:p>
    <w:p>
      <w:pPr>
        <w:pStyle w:val="3"/>
        <w:tabs>
          <w:tab w:val="left" w:pos="880"/>
        </w:tabs>
        <w:kinsoku w:val="0"/>
        <w:overflowPunct w:val="0"/>
        <w:spacing w:before="0" w:line="480" w:lineRule="auto"/>
        <w:ind w:left="0"/>
        <w:jc w:val="center"/>
        <w:rPr>
          <w:rFonts w:hint="default" w:ascii="黑体" w:hAnsi="黑体" w:eastAsia="黑体" w:cs="黑体"/>
          <w:b/>
          <w:w w:val="95"/>
          <w:sz w:val="30"/>
          <w:szCs w:val="30"/>
        </w:rPr>
      </w:pPr>
    </w:p>
    <w:p>
      <w:pPr>
        <w:pStyle w:val="3"/>
        <w:tabs>
          <w:tab w:val="left" w:pos="880"/>
        </w:tabs>
        <w:kinsoku w:val="0"/>
        <w:overflowPunct w:val="0"/>
        <w:spacing w:before="0" w:line="480" w:lineRule="auto"/>
        <w:ind w:left="0"/>
        <w:jc w:val="center"/>
        <w:rPr>
          <w:rFonts w:hint="default" w:ascii="黑体" w:hAnsi="黑体" w:eastAsia="黑体" w:cs="黑体"/>
          <w:b/>
          <w:sz w:val="44"/>
          <w:szCs w:val="44"/>
        </w:rPr>
      </w:pPr>
      <w:r>
        <w:rPr>
          <w:rFonts w:ascii="黑体" w:hAnsi="黑体" w:eastAsia="黑体" w:cs="黑体"/>
          <w:b/>
          <w:w w:val="95"/>
          <w:sz w:val="44"/>
          <w:szCs w:val="44"/>
        </w:rPr>
        <w:t>目</w:t>
      </w:r>
      <w:r>
        <w:rPr>
          <w:rFonts w:ascii="黑体" w:hAnsi="黑体" w:eastAsia="黑体" w:cs="黑体"/>
          <w:b/>
          <w:w w:val="95"/>
          <w:sz w:val="44"/>
          <w:szCs w:val="44"/>
        </w:rPr>
        <w:tab/>
      </w:r>
      <w:r>
        <w:rPr>
          <w:rFonts w:ascii="黑体" w:hAnsi="黑体" w:eastAsia="黑体" w:cs="黑体"/>
          <w:b/>
          <w:sz w:val="44"/>
          <w:szCs w:val="44"/>
        </w:rPr>
        <w:t>录</w:t>
      </w:r>
    </w:p>
    <w:p>
      <w:pPr>
        <w:kinsoku w:val="0"/>
        <w:overflowPunct w:val="0"/>
        <w:autoSpaceDE w:val="0"/>
        <w:autoSpaceDN w:val="0"/>
        <w:adjustRightInd w:val="0"/>
        <w:spacing w:before="351"/>
        <w:ind w:right="126"/>
        <w:rPr>
          <w:rFonts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淮滨县</w:t>
      </w:r>
      <w:r>
        <w:rPr>
          <w:rFonts w:hint="eastAsia" w:ascii="黑体" w:hAnsi="黑体" w:eastAsia="黑体" w:cs="黑体"/>
          <w:spacing w:val="-7"/>
          <w:sz w:val="32"/>
          <w:szCs w:val="32"/>
          <w:lang w:val="en-US" w:eastAsia="zh-CN"/>
        </w:rPr>
        <w:t>思源实验学校</w:t>
      </w:r>
      <w:r>
        <w:rPr>
          <w:rFonts w:hint="eastAsia" w:ascii="黑体" w:hAnsi="黑体" w:eastAsia="黑体" w:cs="黑体"/>
          <w:sz w:val="32"/>
          <w:szCs w:val="32"/>
        </w:rPr>
        <w:t>概况</w:t>
      </w:r>
    </w:p>
    <w:p>
      <w:pPr>
        <w:kinsoku w:val="0"/>
        <w:overflowPunct w:val="0"/>
        <w:autoSpaceDE w:val="0"/>
        <w:autoSpaceDN w:val="0"/>
        <w:adjustRightInd w:val="0"/>
        <w:spacing w:line="560" w:lineRule="exact"/>
        <w:ind w:firstLine="320" w:firstLineChars="100"/>
        <w:rPr>
          <w:rFonts w:ascii="仿宋" w:hAnsi="仿宋" w:eastAsia="仿宋" w:cs="Times New Roman"/>
          <w:w w:val="99"/>
          <w:sz w:val="32"/>
          <w:szCs w:val="32"/>
        </w:rPr>
      </w:pPr>
      <w:r>
        <w:rPr>
          <w:rFonts w:hint="eastAsia" w:ascii="仿宋" w:hAnsi="仿宋" w:eastAsia="仿宋" w:cs="Times New Roman"/>
          <w:sz w:val="32"/>
          <w:szCs w:val="32"/>
        </w:rPr>
        <w:t>一、主要职责</w:t>
      </w:r>
      <w:r>
        <w:rPr>
          <w:rFonts w:hint="eastAsia" w:ascii="仿宋" w:hAnsi="仿宋" w:eastAsia="仿宋" w:cs="Times New Roman"/>
          <w:w w:val="99"/>
          <w:sz w:val="32"/>
          <w:szCs w:val="32"/>
        </w:rPr>
        <w:t xml:space="preserve"> </w:t>
      </w:r>
    </w:p>
    <w:p>
      <w:pPr>
        <w:kinsoku w:val="0"/>
        <w:overflowPunct w:val="0"/>
        <w:autoSpaceDE w:val="0"/>
        <w:autoSpaceDN w:val="0"/>
        <w:adjustRightInd w:val="0"/>
        <w:spacing w:line="560" w:lineRule="exact"/>
        <w:ind w:firstLine="320" w:firstLineChars="100"/>
        <w:rPr>
          <w:rFonts w:ascii="仿宋" w:hAnsi="仿宋" w:eastAsia="仿宋" w:cs="Times New Roman"/>
          <w:sz w:val="32"/>
          <w:szCs w:val="32"/>
        </w:rPr>
      </w:pPr>
      <w:r>
        <w:rPr>
          <w:rFonts w:hint="eastAsia" w:ascii="仿宋" w:hAnsi="仿宋" w:eastAsia="仿宋" w:cs="Times New Roman"/>
          <w:sz w:val="32"/>
          <w:szCs w:val="32"/>
        </w:rPr>
        <w:t>二、部门所属预算单位构成情况</w:t>
      </w:r>
    </w:p>
    <w:p>
      <w:pPr>
        <w:kinsoku w:val="0"/>
        <w:overflowPunct w:val="0"/>
        <w:autoSpaceDE w:val="0"/>
        <w:autoSpaceDN w:val="0"/>
        <w:adjustRightInd w:val="0"/>
        <w:spacing w:before="12" w:line="357" w:lineRule="auto"/>
        <w:ind w:right="126"/>
        <w:rPr>
          <w:rFonts w:ascii="黑体" w:hAnsi="黑体" w:eastAsia="黑体" w:cs="Times New Roman"/>
          <w:w w:val="99"/>
          <w:sz w:val="32"/>
          <w:szCs w:val="32"/>
        </w:rPr>
      </w:pPr>
      <w:r>
        <w:rPr>
          <w:rFonts w:hint="eastAsia" w:ascii="黑体" w:hAnsi="黑体" w:eastAsia="黑体" w:cs="Times New Roman"/>
          <w:sz w:val="32"/>
          <w:szCs w:val="32"/>
        </w:rPr>
        <w:t>第二部分</w:t>
      </w:r>
      <w:r>
        <w:rPr>
          <w:rFonts w:hint="eastAsia" w:ascii="黑体" w:hAnsi="黑体" w:eastAsia="黑体" w:cs="Times New Roman"/>
          <w:spacing w:val="-5"/>
          <w:sz w:val="32"/>
          <w:szCs w:val="32"/>
        </w:rPr>
        <w:t xml:space="preserve"> 淮滨县</w:t>
      </w:r>
      <w:r>
        <w:rPr>
          <w:rFonts w:hint="eastAsia" w:ascii="黑体" w:hAnsi="黑体" w:eastAsia="黑体" w:cs="Times New Roman"/>
          <w:spacing w:val="-5"/>
          <w:sz w:val="32"/>
          <w:szCs w:val="32"/>
          <w:lang w:val="en-US" w:eastAsia="zh-CN"/>
        </w:rPr>
        <w:t>思源实验学校</w:t>
      </w:r>
      <w:r>
        <w:rPr>
          <w:rFonts w:hint="eastAsia" w:ascii="黑体" w:hAnsi="黑体" w:eastAsia="黑体" w:cs="Times New Roman"/>
          <w:spacing w:val="-84"/>
          <w:sz w:val="32"/>
          <w:szCs w:val="32"/>
        </w:rPr>
        <w:t xml:space="preserve"> </w:t>
      </w:r>
      <w:r>
        <w:rPr>
          <w:rFonts w:hint="eastAsia" w:ascii="黑体" w:hAnsi="黑体" w:eastAsia="黑体" w:cs="Times New Roman"/>
          <w:sz w:val="32"/>
          <w:szCs w:val="32"/>
          <w:lang w:eastAsia="zh-CN"/>
        </w:rPr>
        <w:t>2023</w:t>
      </w:r>
      <w:r>
        <w:rPr>
          <w:rFonts w:hint="eastAsia" w:ascii="黑体" w:hAnsi="黑体" w:eastAsia="黑体" w:cs="Times New Roman"/>
          <w:spacing w:val="-83"/>
          <w:sz w:val="32"/>
          <w:szCs w:val="32"/>
        </w:rPr>
        <w:t xml:space="preserve"> </w:t>
      </w:r>
      <w:r>
        <w:rPr>
          <w:rFonts w:hint="eastAsia" w:ascii="黑体" w:hAnsi="黑体" w:eastAsia="黑体" w:cs="Times New Roman"/>
          <w:sz w:val="32"/>
          <w:szCs w:val="32"/>
        </w:rPr>
        <w:t>年度部门预算情况说明</w:t>
      </w:r>
      <w:r>
        <w:rPr>
          <w:rFonts w:hint="eastAsia" w:ascii="黑体" w:hAnsi="黑体" w:eastAsia="黑体" w:cs="Times New Roman"/>
          <w:w w:val="99"/>
          <w:sz w:val="32"/>
          <w:szCs w:val="32"/>
        </w:rPr>
        <w:t xml:space="preserve"> </w:t>
      </w:r>
    </w:p>
    <w:p>
      <w:pPr>
        <w:kinsoku w:val="0"/>
        <w:overflowPunct w:val="0"/>
        <w:autoSpaceDE w:val="0"/>
        <w:autoSpaceDN w:val="0"/>
        <w:adjustRightInd w:val="0"/>
        <w:spacing w:before="12" w:line="357" w:lineRule="auto"/>
        <w:ind w:right="126"/>
        <w:rPr>
          <w:rFonts w:ascii="黑体" w:hAnsi="黑体" w:eastAsia="黑体" w:cs="Times New Roman"/>
          <w:sz w:val="32"/>
          <w:szCs w:val="32"/>
        </w:rPr>
      </w:pPr>
      <w:r>
        <w:rPr>
          <w:rFonts w:hint="eastAsia" w:ascii="黑体" w:hAnsi="黑体" w:eastAsia="黑体" w:cs="Times New Roman"/>
          <w:sz w:val="32"/>
          <w:szCs w:val="32"/>
        </w:rPr>
        <w:t>第三部分</w:t>
      </w:r>
      <w:r>
        <w:rPr>
          <w:rFonts w:hint="eastAsia" w:ascii="黑体" w:hAnsi="黑体" w:eastAsia="黑体" w:cs="Times New Roman"/>
          <w:spacing w:val="-3"/>
          <w:sz w:val="32"/>
          <w:szCs w:val="32"/>
        </w:rPr>
        <w:t xml:space="preserve"> </w:t>
      </w:r>
      <w:r>
        <w:rPr>
          <w:rFonts w:hint="eastAsia" w:ascii="黑体" w:hAnsi="黑体" w:eastAsia="黑体" w:cs="Times New Roman"/>
          <w:sz w:val="32"/>
          <w:szCs w:val="32"/>
        </w:rPr>
        <w:t>名词解释</w:t>
      </w:r>
    </w:p>
    <w:p>
      <w:pPr>
        <w:kinsoku w:val="0"/>
        <w:overflowPunct w:val="0"/>
        <w:autoSpaceDE w:val="0"/>
        <w:autoSpaceDN w:val="0"/>
        <w:adjustRightInd w:val="0"/>
        <w:spacing w:before="48" w:line="345" w:lineRule="auto"/>
        <w:ind w:right="766"/>
        <w:rPr>
          <w:rFonts w:ascii="黑体" w:hAnsi="黑体" w:eastAsia="黑体" w:cs="Times New Roman"/>
          <w:sz w:val="32"/>
          <w:szCs w:val="32"/>
        </w:rPr>
      </w:pPr>
      <w:r>
        <w:rPr>
          <w:rFonts w:hint="eastAsia" w:ascii="黑体" w:hAnsi="黑体" w:eastAsia="黑体" w:cs="Times New Roman"/>
          <w:sz w:val="32"/>
          <w:szCs w:val="32"/>
        </w:rPr>
        <w:t>附件：淮滨县</w:t>
      </w:r>
      <w:r>
        <w:rPr>
          <w:rFonts w:hint="eastAsia" w:ascii="黑体" w:hAnsi="黑体" w:eastAsia="黑体" w:cs="Times New Roman"/>
          <w:sz w:val="32"/>
          <w:szCs w:val="32"/>
          <w:lang w:val="en-US" w:eastAsia="zh-CN"/>
        </w:rPr>
        <w:t>思源实验学校</w:t>
      </w:r>
      <w:r>
        <w:rPr>
          <w:rFonts w:hint="eastAsia" w:ascii="黑体" w:hAnsi="黑体" w:eastAsia="黑体" w:cs="Times New Roman"/>
          <w:sz w:val="32"/>
          <w:szCs w:val="32"/>
          <w:lang w:eastAsia="zh-CN"/>
        </w:rPr>
        <w:t>2023</w:t>
      </w:r>
      <w:r>
        <w:rPr>
          <w:rFonts w:hint="eastAsia" w:ascii="黑体" w:hAnsi="黑体" w:eastAsia="黑体" w:cs="Times New Roman"/>
          <w:sz w:val="32"/>
          <w:szCs w:val="32"/>
        </w:rPr>
        <w:t>年度部门预算表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年部门收支预算表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年部门收入预算表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年部门支出预算表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年财政拨款收支预算表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年一般公共预算支出预算表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年一般公共预算基本支出预算表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年支出经济分类汇总表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年一般公共预算“三公”经费预算表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年政府性基金支出预算表</w:t>
      </w:r>
    </w:p>
    <w:p>
      <w:pPr>
        <w:numPr>
          <w:ilvl w:val="0"/>
          <w:numId w:val="1"/>
        </w:numPr>
        <w:kinsoku w:val="0"/>
        <w:overflowPunct w:val="0"/>
        <w:autoSpaceDE w:val="0"/>
        <w:autoSpaceDN w:val="0"/>
        <w:adjustRightInd w:val="0"/>
        <w:spacing w:before="48" w:line="560" w:lineRule="exact"/>
        <w:ind w:right="765" w:firstLine="28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年国有资本经营支出预算表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年项目支出预算表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年政府采购预算表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年部门(单位)整体绩效目标表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w:t>
      </w:r>
      <w:r>
        <w:rPr>
          <w:rFonts w:hint="eastAsia" w:ascii="仿宋" w:hAnsi="仿宋" w:eastAsia="仿宋" w:cs="Times New Roman"/>
          <w:sz w:val="32"/>
          <w:szCs w:val="32"/>
        </w:rPr>
        <w:t>年部门(单位)预算项目绩效目标表</w:t>
      </w: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pStyle w:val="3"/>
        <w:numPr>
          <w:ilvl w:val="0"/>
          <w:numId w:val="2"/>
        </w:numPr>
        <w:tabs>
          <w:tab w:val="left" w:pos="880"/>
        </w:tabs>
        <w:kinsoku w:val="0"/>
        <w:overflowPunct w:val="0"/>
        <w:spacing w:before="0"/>
        <w:jc w:val="center"/>
        <w:rPr>
          <w:rFonts w:hint="default" w:ascii="黑体" w:hAnsi="黑体" w:eastAsia="黑体" w:cs="黑体"/>
          <w:b/>
          <w:sz w:val="36"/>
          <w:szCs w:val="36"/>
        </w:rPr>
      </w:pPr>
    </w:p>
    <w:p>
      <w:pPr>
        <w:pStyle w:val="3"/>
        <w:tabs>
          <w:tab w:val="left" w:pos="880"/>
        </w:tabs>
        <w:kinsoku w:val="0"/>
        <w:overflowPunct w:val="0"/>
        <w:spacing w:before="0"/>
        <w:ind w:left="0"/>
        <w:jc w:val="center"/>
        <w:rPr>
          <w:rFonts w:hint="default" w:ascii="黑体" w:hAnsi="黑体" w:eastAsia="黑体" w:cs="黑体"/>
          <w:b/>
          <w:sz w:val="36"/>
          <w:szCs w:val="36"/>
        </w:rPr>
      </w:pPr>
      <w:r>
        <w:rPr>
          <w:rFonts w:ascii="黑体" w:hAnsi="黑体" w:eastAsia="黑体" w:cs="黑体"/>
          <w:b/>
          <w:sz w:val="36"/>
          <w:szCs w:val="36"/>
        </w:rPr>
        <w:t>淮滨县</w:t>
      </w:r>
      <w:r>
        <w:rPr>
          <w:rFonts w:hint="eastAsia" w:ascii="黑体" w:hAnsi="黑体" w:eastAsia="黑体" w:cs="黑体"/>
          <w:b/>
          <w:sz w:val="36"/>
          <w:szCs w:val="36"/>
          <w:lang w:val="en-US" w:eastAsia="zh-CN"/>
        </w:rPr>
        <w:t>思源实验学校</w:t>
      </w:r>
      <w:r>
        <w:rPr>
          <w:rFonts w:ascii="黑体" w:hAnsi="黑体" w:eastAsia="黑体" w:cs="黑体"/>
          <w:b/>
          <w:sz w:val="36"/>
          <w:szCs w:val="36"/>
        </w:rPr>
        <w:t>概况</w:t>
      </w:r>
    </w:p>
    <w:p>
      <w:pPr>
        <w:pStyle w:val="3"/>
        <w:tabs>
          <w:tab w:val="left" w:pos="880"/>
        </w:tabs>
        <w:kinsoku w:val="0"/>
        <w:overflowPunct w:val="0"/>
        <w:spacing w:before="0"/>
        <w:ind w:left="0"/>
        <w:jc w:val="center"/>
        <w:rPr>
          <w:rFonts w:hint="default" w:ascii="黑体" w:hAnsi="黑体" w:eastAsia="黑体" w:cs="黑体"/>
          <w:b/>
          <w:sz w:val="36"/>
          <w:szCs w:val="36"/>
        </w:rPr>
      </w:pPr>
    </w:p>
    <w:p>
      <w:pPr>
        <w:pStyle w:val="3"/>
        <w:numPr>
          <w:ilvl w:val="0"/>
          <w:numId w:val="3"/>
        </w:numPr>
        <w:tabs>
          <w:tab w:val="left" w:pos="880"/>
        </w:tabs>
        <w:kinsoku w:val="0"/>
        <w:overflowPunct w:val="0"/>
        <w:spacing w:before="0"/>
        <w:ind w:firstLine="640" w:firstLineChars="200"/>
        <w:jc w:val="left"/>
        <w:rPr>
          <w:rFonts w:hint="default" w:ascii="黑体" w:hAnsi="黑体" w:eastAsia="黑体" w:cs="黑体"/>
          <w:bCs/>
          <w:szCs w:val="32"/>
        </w:rPr>
      </w:pPr>
      <w:r>
        <w:rPr>
          <w:rFonts w:ascii="黑体" w:hAnsi="黑体" w:eastAsia="黑体" w:cs="黑体"/>
          <w:bCs/>
          <w:szCs w:val="32"/>
        </w:rPr>
        <w:t>淮滨县</w:t>
      </w:r>
      <w:r>
        <w:rPr>
          <w:rFonts w:hint="eastAsia" w:ascii="黑体" w:hAnsi="黑体" w:eastAsia="黑体" w:cs="黑体"/>
          <w:bCs/>
          <w:szCs w:val="32"/>
          <w:lang w:val="en-US" w:eastAsia="zh-CN"/>
        </w:rPr>
        <w:t>思源实验学校</w:t>
      </w:r>
      <w:r>
        <w:rPr>
          <w:rFonts w:ascii="黑体" w:hAnsi="黑体" w:eastAsia="黑体" w:cs="黑体"/>
          <w:bCs/>
          <w:szCs w:val="32"/>
        </w:rPr>
        <w:t>主要职责</w:t>
      </w:r>
    </w:p>
    <w:p>
      <w:pPr>
        <w:pStyle w:val="3"/>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ascii="仿宋_GB2312" w:hAnsi="仿宋_GB2312" w:eastAsia="仿宋_GB2312" w:cs="仿宋_GB2312"/>
          <w:bCs/>
          <w:szCs w:val="32"/>
        </w:rPr>
        <w:t>淮滨县</w:t>
      </w:r>
      <w:r>
        <w:rPr>
          <w:rFonts w:hint="eastAsia" w:ascii="仿宋_GB2312" w:hAnsi="仿宋_GB2312" w:eastAsia="仿宋_GB2312" w:cs="仿宋_GB2312"/>
          <w:bCs/>
          <w:szCs w:val="32"/>
          <w:lang w:val="en-US" w:eastAsia="zh-CN"/>
        </w:rPr>
        <w:t>思源实验学校</w:t>
      </w:r>
      <w:r>
        <w:rPr>
          <w:rFonts w:ascii="仿宋_GB2312" w:hAnsi="仿宋_GB2312" w:eastAsia="仿宋_GB2312" w:cs="仿宋_GB2312"/>
          <w:bCs/>
          <w:szCs w:val="32"/>
        </w:rPr>
        <w:t>主要职责是：</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hint="eastAsia" w:ascii="仿宋_GB2312" w:hAnsi="仿宋_GB2312" w:eastAsia="仿宋_GB2312" w:cs="仿宋_GB2312"/>
          <w:bCs/>
          <w:szCs w:val="32"/>
        </w:rPr>
        <w:t>正确贯彻执行党和国家的教育方针、政策、法规</w:t>
      </w:r>
      <w:r>
        <w:rPr>
          <w:rFonts w:hint="eastAsia" w:ascii="仿宋_GB2312" w:hAnsi="仿宋_GB2312" w:eastAsia="仿宋_GB2312" w:cs="仿宋_GB2312"/>
          <w:bCs/>
          <w:szCs w:val="32"/>
          <w:lang w:eastAsia="zh-CN"/>
        </w:rPr>
        <w:t>，</w:t>
      </w:r>
      <w:r>
        <w:rPr>
          <w:rFonts w:hint="eastAsia" w:ascii="仿宋_GB2312" w:hAnsi="仿宋_GB2312" w:eastAsia="仿宋_GB2312" w:cs="仿宋_GB2312"/>
          <w:bCs/>
          <w:szCs w:val="32"/>
        </w:rPr>
        <w:t>使本学区适龄儿童顺利完成本年度义务教育。</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hint="eastAsia" w:ascii="仿宋_GB2312" w:hAnsi="仿宋_GB2312" w:eastAsia="仿宋_GB2312" w:cs="仿宋_GB2312"/>
          <w:bCs/>
          <w:szCs w:val="32"/>
        </w:rPr>
        <w:t>维护学校的教学秩序，为学生创造良好的学习环境</w:t>
      </w:r>
      <w:r>
        <w:rPr>
          <w:rFonts w:hint="eastAsia" w:ascii="仿宋_GB2312" w:hAnsi="仿宋_GB2312" w:eastAsia="仿宋_GB2312" w:cs="仿宋_GB2312"/>
          <w:bCs/>
          <w:szCs w:val="32"/>
          <w:lang w:eastAsia="zh-CN"/>
        </w:rPr>
        <w:t>，</w:t>
      </w:r>
      <w:r>
        <w:rPr>
          <w:rFonts w:hint="default" w:ascii="仿宋_GB2312" w:hAnsi="仿宋_GB2312" w:eastAsia="仿宋_GB2312" w:cs="仿宋_GB2312"/>
          <w:bCs/>
          <w:szCs w:val="32"/>
        </w:rPr>
        <w:t>改善学校办学条件，提高社会认可度。</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hint="eastAsia" w:ascii="仿宋_GB2312" w:hAnsi="仿宋_GB2312" w:eastAsia="仿宋_GB2312" w:cs="仿宋_GB2312"/>
          <w:bCs/>
          <w:szCs w:val="32"/>
        </w:rPr>
        <w:t>积极稳妥地推进教育改革，按教育规律办事，不断提高教育质量</w:t>
      </w:r>
      <w:r>
        <w:rPr>
          <w:rFonts w:hint="eastAsia" w:ascii="仿宋_GB2312" w:hAnsi="仿宋_GB2312" w:eastAsia="仿宋_GB2312" w:cs="仿宋_GB2312"/>
          <w:bCs/>
          <w:szCs w:val="32"/>
          <w:lang w:eastAsia="zh-CN"/>
        </w:rPr>
        <w:t>，</w:t>
      </w:r>
      <w:r>
        <w:rPr>
          <w:rFonts w:hint="default" w:ascii="仿宋_GB2312" w:hAnsi="仿宋_GB2312" w:eastAsia="仿宋_GB2312" w:cs="仿宋_GB2312"/>
          <w:bCs/>
          <w:szCs w:val="32"/>
        </w:rPr>
        <w:t>完成学校教育教学工作。</w:t>
      </w:r>
    </w:p>
    <w:p>
      <w:pPr>
        <w:pStyle w:val="3"/>
        <w:numPr>
          <w:ilvl w:val="0"/>
          <w:numId w:val="4"/>
        </w:numPr>
        <w:tabs>
          <w:tab w:val="left" w:pos="880"/>
        </w:tabs>
        <w:kinsoku w:val="0"/>
        <w:overflowPunct w:val="0"/>
        <w:spacing w:before="0"/>
        <w:ind w:left="420" w:leftChars="200" w:firstLine="320" w:firstLineChars="100"/>
        <w:jc w:val="left"/>
        <w:rPr>
          <w:rFonts w:hint="eastAsia" w:ascii="仿宋_GB2312" w:hAnsi="仿宋_GB2312" w:eastAsia="仿宋_GB2312" w:cs="仿宋_GB2312"/>
          <w:bCs/>
          <w:szCs w:val="32"/>
        </w:rPr>
      </w:pPr>
      <w:r>
        <w:rPr>
          <w:rFonts w:hint="eastAsia" w:ascii="仿宋_GB2312" w:hAnsi="仿宋_GB2312" w:eastAsia="仿宋_GB2312" w:cs="仿宋_GB2312"/>
          <w:bCs/>
          <w:szCs w:val="32"/>
        </w:rPr>
        <w:t>根据学校规模，设置学校管理机构，建立健全各项规章制度和岗位责任制。</w:t>
      </w:r>
    </w:p>
    <w:p>
      <w:pPr>
        <w:pStyle w:val="3"/>
        <w:numPr>
          <w:ilvl w:val="0"/>
          <w:numId w:val="4"/>
        </w:numPr>
        <w:tabs>
          <w:tab w:val="left" w:pos="880"/>
        </w:tabs>
        <w:kinsoku w:val="0"/>
        <w:overflowPunct w:val="0"/>
        <w:spacing w:before="0"/>
        <w:ind w:left="420" w:leftChars="200" w:firstLine="320" w:firstLineChars="100"/>
        <w:jc w:val="left"/>
        <w:rPr>
          <w:rFonts w:hint="eastAsia" w:ascii="仿宋_GB2312" w:hAnsi="仿宋_GB2312" w:eastAsia="仿宋_GB2312" w:cs="仿宋_GB2312"/>
          <w:bCs/>
          <w:szCs w:val="32"/>
        </w:rPr>
      </w:pPr>
      <w:r>
        <w:rPr>
          <w:rFonts w:hint="eastAsia" w:ascii="仿宋_GB2312" w:hAnsi="仿宋_GB2312" w:eastAsia="仿宋_GB2312" w:cs="仿宋_GB2312"/>
          <w:bCs/>
          <w:szCs w:val="32"/>
        </w:rPr>
        <w:t>坚持教书育人，服务育人，环境育人方针，加强对学生的思想品德教育，使学生的德智体全面发展。</w:t>
      </w:r>
    </w:p>
    <w:p>
      <w:pPr>
        <w:pStyle w:val="3"/>
        <w:numPr>
          <w:ilvl w:val="0"/>
          <w:numId w:val="4"/>
        </w:numPr>
        <w:tabs>
          <w:tab w:val="left" w:pos="880"/>
        </w:tabs>
        <w:kinsoku w:val="0"/>
        <w:overflowPunct w:val="0"/>
        <w:spacing w:before="0"/>
        <w:ind w:left="420" w:leftChars="200" w:firstLine="320" w:firstLineChars="100"/>
        <w:jc w:val="left"/>
        <w:rPr>
          <w:rFonts w:hint="eastAsia" w:ascii="仿宋_GB2312" w:hAnsi="仿宋_GB2312" w:eastAsia="仿宋_GB2312" w:cs="仿宋_GB2312"/>
          <w:bCs/>
          <w:szCs w:val="32"/>
        </w:rPr>
      </w:pPr>
      <w:r>
        <w:rPr>
          <w:rFonts w:hint="eastAsia" w:ascii="仿宋_GB2312" w:hAnsi="仿宋_GB2312" w:eastAsia="仿宋_GB2312" w:cs="仿宋_GB2312"/>
          <w:bCs/>
          <w:szCs w:val="32"/>
        </w:rPr>
        <w:t>抓好教师队伍建设，完成教师培训工作</w:t>
      </w:r>
      <w:r>
        <w:rPr>
          <w:rFonts w:hint="eastAsia" w:ascii="仿宋_GB2312" w:hAnsi="仿宋_GB2312" w:eastAsia="仿宋_GB2312" w:cs="仿宋_GB2312"/>
          <w:bCs/>
          <w:szCs w:val="32"/>
          <w:lang w:eastAsia="zh-CN"/>
        </w:rPr>
        <w:t>，</w:t>
      </w:r>
      <w:r>
        <w:rPr>
          <w:rFonts w:hint="eastAsia" w:ascii="仿宋_GB2312" w:hAnsi="仿宋_GB2312" w:eastAsia="仿宋_GB2312" w:cs="仿宋_GB2312"/>
          <w:bCs/>
          <w:szCs w:val="32"/>
        </w:rPr>
        <w:t>使每个教师都热心于教育事业</w:t>
      </w:r>
      <w:r>
        <w:rPr>
          <w:rFonts w:hint="eastAsia" w:ascii="仿宋_GB2312" w:hAnsi="仿宋_GB2312" w:eastAsia="仿宋_GB2312" w:cs="仿宋_GB2312"/>
          <w:bCs/>
          <w:szCs w:val="32"/>
          <w:lang w:eastAsia="zh-CN"/>
        </w:rPr>
        <w:t>。</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hint="eastAsia" w:ascii="仿宋_GB2312" w:hAnsi="仿宋_GB2312" w:eastAsia="仿宋_GB2312" w:cs="仿宋_GB2312"/>
          <w:bCs/>
          <w:szCs w:val="32"/>
        </w:rPr>
        <w:t>做好安全防范，保证学生的人</w:t>
      </w:r>
      <w:r>
        <w:rPr>
          <w:rFonts w:hint="eastAsia" w:ascii="仿宋_GB2312" w:hAnsi="仿宋_GB2312" w:eastAsia="仿宋_GB2312" w:cs="仿宋_GB2312"/>
          <w:bCs/>
          <w:szCs w:val="32"/>
          <w:lang w:val="en-US" w:eastAsia="zh-CN"/>
        </w:rPr>
        <w:t>身</w:t>
      </w:r>
      <w:r>
        <w:rPr>
          <w:rFonts w:hint="eastAsia" w:ascii="仿宋_GB2312" w:hAnsi="仿宋_GB2312" w:eastAsia="仿宋_GB2312" w:cs="仿宋_GB2312"/>
          <w:bCs/>
          <w:szCs w:val="32"/>
        </w:rPr>
        <w:t>安全。</w:t>
      </w:r>
    </w:p>
    <w:p>
      <w:pPr>
        <w:numPr>
          <w:ilvl w:val="0"/>
          <w:numId w:val="3"/>
        </w:numPr>
        <w:ind w:left="120" w:leftChars="0" w:firstLine="643" w:firstLineChars="200"/>
        <w:jc w:val="left"/>
        <w:rPr>
          <w:rFonts w:hint="eastAsia" w:ascii="黑体" w:hAnsi="黑体" w:eastAsia="黑体" w:cs="黑体"/>
          <w:b/>
          <w:bCs/>
          <w:color w:val="000000"/>
          <w:sz w:val="32"/>
          <w:szCs w:val="32"/>
        </w:rPr>
      </w:pPr>
      <w:r>
        <w:rPr>
          <w:rFonts w:hint="eastAsia" w:ascii="黑体" w:hAnsi="黑体" w:eastAsia="黑体" w:cs="黑体"/>
          <w:b/>
          <w:bCs/>
          <w:color w:val="000000"/>
          <w:sz w:val="32"/>
          <w:szCs w:val="32"/>
        </w:rPr>
        <w:t>内设机构设置情况</w:t>
      </w:r>
    </w:p>
    <w:p>
      <w:pPr>
        <w:numPr>
          <w:numId w:val="0"/>
        </w:numPr>
        <w:ind w:leftChars="200"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淮滨县思源实验学校内设机构</w:t>
      </w:r>
      <w:r>
        <w:rPr>
          <w:rFonts w:hint="eastAsia" w:ascii="仿宋_GB2312" w:hAnsi="仿宋_GB2312" w:eastAsia="仿宋_GB2312" w:cs="仿宋_GB2312"/>
          <w:bCs/>
          <w:sz w:val="32"/>
          <w:szCs w:val="32"/>
        </w:rPr>
        <w:t>包括：</w:t>
      </w:r>
      <w:r>
        <w:rPr>
          <w:rFonts w:hint="eastAsia" w:ascii="仿宋_GB2312" w:hAnsi="仿宋_GB2312" w:eastAsia="仿宋_GB2312" w:cs="仿宋_GB2312"/>
          <w:bCs/>
          <w:sz w:val="32"/>
          <w:szCs w:val="32"/>
          <w:lang w:val="en-US" w:eastAsia="zh-CN"/>
        </w:rPr>
        <w:t>教务处</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政教处</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总务处</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办公室等部门</w:t>
      </w:r>
      <w:r>
        <w:rPr>
          <w:rFonts w:hint="eastAsia" w:ascii="仿宋_GB2312" w:hAnsi="仿宋_GB2312" w:eastAsia="仿宋_GB2312" w:cs="仿宋_GB2312"/>
          <w:bCs/>
          <w:sz w:val="32"/>
          <w:szCs w:val="32"/>
        </w:rPr>
        <w:t>。</w:t>
      </w:r>
    </w:p>
    <w:p>
      <w:pPr>
        <w:pStyle w:val="3"/>
        <w:numPr>
          <w:ilvl w:val="0"/>
          <w:numId w:val="3"/>
        </w:numPr>
        <w:tabs>
          <w:tab w:val="left" w:pos="880"/>
        </w:tabs>
        <w:kinsoku w:val="0"/>
        <w:overflowPunct w:val="0"/>
        <w:spacing w:before="0"/>
        <w:ind w:firstLine="643" w:firstLineChars="200"/>
        <w:jc w:val="left"/>
        <w:rPr>
          <w:rFonts w:hint="eastAsia" w:ascii="黑体" w:hAnsi="黑体" w:eastAsia="黑体" w:cs="黑体"/>
          <w:bCs/>
          <w:szCs w:val="32"/>
        </w:rPr>
      </w:pPr>
      <w:r>
        <w:rPr>
          <w:rFonts w:hint="eastAsia" w:ascii="黑体" w:hAnsi="黑体" w:eastAsia="黑体" w:cs="黑体"/>
          <w:b/>
          <w:bCs/>
          <w:color w:val="000000"/>
          <w:sz w:val="32"/>
          <w:szCs w:val="32"/>
        </w:rPr>
        <w:t>部门所属预算单位构成</w:t>
      </w:r>
      <w:r>
        <w:rPr>
          <w:rFonts w:hint="eastAsia" w:ascii="黑体" w:hAnsi="黑体" w:eastAsia="黑体" w:cs="黑体"/>
          <w:b/>
          <w:bCs/>
          <w:color w:val="000000"/>
          <w:sz w:val="32"/>
          <w:szCs w:val="32"/>
          <w:lang w:val="en-US" w:eastAsia="zh-CN"/>
        </w:rPr>
        <w:t>情况</w:t>
      </w:r>
      <w:bookmarkStart w:id="0" w:name="_GoBack"/>
      <w:bookmarkEnd w:id="0"/>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淮滨县</w:t>
      </w:r>
      <w:r>
        <w:rPr>
          <w:rFonts w:hint="eastAsia" w:ascii="仿宋_GB2312" w:hAnsi="仿宋_GB2312" w:eastAsia="仿宋_GB2312" w:cs="仿宋_GB2312"/>
          <w:bCs/>
          <w:sz w:val="32"/>
          <w:szCs w:val="32"/>
          <w:lang w:val="en-US" w:eastAsia="zh-CN"/>
        </w:rPr>
        <w:t>思源实验学校</w:t>
      </w:r>
      <w:r>
        <w:rPr>
          <w:rFonts w:hint="eastAsia" w:ascii="仿宋_GB2312" w:hAnsi="仿宋_GB2312" w:eastAsia="仿宋_GB2312" w:cs="仿宋_GB2312"/>
          <w:bCs/>
          <w:sz w:val="32"/>
          <w:szCs w:val="32"/>
          <w:lang w:eastAsia="zh-CN"/>
        </w:rPr>
        <w:t>2023</w:t>
      </w:r>
      <w:r>
        <w:rPr>
          <w:rFonts w:hint="eastAsia" w:ascii="仿宋_GB2312" w:hAnsi="仿宋_GB2312" w:eastAsia="仿宋_GB2312" w:cs="仿宋_GB2312"/>
          <w:bCs/>
          <w:sz w:val="32"/>
          <w:szCs w:val="32"/>
        </w:rPr>
        <w:t>年部门预算</w:t>
      </w:r>
      <w:r>
        <w:rPr>
          <w:rFonts w:hint="eastAsia" w:ascii="仿宋_GB2312" w:hAnsi="仿宋_GB2312" w:eastAsia="仿宋_GB2312" w:cs="仿宋_GB2312"/>
          <w:bCs/>
          <w:sz w:val="32"/>
          <w:szCs w:val="32"/>
          <w:lang w:val="en-US" w:eastAsia="zh-CN"/>
        </w:rPr>
        <w:t>为校</w:t>
      </w:r>
      <w:r>
        <w:rPr>
          <w:rFonts w:hint="eastAsia" w:ascii="仿宋_GB2312" w:hAnsi="仿宋_GB2312" w:eastAsia="仿宋_GB2312" w:cs="仿宋_GB2312"/>
          <w:bCs/>
          <w:sz w:val="32"/>
          <w:szCs w:val="32"/>
        </w:rPr>
        <w:t>本级预算机构。</w:t>
      </w:r>
    </w:p>
    <w:p>
      <w:pPr>
        <w:ind w:firstLine="640" w:firstLineChars="200"/>
        <w:jc w:val="left"/>
        <w:rPr>
          <w:rFonts w:ascii="仿宋_GB2312" w:hAnsi="仿宋_GB2312" w:eastAsia="仿宋_GB2312" w:cs="仿宋_GB2312"/>
          <w:bCs/>
          <w:sz w:val="32"/>
          <w:szCs w:val="32"/>
        </w:rPr>
      </w:pPr>
    </w:p>
    <w:p>
      <w:pPr>
        <w:ind w:firstLine="3253" w:firstLineChars="900"/>
        <w:jc w:val="both"/>
        <w:rPr>
          <w:rFonts w:ascii="黑体" w:hAnsi="黑体" w:eastAsia="黑体" w:cs="黑体"/>
          <w:b/>
          <w:bCs/>
          <w:sz w:val="36"/>
          <w:szCs w:val="36"/>
        </w:rPr>
      </w:pPr>
      <w:r>
        <w:rPr>
          <w:rFonts w:hint="eastAsia" w:ascii="黑体" w:hAnsi="黑体" w:eastAsia="黑体" w:cs="黑体"/>
          <w:b/>
          <w:bCs/>
          <w:sz w:val="36"/>
          <w:szCs w:val="36"/>
        </w:rPr>
        <w:t>第二部分</w:t>
      </w:r>
    </w:p>
    <w:p>
      <w:pPr>
        <w:jc w:val="center"/>
        <w:rPr>
          <w:rFonts w:ascii="黑体" w:hAnsi="黑体" w:eastAsia="黑体" w:cs="黑体"/>
          <w:b/>
          <w:bCs/>
          <w:sz w:val="36"/>
          <w:szCs w:val="36"/>
        </w:rPr>
      </w:pPr>
      <w:r>
        <w:rPr>
          <w:rFonts w:hint="eastAsia" w:ascii="黑体" w:hAnsi="黑体" w:eastAsia="黑体" w:cs="黑体"/>
          <w:b/>
          <w:bCs/>
          <w:sz w:val="36"/>
          <w:szCs w:val="36"/>
        </w:rPr>
        <w:t>淮滨县</w:t>
      </w:r>
      <w:r>
        <w:rPr>
          <w:rFonts w:hint="eastAsia" w:ascii="黑体" w:hAnsi="黑体" w:eastAsia="黑体" w:cs="黑体"/>
          <w:b/>
          <w:bCs/>
          <w:sz w:val="36"/>
          <w:szCs w:val="36"/>
          <w:lang w:val="en-US" w:eastAsia="zh-CN"/>
        </w:rPr>
        <w:t>思源实验学校</w:t>
      </w:r>
      <w:r>
        <w:rPr>
          <w:rFonts w:hint="eastAsia" w:ascii="黑体" w:hAnsi="黑体" w:eastAsia="黑体" w:cs="黑体"/>
          <w:b/>
          <w:bCs/>
          <w:sz w:val="36"/>
          <w:szCs w:val="36"/>
          <w:lang w:eastAsia="zh-CN"/>
        </w:rPr>
        <w:t>2023</w:t>
      </w:r>
      <w:r>
        <w:rPr>
          <w:rFonts w:hint="eastAsia" w:ascii="黑体" w:hAnsi="黑体" w:eastAsia="黑体" w:cs="黑体"/>
          <w:b/>
          <w:bCs/>
          <w:sz w:val="36"/>
          <w:szCs w:val="36"/>
        </w:rPr>
        <w:t>年度部门预算情况说明</w:t>
      </w:r>
    </w:p>
    <w:p>
      <w:pPr>
        <w:jc w:val="center"/>
        <w:rPr>
          <w:rFonts w:ascii="黑体" w:hAnsi="黑体" w:eastAsia="黑体" w:cs="黑体"/>
          <w:b/>
          <w:bCs/>
          <w:sz w:val="36"/>
          <w:szCs w:val="36"/>
        </w:rPr>
      </w:pPr>
    </w:p>
    <w:p>
      <w:pPr>
        <w:numPr>
          <w:ilvl w:val="0"/>
          <w:numId w:val="5"/>
        </w:numPr>
        <w:ind w:firstLine="640"/>
        <w:jc w:val="left"/>
        <w:rPr>
          <w:rFonts w:ascii="黑体" w:hAnsi="黑体" w:eastAsia="黑体" w:cs="黑体"/>
          <w:sz w:val="32"/>
          <w:szCs w:val="32"/>
        </w:rPr>
      </w:pPr>
      <w:r>
        <w:rPr>
          <w:rFonts w:hint="eastAsia" w:ascii="黑体" w:hAnsi="黑体" w:eastAsia="黑体" w:cs="黑体"/>
          <w:sz w:val="32"/>
          <w:szCs w:val="32"/>
        </w:rPr>
        <w:t>收入支出预算总体情况说明</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淮滨县</w:t>
      </w:r>
      <w:r>
        <w:rPr>
          <w:rFonts w:hint="eastAsia" w:ascii="仿宋" w:hAnsi="仿宋" w:eastAsia="仿宋" w:cs="仿宋"/>
          <w:sz w:val="32"/>
          <w:szCs w:val="32"/>
          <w:lang w:val="en-US" w:eastAsia="zh-CN"/>
        </w:rPr>
        <w:t>思源实验学校</w:t>
      </w:r>
      <w:r>
        <w:rPr>
          <w:rFonts w:hint="eastAsia" w:ascii="仿宋" w:hAnsi="仿宋" w:eastAsia="仿宋" w:cs="仿宋"/>
          <w:sz w:val="32"/>
          <w:szCs w:val="32"/>
          <w:lang w:eastAsia="zh-CN"/>
        </w:rPr>
        <w:t>2023</w:t>
      </w:r>
      <w:r>
        <w:rPr>
          <w:rFonts w:hint="eastAsia" w:ascii="仿宋" w:hAnsi="仿宋" w:eastAsia="仿宋" w:cs="仿宋"/>
          <w:sz w:val="32"/>
          <w:szCs w:val="32"/>
        </w:rPr>
        <w:t>年收入总计</w:t>
      </w:r>
      <w:r>
        <w:rPr>
          <w:rFonts w:hint="eastAsia" w:ascii="仿宋" w:hAnsi="仿宋" w:eastAsia="仿宋" w:cs="仿宋"/>
          <w:sz w:val="32"/>
          <w:szCs w:val="32"/>
          <w:lang w:val="en-US" w:eastAsia="zh-CN"/>
        </w:rPr>
        <w:t>1825.14</w:t>
      </w:r>
      <w:r>
        <w:rPr>
          <w:rFonts w:hint="eastAsia" w:ascii="仿宋" w:hAnsi="仿宋" w:eastAsia="仿宋" w:cs="仿宋"/>
          <w:sz w:val="32"/>
          <w:szCs w:val="32"/>
        </w:rPr>
        <w:t>万元，支出总计</w:t>
      </w:r>
      <w:r>
        <w:rPr>
          <w:rFonts w:hint="eastAsia" w:ascii="仿宋" w:hAnsi="仿宋" w:eastAsia="仿宋" w:cs="仿宋"/>
          <w:sz w:val="32"/>
          <w:szCs w:val="32"/>
          <w:lang w:val="en-US" w:eastAsia="zh-CN"/>
        </w:rPr>
        <w:t>1825.14</w:t>
      </w:r>
      <w:r>
        <w:rPr>
          <w:rFonts w:hint="eastAsia" w:ascii="仿宋" w:hAnsi="仿宋" w:eastAsia="仿宋" w:cs="仿宋"/>
          <w:sz w:val="32"/>
          <w:szCs w:val="32"/>
        </w:rPr>
        <w:t>万元,与202</w:t>
      </w:r>
      <w:r>
        <w:rPr>
          <w:rFonts w:hint="eastAsia" w:ascii="仿宋" w:hAnsi="仿宋" w:eastAsia="仿宋" w:cs="仿宋"/>
          <w:sz w:val="32"/>
          <w:szCs w:val="32"/>
          <w:lang w:val="en-US" w:eastAsia="zh-CN"/>
        </w:rPr>
        <w:t>2</w:t>
      </w:r>
      <w:r>
        <w:rPr>
          <w:rFonts w:hint="eastAsia" w:ascii="仿宋" w:hAnsi="仿宋" w:eastAsia="仿宋" w:cs="仿宋"/>
          <w:sz w:val="32"/>
          <w:szCs w:val="32"/>
        </w:rPr>
        <w:t>年相比，收、支总计</w:t>
      </w:r>
      <w:r>
        <w:rPr>
          <w:rFonts w:hint="eastAsia" w:ascii="仿宋" w:hAnsi="仿宋" w:eastAsia="仿宋" w:cs="仿宋"/>
          <w:sz w:val="32"/>
          <w:szCs w:val="32"/>
          <w:lang w:val="en-US" w:eastAsia="zh-CN"/>
        </w:rPr>
        <w:t>各增加251.1</w:t>
      </w:r>
      <w:r>
        <w:rPr>
          <w:rFonts w:hint="eastAsia" w:ascii="仿宋" w:hAnsi="仿宋" w:eastAsia="仿宋" w:cs="仿宋"/>
          <w:sz w:val="32"/>
          <w:szCs w:val="32"/>
        </w:rPr>
        <w:t>万元，</w:t>
      </w:r>
      <w:r>
        <w:rPr>
          <w:rFonts w:hint="eastAsia" w:ascii="仿宋" w:hAnsi="仿宋" w:eastAsia="仿宋" w:cs="仿宋"/>
          <w:sz w:val="32"/>
          <w:szCs w:val="32"/>
          <w:lang w:val="en-US" w:eastAsia="zh-CN"/>
        </w:rPr>
        <w:t>增长16</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本单位本年度通过招录、调入增加了40多名教师，学生人数也增加了300多人。因此预算总收支增加</w:t>
      </w:r>
      <w:r>
        <w:rPr>
          <w:rFonts w:hint="eastAsia" w:ascii="仿宋" w:hAnsi="仿宋" w:eastAsia="仿宋" w:cs="仿宋"/>
          <w:sz w:val="32"/>
          <w:szCs w:val="32"/>
        </w:rPr>
        <w:t>。</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340350" cy="3567430"/>
            <wp:effectExtent l="0" t="0" r="12700" b="13970"/>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收入预算总体情况说明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w:t>
      </w:r>
      <w:r>
        <w:rPr>
          <w:rFonts w:hint="eastAsia" w:ascii="仿宋" w:hAnsi="仿宋" w:eastAsia="仿宋" w:cs="仿宋"/>
          <w:sz w:val="32"/>
          <w:lang w:val="en-US" w:eastAsia="zh-CN"/>
        </w:rPr>
        <w:t>思源实验学校</w:t>
      </w:r>
      <w:r>
        <w:rPr>
          <w:rFonts w:hint="eastAsia" w:ascii="仿宋" w:hAnsi="仿宋" w:eastAsia="仿宋" w:cs="仿宋"/>
          <w:sz w:val="32"/>
          <w:lang w:eastAsia="zh-CN"/>
        </w:rPr>
        <w:t>2023</w:t>
      </w:r>
      <w:r>
        <w:rPr>
          <w:rFonts w:hint="eastAsia" w:ascii="仿宋" w:hAnsi="仿宋" w:eastAsia="仿宋" w:cs="仿宋"/>
          <w:sz w:val="32"/>
        </w:rPr>
        <w:t>年收入合计</w:t>
      </w:r>
      <w:r>
        <w:rPr>
          <w:rFonts w:hint="eastAsia" w:ascii="仿宋" w:hAnsi="仿宋" w:eastAsia="仿宋" w:cs="仿宋"/>
          <w:sz w:val="32"/>
          <w:lang w:val="en-US" w:eastAsia="zh-CN"/>
        </w:rPr>
        <w:t>1825.14</w:t>
      </w:r>
      <w:r>
        <w:rPr>
          <w:rFonts w:hint="eastAsia" w:ascii="仿宋" w:hAnsi="仿宋" w:eastAsia="仿宋" w:cs="仿宋"/>
          <w:sz w:val="32"/>
        </w:rPr>
        <w:t>万元，其中：一般公共预算收入</w:t>
      </w:r>
      <w:r>
        <w:rPr>
          <w:rFonts w:hint="eastAsia" w:ascii="仿宋" w:hAnsi="仿宋" w:eastAsia="仿宋" w:cs="仿宋"/>
          <w:sz w:val="32"/>
          <w:lang w:val="en-US" w:eastAsia="zh-CN"/>
        </w:rPr>
        <w:t>1825.14</w:t>
      </w:r>
      <w:r>
        <w:rPr>
          <w:rFonts w:hint="eastAsia" w:ascii="仿宋" w:hAnsi="仿宋" w:eastAsia="仿宋" w:cs="仿宋"/>
          <w:sz w:val="32"/>
        </w:rPr>
        <w:t>万元，上年结转结余</w:t>
      </w:r>
      <w:r>
        <w:rPr>
          <w:rFonts w:hint="eastAsia" w:ascii="仿宋" w:hAnsi="仿宋" w:eastAsia="仿宋" w:cs="仿宋"/>
          <w:sz w:val="32"/>
          <w:lang w:val="en-US" w:eastAsia="zh-CN"/>
        </w:rPr>
        <w:t>0</w:t>
      </w:r>
      <w:r>
        <w:rPr>
          <w:rFonts w:hint="eastAsia" w:ascii="仿宋" w:hAnsi="仿宋" w:eastAsia="仿宋" w:cs="仿宋"/>
          <w:sz w:val="32"/>
        </w:rPr>
        <w:t>万元。</w:t>
      </w:r>
    </w:p>
    <w:p>
      <w:pPr>
        <w:jc w:val="left"/>
        <w:rPr>
          <w:rFonts w:ascii="仿宋" w:hAnsi="仿宋" w:eastAsia="仿宋" w:cs="仿宋"/>
          <w:sz w:val="32"/>
        </w:rPr>
      </w:pPr>
      <w:r>
        <w:rPr>
          <w:rFonts w:hint="eastAsia" w:ascii="仿宋" w:hAnsi="仿宋" w:eastAsia="仿宋" w:cs="仿宋"/>
          <w:sz w:val="32"/>
        </w:rPr>
        <w:drawing>
          <wp:inline distT="0" distB="0" distL="0" distR="0">
            <wp:extent cx="5359400" cy="3141980"/>
            <wp:effectExtent l="0" t="0" r="12700" b="1270"/>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支出预算总体情况说明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w:t>
      </w:r>
      <w:r>
        <w:rPr>
          <w:rFonts w:hint="eastAsia" w:ascii="仿宋" w:hAnsi="仿宋" w:eastAsia="仿宋" w:cs="仿宋"/>
          <w:sz w:val="32"/>
          <w:lang w:val="en-US" w:eastAsia="zh-CN"/>
        </w:rPr>
        <w:t>思源实验学校</w:t>
      </w:r>
      <w:r>
        <w:rPr>
          <w:rFonts w:hint="eastAsia" w:ascii="仿宋" w:hAnsi="仿宋" w:eastAsia="仿宋" w:cs="仿宋"/>
          <w:sz w:val="32"/>
          <w:lang w:eastAsia="zh-CN"/>
        </w:rPr>
        <w:t>2023</w:t>
      </w:r>
      <w:r>
        <w:rPr>
          <w:rFonts w:hint="eastAsia" w:ascii="仿宋" w:hAnsi="仿宋" w:eastAsia="仿宋" w:cs="仿宋"/>
          <w:sz w:val="32"/>
        </w:rPr>
        <w:t>年支出合计</w:t>
      </w:r>
      <w:r>
        <w:rPr>
          <w:rFonts w:hint="eastAsia" w:ascii="仿宋" w:hAnsi="仿宋" w:eastAsia="仿宋" w:cs="仿宋"/>
          <w:sz w:val="32"/>
          <w:lang w:val="en-US" w:eastAsia="zh-CN"/>
        </w:rPr>
        <w:t>1825.14</w:t>
      </w:r>
      <w:r>
        <w:rPr>
          <w:rFonts w:hint="eastAsia" w:ascii="仿宋" w:hAnsi="仿宋" w:eastAsia="仿宋" w:cs="仿宋"/>
          <w:sz w:val="32"/>
        </w:rPr>
        <w:t>万元，其中：基本支出</w:t>
      </w:r>
      <w:r>
        <w:rPr>
          <w:rFonts w:hint="eastAsia" w:ascii="仿宋" w:hAnsi="仿宋" w:eastAsia="仿宋" w:cs="仿宋"/>
          <w:sz w:val="32"/>
          <w:lang w:val="en-US" w:eastAsia="zh-CN"/>
        </w:rPr>
        <w:t>1565.14</w:t>
      </w:r>
      <w:r>
        <w:rPr>
          <w:rFonts w:hint="eastAsia" w:ascii="仿宋" w:hAnsi="仿宋" w:eastAsia="仿宋" w:cs="仿宋"/>
          <w:sz w:val="32"/>
        </w:rPr>
        <w:t>万元，占</w:t>
      </w:r>
      <w:r>
        <w:rPr>
          <w:rFonts w:hint="eastAsia" w:ascii="仿宋" w:hAnsi="仿宋" w:eastAsia="仿宋" w:cs="仿宋"/>
          <w:sz w:val="32"/>
          <w:lang w:val="en-US" w:eastAsia="zh-CN"/>
        </w:rPr>
        <w:t>86</w:t>
      </w:r>
      <w:r>
        <w:rPr>
          <w:rFonts w:hint="eastAsia" w:ascii="仿宋" w:hAnsi="仿宋" w:eastAsia="仿宋" w:cs="仿宋"/>
          <w:sz w:val="32"/>
        </w:rPr>
        <w:t>%；项目支出</w:t>
      </w:r>
      <w:r>
        <w:rPr>
          <w:rFonts w:hint="eastAsia" w:ascii="仿宋" w:hAnsi="仿宋" w:eastAsia="仿宋" w:cs="仿宋"/>
          <w:sz w:val="32"/>
          <w:lang w:val="en-US" w:eastAsia="zh-CN"/>
        </w:rPr>
        <w:t>260</w:t>
      </w:r>
      <w:r>
        <w:rPr>
          <w:rFonts w:hint="eastAsia" w:ascii="仿宋" w:hAnsi="仿宋" w:eastAsia="仿宋" w:cs="仿宋"/>
          <w:sz w:val="32"/>
        </w:rPr>
        <w:t>万元，占</w:t>
      </w:r>
      <w:r>
        <w:rPr>
          <w:rFonts w:hint="eastAsia" w:ascii="仿宋" w:hAnsi="仿宋" w:eastAsia="仿宋" w:cs="仿宋"/>
          <w:sz w:val="32"/>
          <w:lang w:val="en-US" w:eastAsia="zh-CN"/>
        </w:rPr>
        <w:t>14</w:t>
      </w:r>
      <w:r>
        <w:rPr>
          <w:rFonts w:hint="eastAsia" w:ascii="仿宋" w:hAnsi="仿宋" w:eastAsia="仿宋" w:cs="仿宋"/>
          <w:sz w:val="32"/>
        </w:rPr>
        <w:t>%。</w:t>
      </w:r>
    </w:p>
    <w:p>
      <w:pPr>
        <w:jc w:val="left"/>
        <w:rPr>
          <w:rFonts w:ascii="仿宋" w:hAnsi="仿宋" w:eastAsia="仿宋" w:cs="仿宋"/>
          <w:sz w:val="32"/>
        </w:rPr>
      </w:pPr>
      <w:r>
        <w:rPr>
          <w:rFonts w:hint="eastAsia" w:ascii="仿宋" w:hAnsi="仿宋" w:eastAsia="仿宋" w:cs="仿宋"/>
          <w:sz w:val="32"/>
        </w:rPr>
        <w:drawing>
          <wp:inline distT="0" distB="0" distL="0" distR="0">
            <wp:extent cx="5233035" cy="3181350"/>
            <wp:effectExtent l="5080" t="4445" r="19685" b="1460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numPr>
          <w:ilvl w:val="0"/>
          <w:numId w:val="5"/>
        </w:numPr>
        <w:ind w:firstLine="640"/>
        <w:jc w:val="left"/>
        <w:rPr>
          <w:rFonts w:ascii="黑体" w:hAnsi="黑体" w:eastAsia="黑体" w:cs="黑体"/>
          <w:sz w:val="32"/>
        </w:rPr>
      </w:pPr>
      <w:r>
        <w:rPr>
          <w:rFonts w:hint="eastAsia" w:ascii="黑体" w:hAnsi="黑体" w:eastAsia="黑体" w:cs="黑体"/>
          <w:sz w:val="32"/>
        </w:rPr>
        <w:t>财政拨款收支预算总体情况说明</w:t>
      </w:r>
    </w:p>
    <w:p>
      <w:pPr>
        <w:ind w:firstLine="640" w:firstLineChars="200"/>
        <w:jc w:val="left"/>
        <w:rPr>
          <w:rFonts w:ascii="仿宋" w:hAnsi="仿宋" w:eastAsia="仿宋" w:cs="仿宋"/>
          <w:sz w:val="32"/>
          <w:szCs w:val="32"/>
        </w:rPr>
      </w:pPr>
      <w:r>
        <w:rPr>
          <w:rFonts w:hint="eastAsia" w:ascii="仿宋" w:hAnsi="仿宋" w:eastAsia="仿宋" w:cs="仿宋"/>
          <w:sz w:val="32"/>
        </w:rPr>
        <w:t>淮滨县</w:t>
      </w:r>
      <w:r>
        <w:rPr>
          <w:rFonts w:hint="eastAsia" w:ascii="仿宋" w:hAnsi="仿宋" w:eastAsia="仿宋" w:cs="仿宋"/>
          <w:sz w:val="32"/>
          <w:lang w:val="en-US" w:eastAsia="zh-CN"/>
        </w:rPr>
        <w:t>思源实验学校</w:t>
      </w:r>
      <w:r>
        <w:rPr>
          <w:rFonts w:hint="eastAsia" w:ascii="仿宋" w:hAnsi="仿宋" w:eastAsia="仿宋" w:cs="仿宋"/>
          <w:sz w:val="32"/>
          <w:lang w:eastAsia="zh-CN"/>
        </w:rPr>
        <w:t>2023</w:t>
      </w:r>
      <w:r>
        <w:rPr>
          <w:rFonts w:hint="eastAsia" w:ascii="仿宋" w:hAnsi="仿宋" w:eastAsia="仿宋" w:cs="仿宋"/>
          <w:sz w:val="32"/>
        </w:rPr>
        <w:t>年一般公共预算收支预算</w:t>
      </w:r>
      <w:r>
        <w:rPr>
          <w:rFonts w:hint="eastAsia" w:ascii="仿宋" w:hAnsi="仿宋" w:eastAsia="仿宋" w:cs="仿宋"/>
          <w:sz w:val="32"/>
          <w:lang w:val="en-US" w:eastAsia="zh-CN"/>
        </w:rPr>
        <w:t>1825.14</w:t>
      </w:r>
      <w:r>
        <w:rPr>
          <w:rFonts w:hint="eastAsia" w:ascii="仿宋" w:hAnsi="仿宋" w:eastAsia="仿宋" w:cs="仿宋"/>
          <w:sz w:val="32"/>
        </w:rPr>
        <w:t>万元，</w:t>
      </w:r>
      <w:r>
        <w:rPr>
          <w:rFonts w:hint="eastAsia" w:ascii="仿宋" w:hAnsi="仿宋" w:eastAsia="仿宋" w:cs="仿宋"/>
          <w:sz w:val="32"/>
          <w:lang w:val="en-US" w:eastAsia="zh-CN"/>
        </w:rPr>
        <w:t>其中财政拨款1825.14</w:t>
      </w:r>
      <w:r>
        <w:rPr>
          <w:rFonts w:hint="eastAsia" w:ascii="仿宋" w:hAnsi="仿宋" w:eastAsia="仿宋" w:cs="仿宋"/>
          <w:sz w:val="32"/>
        </w:rPr>
        <w:t>万元，无政府性基金预算和国有资本经营预算。与202</w:t>
      </w:r>
      <w:r>
        <w:rPr>
          <w:rFonts w:hint="eastAsia" w:ascii="仿宋" w:hAnsi="仿宋" w:eastAsia="仿宋" w:cs="仿宋"/>
          <w:sz w:val="32"/>
          <w:lang w:val="en-US" w:eastAsia="zh-CN"/>
        </w:rPr>
        <w:t>2</w:t>
      </w:r>
      <w:r>
        <w:rPr>
          <w:rFonts w:hint="eastAsia" w:ascii="仿宋" w:hAnsi="仿宋" w:eastAsia="仿宋" w:cs="仿宋"/>
          <w:sz w:val="32"/>
        </w:rPr>
        <w:t>年相比，一般公共预算收支预算</w:t>
      </w:r>
      <w:r>
        <w:rPr>
          <w:rFonts w:hint="eastAsia" w:ascii="仿宋" w:hAnsi="仿宋" w:eastAsia="仿宋" w:cs="仿宋"/>
          <w:sz w:val="32"/>
          <w:lang w:val="en-US" w:eastAsia="zh-CN"/>
        </w:rPr>
        <w:t>增加251.1</w:t>
      </w:r>
      <w:r>
        <w:rPr>
          <w:rFonts w:hint="eastAsia" w:ascii="仿宋" w:hAnsi="仿宋" w:eastAsia="仿宋" w:cs="仿宋"/>
          <w:sz w:val="32"/>
        </w:rPr>
        <w:t>万元，</w:t>
      </w:r>
      <w:r>
        <w:rPr>
          <w:rFonts w:hint="eastAsia" w:ascii="仿宋" w:hAnsi="仿宋" w:eastAsia="仿宋" w:cs="仿宋"/>
          <w:sz w:val="32"/>
          <w:lang w:val="en-US" w:eastAsia="zh-CN"/>
        </w:rPr>
        <w:t>增长16</w:t>
      </w:r>
      <w:r>
        <w:rPr>
          <w:rFonts w:hint="eastAsia" w:ascii="仿宋" w:hAnsi="仿宋" w:eastAsia="仿宋" w:cs="仿宋"/>
          <w:sz w:val="32"/>
        </w:rPr>
        <w:t>%，主要原因</w:t>
      </w:r>
      <w:r>
        <w:rPr>
          <w:rFonts w:hint="eastAsia" w:ascii="仿宋" w:hAnsi="仿宋" w:eastAsia="仿宋" w:cs="仿宋"/>
          <w:sz w:val="32"/>
          <w:szCs w:val="32"/>
        </w:rPr>
        <w:t>是</w:t>
      </w:r>
      <w:r>
        <w:rPr>
          <w:rFonts w:hint="eastAsia" w:ascii="仿宋" w:hAnsi="仿宋" w:eastAsia="仿宋" w:cs="仿宋"/>
          <w:sz w:val="32"/>
          <w:szCs w:val="32"/>
          <w:lang w:val="en-US" w:eastAsia="zh-CN"/>
        </w:rPr>
        <w:t>本单位本年度通过招录、调入增加了40多名教师，学生人数也增加了300多人。因此预算总收支增加</w:t>
      </w:r>
      <w:r>
        <w:rPr>
          <w:rFonts w:hint="eastAsia" w:ascii="仿宋" w:hAnsi="仿宋" w:eastAsia="仿宋" w:cs="仿宋"/>
          <w:sz w:val="32"/>
          <w:szCs w:val="32"/>
        </w:rPr>
        <w:t>。</w:t>
      </w:r>
    </w:p>
    <w:p>
      <w:pPr>
        <w:jc w:val="left"/>
        <w:rPr>
          <w:rFonts w:ascii="仿宋" w:hAnsi="仿宋" w:eastAsia="仿宋" w:cs="仿宋"/>
          <w:sz w:val="32"/>
        </w:rPr>
      </w:pPr>
      <w:r>
        <w:rPr>
          <w:rFonts w:hint="eastAsia" w:ascii="仿宋" w:hAnsi="仿宋" w:eastAsia="仿宋" w:cs="仿宋"/>
          <w:sz w:val="32"/>
          <w:szCs w:val="32"/>
        </w:rPr>
        <w:drawing>
          <wp:inline distT="0" distB="0" distL="0" distR="0">
            <wp:extent cx="5274310" cy="3526790"/>
            <wp:effectExtent l="0" t="0" r="2540" b="1651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一般公共预算支出预算情况说明</w:t>
      </w:r>
    </w:p>
    <w:p>
      <w:pPr>
        <w:ind w:firstLine="640" w:firstLineChars="200"/>
        <w:jc w:val="left"/>
        <w:rPr>
          <w:rFonts w:ascii="仿宋" w:hAnsi="仿宋" w:eastAsia="仿宋" w:cs="仿宋"/>
          <w:sz w:val="32"/>
        </w:rPr>
      </w:pPr>
      <w:r>
        <w:rPr>
          <w:rFonts w:hint="eastAsia" w:ascii="仿宋" w:hAnsi="仿宋" w:eastAsia="仿宋" w:cs="仿宋"/>
          <w:sz w:val="32"/>
        </w:rPr>
        <w:t>淮滨县</w:t>
      </w:r>
      <w:r>
        <w:rPr>
          <w:rFonts w:hint="eastAsia" w:ascii="仿宋" w:hAnsi="仿宋" w:eastAsia="仿宋" w:cs="仿宋"/>
          <w:sz w:val="32"/>
          <w:lang w:val="en-US" w:eastAsia="zh-CN"/>
        </w:rPr>
        <w:t>思源实验学校</w:t>
      </w:r>
      <w:r>
        <w:rPr>
          <w:rFonts w:hint="eastAsia" w:ascii="仿宋" w:hAnsi="仿宋" w:eastAsia="仿宋" w:cs="仿宋"/>
          <w:sz w:val="32"/>
          <w:lang w:eastAsia="zh-CN"/>
        </w:rPr>
        <w:t>2023</w:t>
      </w:r>
      <w:r>
        <w:rPr>
          <w:rFonts w:hint="eastAsia" w:ascii="仿宋" w:hAnsi="仿宋" w:eastAsia="仿宋" w:cs="仿宋"/>
          <w:sz w:val="32"/>
        </w:rPr>
        <w:t>年一般公共预算支出年初预算为</w:t>
      </w:r>
      <w:r>
        <w:rPr>
          <w:rFonts w:hint="eastAsia" w:ascii="仿宋" w:hAnsi="仿宋" w:eastAsia="仿宋" w:cs="仿宋"/>
          <w:sz w:val="32"/>
          <w:lang w:val="en-US" w:eastAsia="zh-CN"/>
        </w:rPr>
        <w:t>1825.14</w:t>
      </w:r>
      <w:r>
        <w:rPr>
          <w:rFonts w:hint="eastAsia" w:ascii="仿宋" w:hAnsi="仿宋" w:eastAsia="仿宋" w:cs="仿宋"/>
          <w:sz w:val="32"/>
        </w:rPr>
        <w:t>万元。其中：基本支出</w:t>
      </w:r>
      <w:r>
        <w:rPr>
          <w:rFonts w:hint="eastAsia" w:ascii="仿宋" w:hAnsi="仿宋" w:eastAsia="仿宋" w:cs="仿宋"/>
          <w:sz w:val="32"/>
          <w:lang w:val="en-US" w:eastAsia="zh-CN"/>
        </w:rPr>
        <w:t>1565.14</w:t>
      </w:r>
      <w:r>
        <w:rPr>
          <w:rFonts w:hint="eastAsia" w:ascii="仿宋" w:hAnsi="仿宋" w:eastAsia="仿宋" w:cs="仿宋"/>
          <w:sz w:val="32"/>
        </w:rPr>
        <w:t>万元，占</w:t>
      </w:r>
      <w:r>
        <w:rPr>
          <w:rFonts w:hint="eastAsia" w:ascii="仿宋" w:hAnsi="仿宋" w:eastAsia="仿宋" w:cs="仿宋"/>
          <w:sz w:val="32"/>
          <w:lang w:val="en-US" w:eastAsia="zh-CN"/>
        </w:rPr>
        <w:t>86</w:t>
      </w:r>
      <w:r>
        <w:rPr>
          <w:rFonts w:hint="eastAsia" w:ascii="仿宋" w:hAnsi="仿宋" w:eastAsia="仿宋" w:cs="仿宋"/>
          <w:sz w:val="32"/>
        </w:rPr>
        <w:t>%;项目支出</w:t>
      </w:r>
      <w:r>
        <w:rPr>
          <w:rFonts w:hint="eastAsia" w:ascii="仿宋" w:hAnsi="仿宋" w:eastAsia="仿宋" w:cs="仿宋"/>
          <w:sz w:val="32"/>
          <w:lang w:val="en-US" w:eastAsia="zh-CN"/>
        </w:rPr>
        <w:t>260</w:t>
      </w:r>
      <w:r>
        <w:rPr>
          <w:rFonts w:hint="eastAsia" w:ascii="仿宋" w:hAnsi="仿宋" w:eastAsia="仿宋" w:cs="仿宋"/>
          <w:sz w:val="32"/>
        </w:rPr>
        <w:t>万元，占</w:t>
      </w:r>
      <w:r>
        <w:rPr>
          <w:rFonts w:hint="eastAsia" w:ascii="仿宋" w:hAnsi="仿宋" w:eastAsia="仿宋" w:cs="仿宋"/>
          <w:sz w:val="32"/>
          <w:lang w:val="en-US" w:eastAsia="zh-CN"/>
        </w:rPr>
        <w:t>14</w:t>
      </w:r>
      <w:r>
        <w:rPr>
          <w:rFonts w:hint="eastAsia" w:ascii="仿宋" w:hAnsi="仿宋" w:eastAsia="仿宋" w:cs="仿宋"/>
          <w:sz w:val="32"/>
        </w:rPr>
        <w:t>%。</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0" t="0" r="2540" b="9525"/>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numPr>
          <w:ilvl w:val="0"/>
          <w:numId w:val="5"/>
        </w:numPr>
        <w:ind w:firstLine="640"/>
        <w:jc w:val="left"/>
        <w:rPr>
          <w:rFonts w:ascii="黑体" w:hAnsi="黑体" w:eastAsia="黑体" w:cs="黑体"/>
          <w:color w:val="000000"/>
          <w:sz w:val="32"/>
          <w:szCs w:val="32"/>
        </w:rPr>
      </w:pPr>
      <w:r>
        <w:rPr>
          <w:rFonts w:hint="eastAsia" w:ascii="黑体" w:hAnsi="黑体" w:eastAsia="黑体" w:cs="黑体"/>
          <w:color w:val="000000"/>
          <w:sz w:val="32"/>
          <w:szCs w:val="32"/>
        </w:rPr>
        <w:t>一般公共预算基本支出预算情况说明</w:t>
      </w:r>
    </w:p>
    <w:p>
      <w:pPr>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淮滨县</w:t>
      </w:r>
      <w:r>
        <w:rPr>
          <w:rFonts w:hint="eastAsia" w:ascii="仿宋" w:hAnsi="仿宋" w:eastAsia="仿宋" w:cs="仿宋"/>
          <w:color w:val="000000"/>
          <w:sz w:val="32"/>
          <w:szCs w:val="32"/>
          <w:lang w:val="en-US" w:eastAsia="zh-CN"/>
        </w:rPr>
        <w:t>思源实验学校</w:t>
      </w:r>
      <w:r>
        <w:rPr>
          <w:rFonts w:hint="eastAsia" w:ascii="仿宋" w:hAnsi="仿宋" w:eastAsia="仿宋" w:cs="仿宋"/>
          <w:color w:val="000000"/>
          <w:sz w:val="32"/>
          <w:szCs w:val="32"/>
          <w:lang w:eastAsia="zh-CN"/>
        </w:rPr>
        <w:t>2023</w:t>
      </w:r>
      <w:r>
        <w:rPr>
          <w:rFonts w:hint="eastAsia" w:ascii="仿宋" w:hAnsi="仿宋" w:eastAsia="仿宋" w:cs="仿宋"/>
          <w:color w:val="000000"/>
          <w:sz w:val="32"/>
          <w:szCs w:val="32"/>
        </w:rPr>
        <w:t>年一般公共预算基本支出年初预算为</w:t>
      </w:r>
      <w:r>
        <w:rPr>
          <w:rFonts w:hint="eastAsia" w:ascii="仿宋" w:hAnsi="仿宋" w:eastAsia="仿宋" w:cs="仿宋"/>
          <w:color w:val="000000"/>
          <w:sz w:val="32"/>
          <w:szCs w:val="32"/>
          <w:lang w:val="en-US" w:eastAsia="zh-CN"/>
        </w:rPr>
        <w:t>1565.14</w:t>
      </w:r>
      <w:r>
        <w:rPr>
          <w:rFonts w:hint="eastAsia" w:ascii="仿宋" w:hAnsi="仿宋" w:eastAsia="仿宋" w:cs="仿宋"/>
          <w:color w:val="000000"/>
          <w:sz w:val="32"/>
          <w:szCs w:val="32"/>
        </w:rPr>
        <w:t>万元。其中：人员经费支出</w:t>
      </w:r>
      <w:r>
        <w:rPr>
          <w:rFonts w:hint="eastAsia" w:ascii="仿宋" w:hAnsi="仿宋" w:eastAsia="仿宋" w:cs="仿宋"/>
          <w:color w:val="000000"/>
          <w:sz w:val="32"/>
          <w:szCs w:val="32"/>
          <w:lang w:val="en-US" w:eastAsia="zh-CN"/>
        </w:rPr>
        <w:t>1521.29</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97</w:t>
      </w:r>
      <w:r>
        <w:rPr>
          <w:rFonts w:hint="eastAsia" w:ascii="仿宋" w:hAnsi="仿宋" w:eastAsia="仿宋" w:cs="仿宋"/>
          <w:color w:val="000000"/>
          <w:sz w:val="32"/>
          <w:szCs w:val="32"/>
        </w:rPr>
        <w:t>%；公用经费支出</w:t>
      </w:r>
      <w:r>
        <w:rPr>
          <w:rFonts w:hint="eastAsia" w:ascii="仿宋" w:hAnsi="仿宋" w:eastAsia="仿宋" w:cs="仿宋"/>
          <w:color w:val="auto"/>
          <w:sz w:val="32"/>
          <w:szCs w:val="32"/>
          <w:lang w:val="en-US" w:eastAsia="zh-CN"/>
        </w:rPr>
        <w:t>43.85</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rPr>
        <w:t>%。</w:t>
      </w:r>
    </w:p>
    <w:p>
      <w:pPr>
        <w:jc w:val="left"/>
        <w:rPr>
          <w:rFonts w:ascii="仿宋" w:hAnsi="仿宋" w:eastAsia="仿宋" w:cs="仿宋"/>
          <w:color w:val="000000"/>
          <w:sz w:val="32"/>
          <w:szCs w:val="32"/>
        </w:rPr>
      </w:pPr>
      <w:r>
        <w:rPr>
          <w:rFonts w:hint="eastAsia" w:ascii="仿宋" w:hAnsi="仿宋" w:eastAsia="仿宋" w:cs="仿宋"/>
          <w:sz w:val="32"/>
          <w:szCs w:val="32"/>
        </w:rPr>
        <w:drawing>
          <wp:inline distT="0" distB="0" distL="0" distR="0">
            <wp:extent cx="5274310" cy="3076575"/>
            <wp:effectExtent l="5080" t="4445" r="16510" b="508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numPr>
          <w:ilvl w:val="0"/>
          <w:numId w:val="5"/>
        </w:numPr>
        <w:ind w:firstLine="640"/>
        <w:jc w:val="left"/>
        <w:rPr>
          <w:rFonts w:ascii="黑体" w:hAnsi="黑体" w:eastAsia="黑体" w:cs="黑体"/>
          <w:sz w:val="32"/>
          <w:szCs w:val="32"/>
        </w:rPr>
      </w:pPr>
      <w:r>
        <w:rPr>
          <w:rFonts w:hint="eastAsia" w:ascii="黑体" w:hAnsi="黑体" w:eastAsia="黑体" w:cs="黑体"/>
          <w:color w:val="000000"/>
          <w:sz w:val="32"/>
          <w:szCs w:val="32"/>
        </w:rPr>
        <w:t>一般公共预算</w:t>
      </w:r>
      <w:r>
        <w:rPr>
          <w:rFonts w:hint="eastAsia" w:ascii="黑体" w:hAnsi="黑体" w:eastAsia="黑体" w:cs="黑体"/>
          <w:sz w:val="32"/>
          <w:szCs w:val="32"/>
        </w:rPr>
        <w:t>“三公”经费支出预算情况说明</w:t>
      </w:r>
    </w:p>
    <w:p>
      <w:pPr>
        <w:pStyle w:val="5"/>
        <w:widowControl/>
        <w:spacing w:beforeAutospacing="0" w:afterAutospacing="0" w:line="600" w:lineRule="atLeast"/>
        <w:ind w:firstLine="630"/>
        <w:jc w:val="both"/>
        <w:rPr>
          <w:rFonts w:ascii="仿宋" w:hAnsi="仿宋" w:eastAsia="仿宋" w:cs="仿宋"/>
          <w:sz w:val="32"/>
          <w:szCs w:val="32"/>
        </w:rPr>
      </w:pPr>
      <w:r>
        <w:rPr>
          <w:rFonts w:hint="eastAsia" w:ascii="仿宋" w:hAnsi="仿宋" w:eastAsia="仿宋" w:cs="仿宋"/>
          <w:sz w:val="32"/>
          <w:szCs w:val="32"/>
        </w:rPr>
        <w:t>淮滨</w:t>
      </w:r>
      <w:r>
        <w:rPr>
          <w:rFonts w:hint="eastAsia" w:ascii="仿宋" w:hAnsi="仿宋" w:eastAsia="仿宋" w:cs="仿宋"/>
          <w:sz w:val="32"/>
          <w:szCs w:val="32"/>
          <w:lang w:val="en-US" w:eastAsia="zh-CN"/>
        </w:rPr>
        <w:t>县思源实验学校</w:t>
      </w:r>
      <w:r>
        <w:rPr>
          <w:rFonts w:hint="eastAsia" w:ascii="仿宋" w:hAnsi="仿宋" w:eastAsia="仿宋" w:cs="仿宋"/>
          <w:sz w:val="32"/>
          <w:szCs w:val="32"/>
          <w:lang w:eastAsia="zh-CN"/>
        </w:rPr>
        <w:t>2023</w:t>
      </w:r>
      <w:r>
        <w:rPr>
          <w:rFonts w:hint="eastAsia" w:ascii="仿宋" w:hAnsi="仿宋" w:eastAsia="仿宋" w:cs="仿宋"/>
          <w:sz w:val="32"/>
          <w:szCs w:val="32"/>
        </w:rPr>
        <w:t>年“三公”经费支出预算为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万元,比202</w:t>
      </w:r>
      <w:r>
        <w:rPr>
          <w:rFonts w:hint="eastAsia" w:ascii="仿宋" w:hAnsi="仿宋" w:eastAsia="仿宋" w:cs="仿宋"/>
          <w:sz w:val="32"/>
          <w:szCs w:val="32"/>
          <w:lang w:val="en-US" w:eastAsia="zh-CN"/>
        </w:rPr>
        <w:t>2</w:t>
      </w:r>
      <w:r>
        <w:rPr>
          <w:rFonts w:hint="eastAsia" w:ascii="仿宋" w:hAnsi="仿宋" w:eastAsia="仿宋" w:cs="仿宋"/>
          <w:sz w:val="32"/>
          <w:szCs w:val="32"/>
        </w:rPr>
        <w:t>年增加(减少)</w:t>
      </w:r>
      <w:r>
        <w:rPr>
          <w:rFonts w:hint="eastAsia" w:ascii="仿宋" w:hAnsi="仿宋" w:eastAsia="仿宋" w:cs="仿宋"/>
          <w:sz w:val="32"/>
          <w:szCs w:val="32"/>
          <w:lang w:val="en-US" w:eastAsia="zh-CN"/>
        </w:rPr>
        <w:t>0</w:t>
      </w:r>
      <w:r>
        <w:rPr>
          <w:rFonts w:hint="eastAsia" w:ascii="仿宋" w:hAnsi="仿宋" w:eastAsia="仿宋" w:cs="仿宋"/>
          <w:sz w:val="32"/>
          <w:szCs w:val="32"/>
        </w:rPr>
        <w:t>万元，增长（下降）</w:t>
      </w:r>
      <w:r>
        <w:rPr>
          <w:rFonts w:hint="eastAsia" w:ascii="仿宋" w:hAnsi="仿宋" w:eastAsia="仿宋" w:cs="仿宋"/>
          <w:sz w:val="32"/>
          <w:szCs w:val="32"/>
          <w:lang w:val="en-US" w:eastAsia="zh-CN"/>
        </w:rPr>
        <w:t>0</w:t>
      </w:r>
      <w:r>
        <w:rPr>
          <w:rFonts w:hint="eastAsia" w:ascii="仿宋" w:hAnsi="仿宋" w:eastAsia="仿宋" w:cs="仿宋"/>
          <w:sz w:val="32"/>
          <w:szCs w:val="32"/>
        </w:rPr>
        <w:t>%。</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具体支出情况如下：</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（一）因公出国（境）费用</w:t>
      </w:r>
      <w:r>
        <w:rPr>
          <w:rFonts w:hint="eastAsia" w:ascii="仿宋" w:hAnsi="仿宋" w:eastAsia="仿宋" w:cs="仿宋"/>
          <w:sz w:val="32"/>
          <w:szCs w:val="32"/>
        </w:rPr>
        <w:t>0万元，预算数与202</w:t>
      </w:r>
      <w:r>
        <w:rPr>
          <w:rFonts w:hint="eastAsia" w:ascii="仿宋" w:hAnsi="仿宋" w:eastAsia="仿宋" w:cs="仿宋"/>
          <w:sz w:val="32"/>
          <w:szCs w:val="32"/>
          <w:lang w:val="en-US" w:eastAsia="zh-CN"/>
        </w:rPr>
        <w:t>2</w:t>
      </w:r>
      <w:r>
        <w:rPr>
          <w:rFonts w:hint="eastAsia" w:ascii="仿宋" w:hAnsi="仿宋" w:eastAsia="仿宋" w:cs="仿宋"/>
          <w:sz w:val="32"/>
          <w:szCs w:val="32"/>
        </w:rPr>
        <w:t>年保持一致。</w:t>
      </w:r>
    </w:p>
    <w:p>
      <w:pPr>
        <w:ind w:firstLine="643" w:firstLineChars="200"/>
        <w:jc w:val="left"/>
        <w:rPr>
          <w:rFonts w:hint="eastAsia" w:ascii="仿宋" w:hAnsi="仿宋" w:eastAsia="仿宋" w:cs="仿宋"/>
          <w:sz w:val="32"/>
          <w:szCs w:val="32"/>
          <w:lang w:eastAsia="zh-CN"/>
        </w:rPr>
      </w:pPr>
      <w:r>
        <w:rPr>
          <w:rFonts w:hint="eastAsia" w:ascii="仿宋" w:hAnsi="仿宋" w:eastAsia="仿宋" w:cs="仿宋"/>
          <w:b/>
          <w:bCs/>
          <w:sz w:val="32"/>
          <w:szCs w:val="32"/>
        </w:rPr>
        <w:t>（二）公务接待费</w:t>
      </w:r>
      <w:r>
        <w:rPr>
          <w:rFonts w:hint="eastAsia" w:ascii="仿宋" w:hAnsi="仿宋" w:eastAsia="仿宋" w:cs="仿宋"/>
          <w:b/>
          <w:bCs/>
          <w:sz w:val="32"/>
          <w:szCs w:val="32"/>
          <w:lang w:val="en-US" w:eastAsia="zh-CN"/>
        </w:rPr>
        <w:t>0</w:t>
      </w:r>
      <w:r>
        <w:rPr>
          <w:rFonts w:hint="eastAsia" w:ascii="仿宋" w:hAnsi="仿宋" w:eastAsia="仿宋" w:cs="仿宋"/>
          <w:sz w:val="32"/>
          <w:szCs w:val="32"/>
        </w:rPr>
        <w:t>万元。预算数</w:t>
      </w:r>
      <w:r>
        <w:rPr>
          <w:rFonts w:hint="eastAsia" w:ascii="仿宋" w:hAnsi="仿宋" w:eastAsia="仿宋" w:cs="仿宋"/>
          <w:sz w:val="32"/>
          <w:szCs w:val="32"/>
          <w:lang w:val="en-US" w:eastAsia="zh-CN"/>
        </w:rPr>
        <w:t>与</w:t>
      </w: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w:t>
      </w:r>
      <w:r>
        <w:rPr>
          <w:rFonts w:hint="eastAsia" w:ascii="仿宋" w:hAnsi="仿宋" w:eastAsia="仿宋" w:cs="仿宋"/>
          <w:sz w:val="32"/>
          <w:szCs w:val="32"/>
          <w:lang w:val="en-US" w:eastAsia="zh-CN"/>
        </w:rPr>
        <w:t>保持一致</w:t>
      </w:r>
      <w:r>
        <w:rPr>
          <w:rFonts w:hint="eastAsia" w:ascii="仿宋" w:hAnsi="仿宋" w:eastAsia="仿宋" w:cs="仿宋"/>
          <w:sz w:val="32"/>
          <w:szCs w:val="32"/>
          <w:lang w:eastAsia="zh-CN"/>
        </w:rPr>
        <w:t>。</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（三）公务用车购置及运行费</w:t>
      </w:r>
      <w:r>
        <w:rPr>
          <w:rFonts w:hint="eastAsia" w:ascii="仿宋" w:hAnsi="仿宋" w:eastAsia="仿宋" w:cs="仿宋"/>
          <w:b/>
          <w:bCs/>
          <w:sz w:val="32"/>
          <w:szCs w:val="32"/>
          <w:lang w:val="en-US" w:eastAsia="zh-CN"/>
        </w:rPr>
        <w:t>0</w:t>
      </w:r>
      <w:r>
        <w:rPr>
          <w:rFonts w:hint="eastAsia" w:ascii="仿宋" w:hAnsi="仿宋" w:eastAsia="仿宋" w:cs="仿宋"/>
          <w:sz w:val="32"/>
          <w:szCs w:val="32"/>
        </w:rPr>
        <w:t>万元，预算数</w:t>
      </w:r>
      <w:r>
        <w:rPr>
          <w:rFonts w:hint="eastAsia" w:ascii="仿宋" w:hAnsi="仿宋" w:eastAsia="仿宋" w:cs="仿宋"/>
          <w:sz w:val="32"/>
          <w:szCs w:val="32"/>
          <w:lang w:val="en-US" w:eastAsia="zh-CN"/>
        </w:rPr>
        <w:t>与</w:t>
      </w: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w:t>
      </w:r>
      <w:r>
        <w:rPr>
          <w:rFonts w:hint="eastAsia" w:ascii="仿宋" w:hAnsi="仿宋" w:eastAsia="仿宋" w:cs="仿宋"/>
          <w:sz w:val="32"/>
          <w:szCs w:val="32"/>
          <w:lang w:val="en-US" w:eastAsia="zh-CN"/>
        </w:rPr>
        <w:t>保持一致</w:t>
      </w:r>
      <w:r>
        <w:rPr>
          <w:rFonts w:hint="eastAsia" w:ascii="仿宋" w:hAnsi="仿宋" w:eastAsia="仿宋" w:cs="仿宋"/>
          <w:sz w:val="32"/>
          <w:szCs w:val="32"/>
          <w:lang w:eastAsia="zh-CN"/>
        </w:rPr>
        <w:t>。</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政府性基金预算支出预算情况说明</w:t>
      </w:r>
    </w:p>
    <w:p>
      <w:pPr>
        <w:ind w:firstLine="640" w:firstLineChars="200"/>
        <w:jc w:val="left"/>
        <w:rPr>
          <w:rFonts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w:t>
      </w:r>
      <w:r>
        <w:rPr>
          <w:rFonts w:hint="eastAsia" w:ascii="仿宋" w:hAnsi="仿宋" w:eastAsia="仿宋" w:cs="仿宋"/>
          <w:sz w:val="32"/>
        </w:rPr>
        <w:t>年无使用政府性基金预算拨款安排的支出。</w:t>
      </w:r>
    </w:p>
    <w:p>
      <w:pPr>
        <w:numPr>
          <w:ilvl w:val="0"/>
          <w:numId w:val="5"/>
        </w:numPr>
        <w:ind w:firstLine="640"/>
        <w:jc w:val="left"/>
        <w:rPr>
          <w:rFonts w:ascii="黑体" w:hAnsi="黑体" w:eastAsia="黑体"/>
          <w:sz w:val="32"/>
        </w:rPr>
      </w:pPr>
      <w:r>
        <w:rPr>
          <w:rFonts w:hint="eastAsia" w:ascii="黑体" w:hAnsi="黑体" w:eastAsia="黑体"/>
          <w:sz w:val="32"/>
        </w:rPr>
        <w:t>其他重要事项的情况说明</w:t>
      </w:r>
    </w:p>
    <w:p>
      <w:pPr>
        <w:ind w:left="420" w:leftChars="200"/>
        <w:jc w:val="left"/>
        <w:rPr>
          <w:rFonts w:ascii="仿宋" w:hAnsi="仿宋" w:eastAsia="仿宋" w:cs="仿宋"/>
          <w:b/>
          <w:bCs/>
          <w:sz w:val="32"/>
        </w:rPr>
      </w:pPr>
      <w:r>
        <w:rPr>
          <w:rFonts w:hint="eastAsia" w:ascii="仿宋" w:hAnsi="仿宋" w:eastAsia="仿宋" w:cs="仿宋"/>
          <w:b/>
          <w:bCs/>
          <w:sz w:val="32"/>
        </w:rPr>
        <w:t>（一）事业单位机构运转经费</w:t>
      </w:r>
    </w:p>
    <w:p>
      <w:pPr>
        <w:ind w:firstLine="640" w:firstLineChars="200"/>
        <w:jc w:val="left"/>
        <w:rPr>
          <w:rFonts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w:t>
      </w:r>
      <w:r>
        <w:rPr>
          <w:rFonts w:hint="eastAsia" w:ascii="仿宋" w:hAnsi="仿宋" w:eastAsia="仿宋" w:cs="仿宋"/>
          <w:sz w:val="32"/>
        </w:rPr>
        <w:t>年</w:t>
      </w:r>
      <w:r>
        <w:rPr>
          <w:rFonts w:hint="eastAsia" w:ascii="仿宋" w:hAnsi="仿宋" w:eastAsia="仿宋" w:cs="仿宋"/>
          <w:sz w:val="32"/>
          <w:lang w:val="en-US" w:eastAsia="zh-CN"/>
        </w:rPr>
        <w:t>事业</w:t>
      </w:r>
      <w:r>
        <w:rPr>
          <w:rFonts w:hint="eastAsia" w:ascii="仿宋" w:hAnsi="仿宋" w:eastAsia="仿宋" w:cs="仿宋"/>
          <w:sz w:val="32"/>
        </w:rPr>
        <w:t>运</w:t>
      </w:r>
      <w:r>
        <w:rPr>
          <w:rFonts w:hint="eastAsia" w:ascii="仿宋" w:hAnsi="仿宋" w:eastAsia="仿宋" w:cs="仿宋"/>
          <w:sz w:val="32"/>
          <w:lang w:val="en-US" w:eastAsia="zh-CN"/>
        </w:rPr>
        <w:t>行</w:t>
      </w:r>
      <w:r>
        <w:rPr>
          <w:rFonts w:hint="eastAsia" w:ascii="仿宋" w:hAnsi="仿宋" w:eastAsia="仿宋" w:cs="仿宋"/>
          <w:sz w:val="32"/>
        </w:rPr>
        <w:t>经费支出预算</w:t>
      </w:r>
      <w:r>
        <w:rPr>
          <w:rFonts w:hint="eastAsia" w:ascii="仿宋" w:hAnsi="仿宋" w:eastAsia="仿宋" w:cs="仿宋"/>
          <w:color w:val="auto"/>
          <w:sz w:val="32"/>
          <w:lang w:val="en-US" w:eastAsia="zh-CN"/>
        </w:rPr>
        <w:t>43.85</w:t>
      </w:r>
      <w:r>
        <w:rPr>
          <w:rFonts w:hint="eastAsia" w:ascii="仿宋" w:hAnsi="仿宋" w:eastAsia="仿宋" w:cs="仿宋"/>
          <w:sz w:val="32"/>
        </w:rPr>
        <w:t>万元，主要保障机构正常运转及正常履职需要，用于购买货物和服务的支出。包括</w:t>
      </w:r>
      <w:r>
        <w:rPr>
          <w:rFonts w:hint="eastAsia" w:ascii="仿宋" w:hAnsi="仿宋" w:eastAsia="仿宋" w:cs="仿宋"/>
          <w:sz w:val="32"/>
          <w:lang w:val="en-US" w:eastAsia="zh-CN"/>
        </w:rPr>
        <w:t>工会经费、福利费等</w:t>
      </w:r>
      <w:r>
        <w:rPr>
          <w:rFonts w:hint="eastAsia" w:ascii="仿宋" w:hAnsi="仿宋" w:eastAsia="仿宋" w:cs="仿宋"/>
          <w:sz w:val="32"/>
        </w:rPr>
        <w:t>费用。</w:t>
      </w:r>
    </w:p>
    <w:p>
      <w:pPr>
        <w:ind w:firstLine="643" w:firstLineChars="200"/>
        <w:jc w:val="left"/>
        <w:rPr>
          <w:rFonts w:ascii="仿宋" w:hAnsi="仿宋" w:eastAsia="仿宋" w:cs="仿宋"/>
          <w:b/>
          <w:bCs/>
          <w:sz w:val="32"/>
        </w:rPr>
      </w:pPr>
      <w:r>
        <w:rPr>
          <w:rFonts w:hint="eastAsia" w:ascii="仿宋" w:hAnsi="仿宋" w:eastAsia="仿宋" w:cs="仿宋"/>
          <w:b/>
          <w:bCs/>
          <w:sz w:val="32"/>
        </w:rPr>
        <w:t>（二）政府采购支出预算情况</w:t>
      </w:r>
    </w:p>
    <w:p>
      <w:pPr>
        <w:ind w:firstLine="640" w:firstLineChars="200"/>
        <w:jc w:val="left"/>
        <w:rPr>
          <w:rFonts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w:t>
      </w:r>
      <w:r>
        <w:rPr>
          <w:rFonts w:hint="eastAsia" w:ascii="仿宋" w:hAnsi="仿宋" w:eastAsia="仿宋" w:cs="仿宋"/>
          <w:sz w:val="32"/>
        </w:rPr>
        <w:t>年政府采购预算安排</w:t>
      </w:r>
      <w:r>
        <w:rPr>
          <w:rFonts w:hint="eastAsia" w:ascii="仿宋" w:hAnsi="仿宋" w:eastAsia="仿宋" w:cs="仿宋"/>
          <w:sz w:val="32"/>
          <w:lang w:val="en-US" w:eastAsia="zh-CN"/>
        </w:rPr>
        <w:t>0</w:t>
      </w:r>
      <w:r>
        <w:rPr>
          <w:rFonts w:hint="eastAsia" w:ascii="仿宋" w:hAnsi="仿宋" w:eastAsia="仿宋" w:cs="仿宋"/>
          <w:sz w:val="32"/>
        </w:rPr>
        <w:t>万元，其中：货物类采购预算</w:t>
      </w:r>
      <w:r>
        <w:rPr>
          <w:rFonts w:hint="eastAsia" w:ascii="仿宋" w:hAnsi="仿宋" w:eastAsia="仿宋" w:cs="仿宋"/>
          <w:sz w:val="32"/>
          <w:lang w:val="en-US" w:eastAsia="zh-CN"/>
        </w:rPr>
        <w:t>0</w:t>
      </w:r>
      <w:r>
        <w:rPr>
          <w:rFonts w:hint="eastAsia" w:ascii="仿宋" w:hAnsi="仿宋" w:eastAsia="仿宋" w:cs="仿宋"/>
          <w:sz w:val="32"/>
        </w:rPr>
        <w:t>万元，工程类采购预算</w:t>
      </w:r>
      <w:r>
        <w:rPr>
          <w:rFonts w:hint="eastAsia" w:ascii="仿宋" w:hAnsi="仿宋" w:eastAsia="仿宋" w:cs="仿宋"/>
          <w:sz w:val="32"/>
          <w:lang w:val="en-US" w:eastAsia="zh-CN"/>
        </w:rPr>
        <w:t>0</w:t>
      </w:r>
      <w:r>
        <w:rPr>
          <w:rFonts w:hint="eastAsia" w:ascii="仿宋" w:hAnsi="仿宋" w:eastAsia="仿宋" w:cs="仿宋"/>
          <w:sz w:val="32"/>
        </w:rPr>
        <w:t>万元，服务类采购预算</w:t>
      </w:r>
      <w:r>
        <w:rPr>
          <w:rFonts w:hint="eastAsia" w:ascii="仿宋" w:hAnsi="仿宋" w:eastAsia="仿宋" w:cs="仿宋"/>
          <w:sz w:val="32"/>
          <w:lang w:val="en-US" w:eastAsia="zh-CN"/>
        </w:rPr>
        <w:t>0</w:t>
      </w:r>
      <w:r>
        <w:rPr>
          <w:rFonts w:hint="eastAsia" w:ascii="仿宋" w:hAnsi="仿宋" w:eastAsia="仿宋" w:cs="仿宋"/>
          <w:sz w:val="32"/>
        </w:rPr>
        <w:t>万元。</w:t>
      </w:r>
    </w:p>
    <w:p>
      <w:pPr>
        <w:numPr>
          <w:ilvl w:val="0"/>
          <w:numId w:val="6"/>
        </w:numPr>
        <w:ind w:firstLine="643" w:firstLineChars="200"/>
        <w:jc w:val="left"/>
        <w:rPr>
          <w:rFonts w:ascii="仿宋" w:hAnsi="仿宋" w:eastAsia="仿宋" w:cs="仿宋"/>
          <w:b/>
          <w:bCs/>
          <w:sz w:val="32"/>
        </w:rPr>
      </w:pPr>
      <w:r>
        <w:rPr>
          <w:rFonts w:hint="eastAsia" w:ascii="仿宋" w:hAnsi="仿宋" w:eastAsia="仿宋" w:cs="仿宋"/>
          <w:b/>
          <w:bCs/>
          <w:sz w:val="32"/>
        </w:rPr>
        <w:t>绩效目标设置情况</w:t>
      </w:r>
    </w:p>
    <w:p>
      <w:pPr>
        <w:ind w:firstLine="640" w:firstLineChars="200"/>
        <w:jc w:val="left"/>
        <w:rPr>
          <w:rFonts w:hint="eastAsia"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w:t>
      </w:r>
      <w:r>
        <w:rPr>
          <w:rFonts w:hint="eastAsia" w:ascii="仿宋" w:hAnsi="仿宋" w:eastAsia="仿宋" w:cs="仿宋"/>
          <w:sz w:val="32"/>
        </w:rPr>
        <w:t>年预算项目均按要求编制了绩效目标，从 项目产出、项目效益、满意度等方面设置了绩效目标，综合 反映项目预期完成的数量、实效、质量，预期达到的社会经 济效益、可持续影响以及对象满意度等情况。</w:t>
      </w:r>
    </w:p>
    <w:p>
      <w:pPr>
        <w:ind w:firstLine="640" w:firstLineChars="200"/>
        <w:jc w:val="left"/>
        <w:rPr>
          <w:rFonts w:ascii="仿宋" w:hAnsi="仿宋" w:eastAsia="仿宋" w:cs="仿宋"/>
          <w:sz w:val="32"/>
        </w:rPr>
      </w:pPr>
      <w:r>
        <w:rPr>
          <w:rFonts w:hint="eastAsia" w:ascii="仿宋_GB2312" w:hAnsi="仿宋_GB2312" w:eastAsia="仿宋_GB2312" w:cs="仿宋_GB2312"/>
          <w:color w:val="000000"/>
          <w:kern w:val="0"/>
          <w:sz w:val="32"/>
          <w:szCs w:val="32"/>
          <w:lang w:val="en-US" w:eastAsia="zh-CN"/>
        </w:rPr>
        <w:t>2023</w:t>
      </w:r>
      <w:r>
        <w:rPr>
          <w:rFonts w:hint="eastAsia" w:ascii="仿宋_GB2312" w:hAnsi="仿宋_GB2312" w:eastAsia="仿宋_GB2312" w:cs="仿宋_GB2312"/>
          <w:color w:val="000000"/>
          <w:kern w:val="0"/>
          <w:sz w:val="32"/>
          <w:szCs w:val="32"/>
        </w:rPr>
        <w:t>年部门预算金额共1825.14万元，其中项目共</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个，金额为</w:t>
      </w:r>
      <w:r>
        <w:rPr>
          <w:rFonts w:hint="eastAsia" w:ascii="仿宋_GB2312" w:hAnsi="仿宋_GB2312" w:eastAsia="仿宋_GB2312" w:cs="仿宋_GB2312"/>
          <w:color w:val="000000"/>
          <w:kern w:val="0"/>
          <w:sz w:val="32"/>
          <w:szCs w:val="32"/>
          <w:lang w:val="en-US" w:eastAsia="zh-CN"/>
        </w:rPr>
        <w:t>260</w:t>
      </w:r>
      <w:r>
        <w:rPr>
          <w:rFonts w:hint="eastAsia" w:ascii="仿宋_GB2312" w:hAnsi="仿宋_GB2312" w:eastAsia="仿宋_GB2312" w:cs="仿宋_GB2312"/>
          <w:color w:val="000000"/>
          <w:kern w:val="0"/>
          <w:sz w:val="32"/>
          <w:szCs w:val="32"/>
        </w:rPr>
        <w:t>万元。</w:t>
      </w:r>
    </w:p>
    <w:p>
      <w:pPr>
        <w:numPr>
          <w:ilvl w:val="0"/>
          <w:numId w:val="6"/>
        </w:numPr>
        <w:ind w:firstLine="643" w:firstLineChars="200"/>
        <w:jc w:val="left"/>
        <w:rPr>
          <w:rFonts w:ascii="仿宋" w:hAnsi="仿宋" w:eastAsia="仿宋" w:cs="仿宋"/>
          <w:b/>
          <w:bCs/>
          <w:sz w:val="32"/>
        </w:rPr>
      </w:pPr>
      <w:r>
        <w:rPr>
          <w:rFonts w:hint="eastAsia" w:ascii="仿宋" w:hAnsi="仿宋" w:eastAsia="仿宋" w:cs="仿宋"/>
          <w:b/>
          <w:bCs/>
          <w:sz w:val="32"/>
        </w:rPr>
        <w:t>国有资产占用情况</w:t>
      </w:r>
    </w:p>
    <w:p>
      <w:pPr>
        <w:ind w:firstLine="640" w:firstLineChars="200"/>
        <w:jc w:val="left"/>
        <w:rPr>
          <w:rFonts w:ascii="仿宋" w:hAnsi="仿宋" w:eastAsia="仿宋" w:cs="仿宋"/>
          <w:sz w:val="32"/>
        </w:rPr>
      </w:pPr>
      <w:r>
        <w:rPr>
          <w:rFonts w:hint="eastAsia" w:ascii="仿宋" w:hAnsi="仿宋" w:eastAsia="仿宋" w:cs="仿宋"/>
          <w:sz w:val="32"/>
        </w:rPr>
        <w:t>202</w:t>
      </w:r>
      <w:r>
        <w:rPr>
          <w:rFonts w:hint="eastAsia" w:ascii="仿宋" w:hAnsi="仿宋" w:eastAsia="仿宋" w:cs="仿宋"/>
          <w:sz w:val="32"/>
          <w:lang w:val="en-US" w:eastAsia="zh-CN"/>
        </w:rPr>
        <w:t>2</w:t>
      </w:r>
      <w:r>
        <w:rPr>
          <w:rFonts w:hint="eastAsia" w:ascii="仿宋" w:hAnsi="仿宋" w:eastAsia="仿宋" w:cs="仿宋"/>
          <w:sz w:val="32"/>
        </w:rPr>
        <w:t>年期末，我单位</w:t>
      </w:r>
      <w:r>
        <w:rPr>
          <w:rFonts w:hint="eastAsia" w:ascii="仿宋" w:hAnsi="仿宋" w:eastAsia="仿宋" w:cs="仿宋"/>
          <w:sz w:val="32"/>
          <w:lang w:val="en-US" w:eastAsia="zh-CN"/>
        </w:rPr>
        <w:t>资产总值7667.87万元，</w:t>
      </w:r>
      <w:r>
        <w:rPr>
          <w:rFonts w:hint="eastAsia" w:ascii="仿宋" w:hAnsi="仿宋" w:eastAsia="仿宋" w:cs="仿宋"/>
          <w:sz w:val="32"/>
        </w:rPr>
        <w:t>其中：</w:t>
      </w:r>
      <w:r>
        <w:rPr>
          <w:rFonts w:hint="eastAsia" w:ascii="仿宋" w:hAnsi="仿宋" w:eastAsia="仿宋" w:cs="仿宋"/>
          <w:sz w:val="32"/>
          <w:lang w:val="en-US" w:eastAsia="zh-CN"/>
        </w:rPr>
        <w:t>房屋及构筑物6787万元；通用设备282.47万元；专用设备9.9万元；图书6.2万元；家具用具150.3万元；无形资产432万元。</w:t>
      </w:r>
    </w:p>
    <w:p>
      <w:pPr>
        <w:ind w:firstLine="643" w:firstLineChars="200"/>
        <w:jc w:val="left"/>
        <w:rPr>
          <w:rFonts w:ascii="黑体" w:hAnsi="黑体" w:eastAsia="黑体"/>
          <w:b/>
          <w:bCs/>
          <w:sz w:val="32"/>
        </w:rPr>
      </w:pPr>
      <w:r>
        <w:rPr>
          <w:rFonts w:hint="eastAsia" w:ascii="仿宋" w:hAnsi="仿宋" w:eastAsia="仿宋" w:cs="仿宋"/>
          <w:b/>
          <w:bCs/>
          <w:sz w:val="32"/>
        </w:rPr>
        <w:t>（五）专项转移支付项目情况</w:t>
      </w:r>
    </w:p>
    <w:p>
      <w:pPr>
        <w:ind w:firstLine="640" w:firstLineChars="200"/>
        <w:jc w:val="left"/>
        <w:rPr>
          <w:rFonts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val="en-US" w:eastAsia="zh-CN"/>
        </w:rPr>
        <w:t>无</w:t>
      </w:r>
      <w:r>
        <w:rPr>
          <w:rFonts w:hint="eastAsia" w:ascii="仿宋" w:hAnsi="仿宋" w:eastAsia="仿宋" w:cs="仿宋"/>
          <w:sz w:val="32"/>
        </w:rPr>
        <w:t>专项转移支付项目。</w:t>
      </w: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ind w:firstLine="3614" w:firstLineChars="1000"/>
        <w:jc w:val="both"/>
        <w:rPr>
          <w:rFonts w:ascii="黑体" w:hAnsi="黑体" w:eastAsia="黑体"/>
          <w:b/>
          <w:bCs/>
          <w:sz w:val="36"/>
          <w:szCs w:val="36"/>
        </w:rPr>
      </w:pPr>
      <w:r>
        <w:rPr>
          <w:rFonts w:hint="eastAsia" w:ascii="黑体" w:hAnsi="黑体" w:eastAsia="黑体"/>
          <w:b/>
          <w:bCs/>
          <w:sz w:val="36"/>
          <w:szCs w:val="36"/>
        </w:rPr>
        <w:t xml:space="preserve">第三部分 </w:t>
      </w:r>
    </w:p>
    <w:p>
      <w:pPr>
        <w:jc w:val="center"/>
        <w:rPr>
          <w:rFonts w:ascii="黑体" w:hAnsi="黑体" w:eastAsia="黑体"/>
          <w:b/>
          <w:bCs/>
          <w:sz w:val="36"/>
          <w:szCs w:val="36"/>
        </w:rPr>
      </w:pPr>
      <w:r>
        <w:rPr>
          <w:rFonts w:hint="eastAsia" w:ascii="黑体" w:hAnsi="黑体" w:eastAsia="黑体"/>
          <w:b/>
          <w:bCs/>
          <w:sz w:val="36"/>
          <w:szCs w:val="36"/>
        </w:rPr>
        <w:t>名词解释</w:t>
      </w:r>
    </w:p>
    <w:p>
      <w:pPr>
        <w:jc w:val="left"/>
        <w:rPr>
          <w:rFonts w:ascii="黑体" w:hAnsi="黑体" w:eastAsia="黑体"/>
          <w:sz w:val="32"/>
        </w:rPr>
      </w:pP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 xml:space="preserve">财政拨款收入：是指县级财政当年拨付的资金。 </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事业收入：是指事业单位开展专业活动及辅助活动</w:t>
      </w:r>
    </w:p>
    <w:p>
      <w:pPr>
        <w:jc w:val="left"/>
        <w:rPr>
          <w:rFonts w:ascii="仿宋" w:hAnsi="仿宋" w:eastAsia="仿宋" w:cs="仿宋"/>
          <w:sz w:val="32"/>
        </w:rPr>
      </w:pPr>
      <w:r>
        <w:rPr>
          <w:rFonts w:hint="eastAsia" w:ascii="仿宋" w:hAnsi="仿宋" w:eastAsia="仿宋" w:cs="仿宋"/>
          <w:sz w:val="32"/>
        </w:rPr>
        <w:t>所取得的收入。</w:t>
      </w:r>
    </w:p>
    <w:p>
      <w:pPr>
        <w:numPr>
          <w:ilvl w:val="0"/>
          <w:numId w:val="7"/>
        </w:numPr>
        <w:ind w:firstLine="640" w:firstLineChars="200"/>
        <w:jc w:val="left"/>
        <w:rPr>
          <w:rFonts w:ascii="宋体" w:hAnsi="宋体" w:eastAsia="宋体" w:cs="宋体"/>
          <w:color w:val="333333"/>
          <w:sz w:val="24"/>
        </w:rPr>
      </w:pPr>
      <w:r>
        <w:rPr>
          <w:rFonts w:hint="eastAsia" w:ascii="仿宋" w:hAnsi="仿宋" w:eastAsia="仿宋" w:cs="仿宋"/>
          <w:sz w:val="32"/>
        </w:rPr>
        <w:t>其他收入：是指部门取得的除“财政拨款”、“事 业收入”、“事业单位经营收入”等以外的收入。</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上年结转：</w:t>
      </w:r>
      <w:r>
        <w:rPr>
          <w:rFonts w:hint="eastAsia" w:ascii="仿宋" w:hAnsi="仿宋" w:eastAsia="仿宋" w:cs="仿宋"/>
          <w:color w:val="333333"/>
          <w:sz w:val="32"/>
          <w:szCs w:val="32"/>
          <w:shd w:val="clear" w:color="auto" w:fill="FFFFFF"/>
        </w:rPr>
        <w:t>指以前年度安排、结转到本年仍按原用途继续使用的资金。</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结转下年：</w:t>
      </w:r>
      <w:r>
        <w:rPr>
          <w:rFonts w:hint="eastAsia" w:ascii="仿宋" w:hAnsi="仿宋" w:eastAsia="仿宋" w:cs="仿宋"/>
          <w:color w:val="333333"/>
          <w:sz w:val="32"/>
          <w:szCs w:val="32"/>
          <w:shd w:val="clear" w:color="auto" w:fill="FFFFFF"/>
        </w:rPr>
        <w:t>指以前年度预算安排、因客观条件发生变化无法按原计划实施，需以后年度按原用途继续使用的资金。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用事业基金弥补收支差额：是指事业单位在当年的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基本支出：是指为保障机构正常运转、完成日常工 作任务所必需的开支，其内容包括人员经费和日常公用经费 两部分。</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项目支出：是指在基本支出之外，为完成特定的行政工作任务或事业发展目标所发生的支出。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“三公”经费：是指纳入市级财政预算管理，部门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jc w:val="left"/>
        <w:rPr>
          <w:rFonts w:ascii="仿宋" w:hAnsi="仿宋" w:eastAsia="仿宋" w:cs="仿宋"/>
          <w:sz w:val="32"/>
        </w:rPr>
      </w:pPr>
      <w:r>
        <w:rPr>
          <w:rFonts w:hint="eastAsia" w:ascii="仿宋" w:hAnsi="仿宋" w:eastAsia="仿宋" w:cs="仿宋"/>
          <w:sz w:val="32"/>
        </w:rPr>
        <w:t>（含外宾接待）支出。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lang w:val="en-US" w:eastAsia="zh-CN"/>
        </w:rPr>
        <w:t>行政（事业）单位机构运转</w:t>
      </w:r>
      <w:r>
        <w:rPr>
          <w:rFonts w:hint="eastAsia" w:ascii="仿宋" w:hAnsi="仿宋" w:eastAsia="仿宋" w:cs="仿宋"/>
          <w:sz w:val="32"/>
        </w:rPr>
        <w:t>经费：是指为保障行政单位（含参照公务员法管理的事业单位）运行用于购买货物和服务的各项资 金，包括办公及印刷费、邮电费、差旅费、会议费、福利费、 日常维修费及一般设备购置费、办公用房水电费、办公用房 取暖费、办公用房物业管理费、公务用车运行维护费以及其 他费用。</w:t>
      </w:r>
    </w:p>
    <w:p>
      <w:pPr>
        <w:numPr>
          <w:ilvl w:val="0"/>
          <w:numId w:val="7"/>
        </w:numPr>
        <w:ind w:firstLine="620" w:firstLineChars="200"/>
        <w:jc w:val="left"/>
        <w:rPr>
          <w:rFonts w:ascii="仿宋" w:hAnsi="仿宋" w:eastAsia="仿宋" w:cs="仿宋"/>
          <w:sz w:val="32"/>
        </w:rPr>
      </w:pPr>
      <w:r>
        <w:rPr>
          <w:rFonts w:ascii="仿宋_GB2312" w:hAnsi="宋体" w:eastAsia="仿宋_GB2312" w:cs="仿宋_GB2312"/>
          <w:color w:val="000000"/>
          <w:sz w:val="31"/>
          <w:szCs w:val="31"/>
          <w:shd w:val="clear" w:color="auto" w:fill="FFFFFF"/>
        </w:rPr>
        <w:t>专项转移支付：</w:t>
      </w:r>
      <w:r>
        <w:rPr>
          <w:rFonts w:hint="eastAsia" w:ascii="仿宋_GB2312" w:hAnsi="宋体" w:eastAsia="仿宋_GB2312" w:cs="仿宋_GB2312"/>
          <w:color w:val="000000"/>
          <w:sz w:val="31"/>
          <w:szCs w:val="31"/>
          <w:shd w:val="clear" w:color="auto" w:fill="FFFFFF"/>
        </w:rPr>
        <w:t>是指上级政府(在我国一般指中央、省、市级政府)为实现特定的宏观政策目标，以及对委托下级政府代理的一些事务进行补偿而设立的专项补助资金。资金接受者需按规定用途使用资金。</w:t>
      </w:r>
    </w:p>
    <w:p>
      <w:pPr>
        <w:tabs>
          <w:tab w:val="left" w:pos="7506"/>
        </w:tabs>
        <w:ind w:firstLine="640" w:firstLineChars="200"/>
        <w:jc w:val="left"/>
        <w:rPr>
          <w:rFonts w:ascii="黑体" w:hAnsi="黑体" w:eastAsia="黑体" w:cs="黑体"/>
          <w:sz w:val="32"/>
        </w:rPr>
      </w:pPr>
      <w:r>
        <w:rPr>
          <w:rFonts w:hint="eastAsia" w:ascii="黑体" w:hAnsi="黑体" w:eastAsia="黑体" w:cs="黑体"/>
          <w:sz w:val="32"/>
        </w:rPr>
        <w:t>附件：淮滨县</w:t>
      </w:r>
      <w:r>
        <w:rPr>
          <w:rFonts w:hint="eastAsia" w:ascii="黑体" w:hAnsi="黑体" w:eastAsia="黑体" w:cs="黑体"/>
          <w:sz w:val="32"/>
          <w:lang w:val="en-US" w:eastAsia="zh-CN"/>
        </w:rPr>
        <w:t>思源实验学校</w:t>
      </w:r>
      <w:r>
        <w:rPr>
          <w:rFonts w:hint="eastAsia" w:ascii="黑体" w:hAnsi="黑体" w:eastAsia="黑体" w:cs="黑体"/>
          <w:sz w:val="32"/>
          <w:lang w:eastAsia="zh-CN"/>
        </w:rPr>
        <w:t>2023</w:t>
      </w:r>
      <w:r>
        <w:rPr>
          <w:rFonts w:hint="eastAsia" w:ascii="黑体" w:hAnsi="黑体" w:eastAsia="黑体" w:cs="黑体"/>
          <w:sz w:val="32"/>
        </w:rPr>
        <w:t>年部门预算表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pPr>
        <w:ind w:left="-10"/>
      </w:pPr>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1DBE515B"/>
    <w:multiLevelType w:val="singleLevel"/>
    <w:tmpl w:val="1DBE515B"/>
    <w:lvl w:ilvl="0" w:tentative="0">
      <w:start w:val="1"/>
      <w:numFmt w:val="chineseCounting"/>
      <w:suff w:val="nothing"/>
      <w:lvlText w:val="%1、"/>
      <w:lvlJc w:val="left"/>
      <w:rPr>
        <w:rFonts w:hint="eastAsia"/>
      </w:rPr>
    </w:lvl>
  </w:abstractNum>
  <w:abstractNum w:abstractNumId="4">
    <w:nsid w:val="61D09A37"/>
    <w:multiLevelType w:val="singleLevel"/>
    <w:tmpl w:val="61D09A37"/>
    <w:lvl w:ilvl="0" w:tentative="0">
      <w:start w:val="1"/>
      <w:numFmt w:val="chineseCounting"/>
      <w:suff w:val="nothing"/>
      <w:lvlText w:val="（%1）"/>
      <w:lvlJc w:val="left"/>
      <w:rPr>
        <w:rFonts w:hint="eastAsia"/>
      </w:rPr>
    </w:lvl>
  </w:abstractNum>
  <w:abstractNum w:abstractNumId="5">
    <w:nsid w:val="6EC1A300"/>
    <w:multiLevelType w:val="singleLevel"/>
    <w:tmpl w:val="6EC1A300"/>
    <w:lvl w:ilvl="0" w:tentative="0">
      <w:start w:val="1"/>
      <w:numFmt w:val="chineseCounting"/>
      <w:suff w:val="nothing"/>
      <w:lvlText w:val="%1、"/>
      <w:lvlJc w:val="left"/>
      <w:rPr>
        <w:rFonts w:hint="eastAsia"/>
      </w:rPr>
    </w:lvl>
  </w:abstractNum>
  <w:abstractNum w:abstractNumId="6">
    <w:nsid w:val="73A1052D"/>
    <w:multiLevelType w:val="singleLevel"/>
    <w:tmpl w:val="73A1052D"/>
    <w:lvl w:ilvl="0" w:tentative="0">
      <w:start w:val="3"/>
      <w:numFmt w:val="chineseCounting"/>
      <w:suff w:val="nothing"/>
      <w:lvlText w:val="（%1）"/>
      <w:lvlJc w:val="left"/>
      <w:rPr>
        <w:rFonts w:hint="eastAsia"/>
      </w:rPr>
    </w:lvl>
  </w:abstractNum>
  <w:num w:numId="1">
    <w:abstractNumId w:val="3"/>
  </w:num>
  <w:num w:numId="2">
    <w:abstractNumId w:val="0"/>
  </w:num>
  <w:num w:numId="3">
    <w:abstractNumId w:val="5"/>
  </w:num>
  <w:num w:numId="4">
    <w:abstractNumId w:val="4"/>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0ZWJkZTAxNDZjZmQxZDk1MWZhYTZjYmQ0MTE0MjcifQ=="/>
  </w:docVars>
  <w:rsids>
    <w:rsidRoot w:val="3E5A6C85"/>
    <w:rsid w:val="00077C0D"/>
    <w:rsid w:val="000A6609"/>
    <w:rsid w:val="000D60B2"/>
    <w:rsid w:val="00143DF7"/>
    <w:rsid w:val="001742A7"/>
    <w:rsid w:val="00174CFC"/>
    <w:rsid w:val="001B17CE"/>
    <w:rsid w:val="001C1C18"/>
    <w:rsid w:val="001F4C06"/>
    <w:rsid w:val="00490CAA"/>
    <w:rsid w:val="004B7307"/>
    <w:rsid w:val="004C7D32"/>
    <w:rsid w:val="005128CE"/>
    <w:rsid w:val="005A553F"/>
    <w:rsid w:val="005A78FC"/>
    <w:rsid w:val="005C5D65"/>
    <w:rsid w:val="00647F85"/>
    <w:rsid w:val="006D14AB"/>
    <w:rsid w:val="0091161C"/>
    <w:rsid w:val="009238E3"/>
    <w:rsid w:val="00937FE5"/>
    <w:rsid w:val="009412CA"/>
    <w:rsid w:val="00997E16"/>
    <w:rsid w:val="00AA7872"/>
    <w:rsid w:val="00AD7827"/>
    <w:rsid w:val="00B44F53"/>
    <w:rsid w:val="00BD1004"/>
    <w:rsid w:val="00C40E6C"/>
    <w:rsid w:val="00C9610D"/>
    <w:rsid w:val="00CB1918"/>
    <w:rsid w:val="00CF0B03"/>
    <w:rsid w:val="00D1451C"/>
    <w:rsid w:val="00D67A39"/>
    <w:rsid w:val="00D84F17"/>
    <w:rsid w:val="00EA37A7"/>
    <w:rsid w:val="00FB5B8C"/>
    <w:rsid w:val="014B6590"/>
    <w:rsid w:val="037B79F7"/>
    <w:rsid w:val="041D2A27"/>
    <w:rsid w:val="05377B18"/>
    <w:rsid w:val="06440A7A"/>
    <w:rsid w:val="06721211"/>
    <w:rsid w:val="071D4AEC"/>
    <w:rsid w:val="084542FA"/>
    <w:rsid w:val="0A6251B2"/>
    <w:rsid w:val="0D0F4ED6"/>
    <w:rsid w:val="0D513137"/>
    <w:rsid w:val="10602789"/>
    <w:rsid w:val="123258EF"/>
    <w:rsid w:val="12EF1A32"/>
    <w:rsid w:val="144A1E7D"/>
    <w:rsid w:val="15F07B94"/>
    <w:rsid w:val="173B6758"/>
    <w:rsid w:val="191C5F4B"/>
    <w:rsid w:val="1A1F6988"/>
    <w:rsid w:val="1B351FAC"/>
    <w:rsid w:val="1CA53161"/>
    <w:rsid w:val="1D0460DA"/>
    <w:rsid w:val="1D2E3157"/>
    <w:rsid w:val="1F046865"/>
    <w:rsid w:val="1F5B630B"/>
    <w:rsid w:val="1FE67D19"/>
    <w:rsid w:val="228003BD"/>
    <w:rsid w:val="228C104B"/>
    <w:rsid w:val="246B28E3"/>
    <w:rsid w:val="24DA1A42"/>
    <w:rsid w:val="274F7F6E"/>
    <w:rsid w:val="279A1B15"/>
    <w:rsid w:val="27A42993"/>
    <w:rsid w:val="27CE5CE9"/>
    <w:rsid w:val="28196722"/>
    <w:rsid w:val="28447CD2"/>
    <w:rsid w:val="2AA67AA4"/>
    <w:rsid w:val="2AA8279A"/>
    <w:rsid w:val="2ACE5F14"/>
    <w:rsid w:val="2C081B10"/>
    <w:rsid w:val="2D4A0B6E"/>
    <w:rsid w:val="2F072B71"/>
    <w:rsid w:val="2F8530AA"/>
    <w:rsid w:val="32476D3D"/>
    <w:rsid w:val="33ED121E"/>
    <w:rsid w:val="3402116D"/>
    <w:rsid w:val="34030A42"/>
    <w:rsid w:val="34E010E6"/>
    <w:rsid w:val="358856A2"/>
    <w:rsid w:val="3699743B"/>
    <w:rsid w:val="38237904"/>
    <w:rsid w:val="3872263A"/>
    <w:rsid w:val="39D84127"/>
    <w:rsid w:val="3A2B0CF2"/>
    <w:rsid w:val="3A865F28"/>
    <w:rsid w:val="3C1F6635"/>
    <w:rsid w:val="3E5A6C85"/>
    <w:rsid w:val="3E7E27A3"/>
    <w:rsid w:val="3E886AB6"/>
    <w:rsid w:val="419D0727"/>
    <w:rsid w:val="41FF59D4"/>
    <w:rsid w:val="43572B58"/>
    <w:rsid w:val="45554E75"/>
    <w:rsid w:val="456A4DC4"/>
    <w:rsid w:val="469D4D26"/>
    <w:rsid w:val="46D01A4F"/>
    <w:rsid w:val="483D40CA"/>
    <w:rsid w:val="49B8783A"/>
    <w:rsid w:val="4B86222C"/>
    <w:rsid w:val="4BBC3BEF"/>
    <w:rsid w:val="4CC72AFC"/>
    <w:rsid w:val="4E10402F"/>
    <w:rsid w:val="51320B19"/>
    <w:rsid w:val="519E1D35"/>
    <w:rsid w:val="56CE6835"/>
    <w:rsid w:val="56E7105D"/>
    <w:rsid w:val="61F061FA"/>
    <w:rsid w:val="63514A76"/>
    <w:rsid w:val="63590807"/>
    <w:rsid w:val="647F6552"/>
    <w:rsid w:val="64BB489D"/>
    <w:rsid w:val="65921CF6"/>
    <w:rsid w:val="65DB5214"/>
    <w:rsid w:val="66A82BFF"/>
    <w:rsid w:val="67AE693B"/>
    <w:rsid w:val="67F105D6"/>
    <w:rsid w:val="69F65D89"/>
    <w:rsid w:val="6AAD2EDA"/>
    <w:rsid w:val="6BA07B48"/>
    <w:rsid w:val="6C715A72"/>
    <w:rsid w:val="6E0B1256"/>
    <w:rsid w:val="6EEF1D13"/>
    <w:rsid w:val="71BD526D"/>
    <w:rsid w:val="73655B1C"/>
    <w:rsid w:val="746F63D8"/>
    <w:rsid w:val="747B790C"/>
    <w:rsid w:val="75A37A3E"/>
    <w:rsid w:val="75E31EA6"/>
    <w:rsid w:val="768A2321"/>
    <w:rsid w:val="76D0242A"/>
    <w:rsid w:val="791401EC"/>
    <w:rsid w:val="792702FB"/>
    <w:rsid w:val="7B6C0247"/>
    <w:rsid w:val="7EE527EB"/>
    <w:rsid w:val="7F563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ody Text"/>
    <w:basedOn w:val="1"/>
    <w:unhideWhenUsed/>
    <w:qFormat/>
    <w:uiPriority w:val="1"/>
    <w:pPr>
      <w:spacing w:before="140"/>
      <w:ind w:left="120"/>
    </w:pPr>
    <w:rPr>
      <w:rFonts w:hint="eastAsia" w:ascii="仿宋" w:hAnsi="仿宋" w:eastAsia="仿宋"/>
      <w:sz w:val="32"/>
    </w:rPr>
  </w:style>
  <w:style w:type="paragraph" w:styleId="4">
    <w:name w:val="Balloon Text"/>
    <w:basedOn w:val="1"/>
    <w:link w:val="13"/>
    <w:qFormat/>
    <w:uiPriority w:val="0"/>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annotation subject"/>
    <w:basedOn w:val="2"/>
    <w:next w:val="2"/>
    <w:link w:val="12"/>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批注文字 字符"/>
    <w:basedOn w:val="9"/>
    <w:link w:val="2"/>
    <w:qFormat/>
    <w:uiPriority w:val="0"/>
    <w:rPr>
      <w:rFonts w:asciiTheme="minorHAnsi" w:hAnsiTheme="minorHAnsi" w:eastAsiaTheme="minorEastAsia" w:cstheme="minorBidi"/>
      <w:kern w:val="2"/>
      <w:sz w:val="21"/>
      <w:szCs w:val="24"/>
    </w:rPr>
  </w:style>
  <w:style w:type="character" w:customStyle="1" w:styleId="12">
    <w:name w:val="批注主题 字符"/>
    <w:basedOn w:val="11"/>
    <w:link w:val="6"/>
    <w:qFormat/>
    <w:uiPriority w:val="0"/>
    <w:rPr>
      <w:rFonts w:asciiTheme="minorHAnsi" w:hAnsiTheme="minorHAnsi" w:eastAsiaTheme="minorEastAsia" w:cstheme="minorBidi"/>
      <w:b/>
      <w:bCs/>
      <w:kern w:val="2"/>
      <w:sz w:val="21"/>
      <w:szCs w:val="24"/>
    </w:rPr>
  </w:style>
  <w:style w:type="character" w:customStyle="1" w:styleId="13">
    <w:name w:val="批注框文本 字符"/>
    <w:basedOn w:val="9"/>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hart" Target="charts/chart6.xml"/><Relationship Id="rId8" Type="http://schemas.openxmlformats.org/officeDocument/2006/relationships/chart" Target="charts/chart5.xml"/><Relationship Id="rId7" Type="http://schemas.openxmlformats.org/officeDocument/2006/relationships/chart" Target="charts/chart4.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hart" Target="charts/chart7.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7.xlsx"/></Relationships>
</file>

<file path=word/charts/_rels/chart3.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4.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3.xlsx"/></Relationships>
</file>

<file path=word/charts/_rels/chart5.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4.xlsx"/></Relationships>
</file>

<file path=word/charts/_rels/chart6.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5.xlsx"/></Relationships>
</file>

<file path=word/charts/_rels/chart7.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l">
              <a:defRPr lang="zh-CN" sz="1400" b="1" i="0" u="none" strike="noStrike" kern="1200" spc="0" baseline="0">
                <a:solidFill>
                  <a:schemeClr val="tx1">
                    <a:lumMod val="65000"/>
                    <a:lumOff val="35000"/>
                  </a:schemeClr>
                </a:solidFill>
                <a:latin typeface="+mj-ea"/>
                <a:ea typeface="+mj-ea"/>
                <a:cs typeface="+mn-cs"/>
              </a:defRPr>
            </a:pPr>
            <a:r>
              <a:rPr lang="zh-CN" altLang="en-US" b="1">
                <a:latin typeface="+mj-ea"/>
                <a:ea typeface="+mj-ea"/>
              </a:rPr>
              <a:t>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1574.04</c:v>
                </c:pt>
                <c:pt idx="1">
                  <c:v>1825.14</c:v>
                </c:pt>
              </c:numCache>
            </c:numRef>
          </c:val>
        </c:ser>
        <c:ser>
          <c:idx val="1"/>
          <c:order val="1"/>
          <c:tx>
            <c:strRef>
              <c:f>'2022年部门收支预算表'!$C$1</c:f>
              <c:strCache>
                <c:ptCount val="1"/>
                <c:pt idx="0">
                  <c:v>支出</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1574.04</c:v>
                </c:pt>
                <c:pt idx="1">
                  <c:v>1825.14</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1" i="0" u="none" strike="noStrike" kern="1200" spc="0" baseline="0">
                <a:solidFill>
                  <a:schemeClr val="tx1">
                    <a:lumMod val="65000"/>
                    <a:lumOff val="35000"/>
                  </a:schemeClr>
                </a:solidFill>
                <a:latin typeface="+mn-lt"/>
                <a:ea typeface="+mn-ea"/>
                <a:cs typeface="+mn-cs"/>
              </a:defRPr>
            </a:pPr>
            <a:r>
              <a:rPr lang="zh-CN" altLang="en-US" b="1"/>
              <a:t>收入预算总体情况</a:t>
            </a:r>
            <a:endParaRPr lang="zh-CN" altLang="en-US" b="1"/>
          </a:p>
        </c:rich>
      </c:tx>
      <c:layout/>
      <c:overlay val="0"/>
      <c:spPr>
        <a:noFill/>
        <a:ln>
          <a:noFill/>
        </a:ln>
        <a:effectLst/>
      </c:spPr>
    </c:title>
    <c:autoTitleDeleted val="0"/>
    <c:plotArea>
      <c:layout/>
      <c:barChart>
        <c:barDir val="bar"/>
        <c:grouping val="clustered"/>
        <c:varyColors val="0"/>
        <c:ser>
          <c:idx val="0"/>
          <c:order val="0"/>
          <c:tx>
            <c:strRef>
              <c:f>Sheet1!$B$1</c:f>
              <c:strCache>
                <c:ptCount val="1"/>
                <c:pt idx="0">
                  <c:v>收入预算</c:v>
                </c:pt>
              </c:strCache>
            </c:strRef>
          </c:tx>
          <c:invertIfNegative val="0"/>
          <c:dPt>
            <c:idx val="0"/>
            <c:invertIfNegative val="0"/>
            <c:bubble3D val="0"/>
            <c:spPr>
              <a:solidFill>
                <a:schemeClr val="accent1"/>
              </a:solidFill>
              <a:ln w="19050">
                <a:solidFill>
                  <a:schemeClr val="lt1"/>
                </a:solidFill>
              </a:ln>
              <a:effectLst/>
            </c:spPr>
          </c:dPt>
          <c:dPt>
            <c:idx val="1"/>
            <c:invertIfNegative val="0"/>
            <c:bubble3D val="0"/>
            <c:spPr>
              <a:solidFill>
                <a:schemeClr val="accent2"/>
              </a:solidFill>
              <a:ln w="19050">
                <a:solidFill>
                  <a:schemeClr val="lt1"/>
                </a:solidFill>
              </a:ln>
              <a:effectLst/>
            </c:spPr>
          </c:dPt>
          <c:dPt>
            <c:idx val="2"/>
            <c:invertIfNegative val="0"/>
            <c:bubble3D val="0"/>
            <c:spPr>
              <a:solidFill>
                <a:schemeClr val="accent3"/>
              </a:solidFill>
              <a:ln w="19050">
                <a:solidFill>
                  <a:schemeClr val="lt1"/>
                </a:solidFill>
              </a:ln>
              <a:effectLst/>
            </c:spPr>
          </c:dPt>
          <c:dPt>
            <c:idx val="3"/>
            <c:invertIfNegative val="0"/>
            <c:bubble3D val="0"/>
            <c:spPr>
              <a:solidFill>
                <a:schemeClr val="accent4"/>
              </a:solidFill>
              <a:ln w="19050">
                <a:solidFill>
                  <a:schemeClr val="lt1"/>
                </a:solidFill>
              </a:ln>
              <a:effectLst/>
            </c:spPr>
          </c:dPt>
          <c:dPt>
            <c:idx val="4"/>
            <c:invertIfNegative val="0"/>
            <c:bubble3D val="0"/>
            <c:spPr>
              <a:solidFill>
                <a:schemeClr val="accent5"/>
              </a:solidFill>
              <a:ln w="19050">
                <a:solidFill>
                  <a:schemeClr val="lt1"/>
                </a:solidFill>
              </a:ln>
              <a:effectLst/>
            </c:spPr>
          </c:dPt>
          <c:dPt>
            <c:idx val="5"/>
            <c:invertIfNegative val="0"/>
            <c:bubble3D val="0"/>
            <c:spPr>
              <a:solidFill>
                <a:schemeClr val="accent6"/>
              </a:solidFill>
              <a:ln w="19050">
                <a:solidFill>
                  <a:schemeClr val="lt1"/>
                </a:solidFill>
              </a:ln>
              <a:effectLst/>
            </c:spPr>
          </c:dPt>
          <c:dPt>
            <c:idx val="6"/>
            <c:invertIfNegative val="0"/>
            <c:bubble3D val="0"/>
            <c:spPr>
              <a:solidFill>
                <a:schemeClr val="accent1">
                  <a:lumMod val="60000"/>
                </a:schemeClr>
              </a:solidFill>
              <a:ln w="19050">
                <a:solidFill>
                  <a:schemeClr val="lt1"/>
                </a:solidFill>
              </a:ln>
              <a:effectLst/>
            </c:spPr>
          </c:dPt>
          <c:dPt>
            <c:idx val="7"/>
            <c:invertIfNegative val="0"/>
            <c:bubble3D val="0"/>
            <c:spPr>
              <a:solidFill>
                <a:schemeClr val="accent2">
                  <a:lumMod val="60000"/>
                </a:schemeClr>
              </a:solidFill>
              <a:ln w="19050">
                <a:solidFill>
                  <a:schemeClr val="lt1"/>
                </a:solidFill>
              </a:ln>
              <a:effectLst/>
            </c:spPr>
          </c:dPt>
          <c:dPt>
            <c:idx val="8"/>
            <c:invertIfNegative val="0"/>
            <c:bubble3D val="0"/>
            <c:spPr>
              <a:solidFill>
                <a:schemeClr val="accent3">
                  <a:lumMod val="60000"/>
                </a:schemeClr>
              </a:solidFill>
              <a:ln w="19050">
                <a:solidFill>
                  <a:schemeClr val="lt1"/>
                </a:solidFill>
              </a:ln>
              <a:effectLst/>
            </c:spPr>
          </c:dPt>
          <c:dPt>
            <c:idx val="9"/>
            <c:invertIfNegative val="0"/>
            <c:bubble3D val="0"/>
            <c:spPr>
              <a:solidFill>
                <a:schemeClr val="accent4">
                  <a:lumMod val="60000"/>
                </a:schemeClr>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ext>
            </c:extLst>
          </c:dLbls>
          <c:cat>
            <c:strRef>
              <c:f>Sheet1!$A$2:$A$11</c:f>
              <c:strCache>
                <c:ptCount val="10"/>
                <c:pt idx="0">
                  <c:v>一般公共预算收入</c:v>
                </c:pt>
                <c:pt idx="1">
                  <c:v>政府性基金收入</c:v>
                </c:pt>
                <c:pt idx="2">
                  <c:v>国有资本经营收入</c:v>
                </c:pt>
                <c:pt idx="3">
                  <c:v>财政专户管理资金收入</c:v>
                </c:pt>
                <c:pt idx="4">
                  <c:v>事业收入</c:v>
                </c:pt>
                <c:pt idx="5">
                  <c:v>事业单位经营收入</c:v>
                </c:pt>
                <c:pt idx="6">
                  <c:v>上级补助收入</c:v>
                </c:pt>
                <c:pt idx="7">
                  <c:v>附属单位上缴收入</c:v>
                </c:pt>
                <c:pt idx="8">
                  <c:v>其他收入</c:v>
                </c:pt>
                <c:pt idx="9">
                  <c:v>上年结转结余</c:v>
                </c:pt>
              </c:strCache>
            </c:strRef>
          </c:cat>
          <c:val>
            <c:numRef>
              <c:f>Sheet1!$B$2:$B$11</c:f>
              <c:numCache>
                <c:formatCode>General</c:formatCode>
                <c:ptCount val="10"/>
                <c:pt idx="0">
                  <c:v>1825.14</c:v>
                </c:pt>
              </c:numCache>
            </c:numRef>
          </c:val>
        </c:ser>
        <c:dLbls>
          <c:showLegendKey val="0"/>
          <c:showVal val="0"/>
          <c:showCatName val="0"/>
          <c:showSerName val="0"/>
          <c:showPercent val="0"/>
          <c:showBubbleSize val="0"/>
        </c:dLbls>
        <c:gapWidth val="100"/>
        <c:axId val="2127909856"/>
        <c:axId val="2127920256"/>
      </c:barChart>
      <c:catAx>
        <c:axId val="2127909856"/>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2127920256"/>
        <c:crosses val="autoZero"/>
        <c:auto val="1"/>
        <c:lblAlgn val="ctr"/>
        <c:lblOffset val="100"/>
        <c:noMultiLvlLbl val="0"/>
      </c:catAx>
      <c:valAx>
        <c:axId val="2127920256"/>
        <c:scaling>
          <c:orientation val="minMax"/>
        </c:scaling>
        <c:delete val="0"/>
        <c:axPos val="b"/>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21279098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1" i="0" u="none" strike="noStrike" kern="1200" spc="0" baseline="0">
                <a:solidFill>
                  <a:schemeClr val="tx1">
                    <a:lumMod val="65000"/>
                    <a:lumOff val="35000"/>
                  </a:schemeClr>
                </a:solidFill>
                <a:latin typeface="+mn-lt"/>
                <a:ea typeface="+mn-ea"/>
                <a:cs typeface="+mn-cs"/>
              </a:defRPr>
            </a:pPr>
            <a:r>
              <a:rPr lang="zh-CN" altLang="en-US" b="1"/>
              <a:t>支出预算总体情况</a:t>
            </a:r>
            <a:endParaRPr lang="zh-CN" altLang="en-US" b="1"/>
          </a:p>
        </c:rich>
      </c:tx>
      <c:layout/>
      <c:overlay val="0"/>
      <c:spPr>
        <a:noFill/>
        <a:ln>
          <a:noFill/>
        </a:ln>
        <a:effectLst/>
      </c:spPr>
    </c:title>
    <c:autoTitleDeleted val="0"/>
    <c:plotArea>
      <c:layout/>
      <c:pieChart>
        <c:varyColors val="1"/>
        <c:ser>
          <c:idx val="0"/>
          <c:order val="0"/>
          <c:tx>
            <c:strRef>
              <c:f>Sheet1!$B$1</c:f>
              <c:strCache>
                <c:ptCount val="1"/>
                <c:pt idx="0">
                  <c:v>支出预算</c:v>
                </c:pt>
              </c:strCache>
            </c:strRef>
          </c:tx>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solidFill>
                <a:sysClr val="window" lastClr="FFFFFF"/>
              </a:solidFill>
              <a:ln>
                <a:solidFill>
                  <a:sysClr val="windowText" lastClr="000000">
                    <a:lumMod val="65000"/>
                    <a:lumOff val="35000"/>
                  </a:sysClr>
                </a:solid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ext>
            </c:extLst>
          </c:dLbls>
          <c:cat>
            <c:strRef>
              <c:f>Sheet1!$A$2:$A$3</c:f>
              <c:strCache>
                <c:ptCount val="2"/>
                <c:pt idx="0">
                  <c:v>基本支出</c:v>
                </c:pt>
                <c:pt idx="1">
                  <c:v>项目支出</c:v>
                </c:pt>
              </c:strCache>
            </c:strRef>
          </c:cat>
          <c:val>
            <c:numRef>
              <c:f>Sheet1!$B$2:$B$3</c:f>
              <c:numCache>
                <c:formatCode>General</c:formatCode>
                <c:ptCount val="2"/>
                <c:pt idx="0">
                  <c:v>86</c:v>
                </c:pt>
                <c:pt idx="1">
                  <c:v>14</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lang="zh-CN" sz="1400" b="1" i="0" u="none" strike="noStrike" kern="1200" spc="0" baseline="0">
                <a:solidFill>
                  <a:schemeClr val="tx1">
                    <a:lumMod val="65000"/>
                    <a:lumOff val="35000"/>
                  </a:schemeClr>
                </a:solidFill>
                <a:latin typeface="+mj-ea"/>
                <a:ea typeface="+mj-ea"/>
                <a:cs typeface="+mn-cs"/>
              </a:defRPr>
            </a:pPr>
            <a:r>
              <a:rPr lang="zh-CN" altLang="en-US" b="1">
                <a:latin typeface="+mj-ea"/>
                <a:ea typeface="+mj-ea"/>
              </a:rPr>
              <a:t>财政拨款收支预算总体情况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1574.04</c:v>
                </c:pt>
                <c:pt idx="1">
                  <c:v>1825.14</c:v>
                </c:pt>
              </c:numCache>
            </c:numRef>
          </c:val>
        </c:ser>
        <c:ser>
          <c:idx val="1"/>
          <c:order val="1"/>
          <c:tx>
            <c:strRef>
              <c:f>'2022年部门收支预算表'!$C$1</c:f>
              <c:strCache>
                <c:ptCount val="1"/>
                <c:pt idx="0">
                  <c:v>支出</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1574.04</c:v>
                </c:pt>
                <c:pt idx="1">
                  <c:v>1825.14</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defTabSz="914400">
              <a:defRPr lang="zh-CN" sz="1400" b="1" i="0" u="none" strike="noStrike" kern="1200" spc="0" baseline="0">
                <a:solidFill>
                  <a:schemeClr val="tx1">
                    <a:lumMod val="65000"/>
                    <a:lumOff val="35000"/>
                  </a:schemeClr>
                </a:solidFill>
                <a:latin typeface="+mn-lt"/>
                <a:ea typeface="+mn-ea"/>
                <a:cs typeface="+mn-cs"/>
              </a:defRPr>
            </a:pPr>
            <a:r>
              <a:rPr lang="zh-CN" altLang="en-US" sz="1400"/>
              <a:t>一般公共预算支出预算情况</a:t>
            </a:r>
            <a:endParaRPr lang="zh-CN" altLang="en-US" sz="1400"/>
          </a:p>
        </c:rich>
      </c:tx>
      <c:layout/>
      <c:overlay val="0"/>
      <c:spPr>
        <a:noFill/>
        <a:ln>
          <a:noFill/>
        </a:ln>
        <a:effectLst/>
      </c:spPr>
    </c:title>
    <c:autoTitleDeleted val="0"/>
    <c:plotArea>
      <c:layout/>
      <c:pieChart>
        <c:varyColors val="1"/>
        <c:ser>
          <c:idx val="0"/>
          <c:order val="0"/>
          <c:tx>
            <c:strRef>
              <c:f>Sheet1!$B$1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chemeClr val="dk1">
                        <a:lumMod val="65000"/>
                        <a:lumOff val="35000"/>
                      </a:scheme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86</c:v>
                </c:pt>
                <c:pt idx="1">
                  <c:v>14</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1" i="0" u="none" strike="noStrike" kern="1200" spc="0" baseline="0">
                <a:solidFill>
                  <a:schemeClr val="tx1">
                    <a:lumMod val="65000"/>
                    <a:lumOff val="35000"/>
                  </a:schemeClr>
                </a:solidFill>
                <a:latin typeface="+mn-lt"/>
                <a:ea typeface="+mn-ea"/>
                <a:cs typeface="+mn-cs"/>
              </a:defRPr>
            </a:pPr>
            <a:r>
              <a:rPr lang="zh-CN" altLang="en-US"/>
              <a:t>一般公共预算基本支出预算情况</a:t>
            </a:r>
            <a:endParaRPr lang="zh-CN" altLang="en-US"/>
          </a:p>
        </c:rich>
      </c:tx>
      <c:layout/>
      <c:overlay val="0"/>
      <c:spPr>
        <a:noFill/>
        <a:ln>
          <a:noFill/>
        </a:ln>
        <a:effectLst/>
      </c:spPr>
    </c:title>
    <c:autoTitleDeleted val="0"/>
    <c:plotArea>
      <c:layout/>
      <c:pieChart>
        <c:varyColors val="1"/>
        <c:ser>
          <c:idx val="0"/>
          <c:order val="0"/>
          <c:tx>
            <c:strRef>
              <c:f>Sheet1!$B$1</c:f>
              <c:strCache>
                <c:ptCount val="1"/>
                <c:pt idx="0">
                  <c:v>一般公共预算支出预算情况</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chemeClr val="dk1">
                        <a:lumMod val="65000"/>
                        <a:lumOff val="35000"/>
                      </a:scheme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chemeClr val="tx1">
                          <a:lumMod val="35000"/>
                          <a:lumOff val="65000"/>
                        </a:schemeClr>
                      </a:solidFill>
                      <a:round/>
                    </a:ln>
                    <a:effectLst/>
                  </c:spPr>
                </c15:leaderLines>
              </c:ext>
            </c:extLst>
          </c:dLbls>
          <c:cat>
            <c:strRef>
              <c:f>Sheet1!$A$2:$A$3</c:f>
              <c:strCache>
                <c:ptCount val="2"/>
                <c:pt idx="0">
                  <c:v>人员经费</c:v>
                </c:pt>
                <c:pt idx="1">
                  <c:v>公用经费</c:v>
                </c:pt>
              </c:strCache>
            </c:strRef>
          </c:cat>
          <c:val>
            <c:numRef>
              <c:f>Sheet1!$B$2:$B$3</c:f>
              <c:numCache>
                <c:formatCode>General</c:formatCode>
                <c:ptCount val="2"/>
                <c:pt idx="0">
                  <c:v>97</c:v>
                </c:pt>
                <c:pt idx="1">
                  <c:v>3</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l">
              <a:defRPr lang="zh-CN" sz="1400" b="0" i="0" u="none" strike="noStrike" kern="1200" spc="0" baseline="0">
                <a:solidFill>
                  <a:schemeClr val="tx1">
                    <a:lumMod val="65000"/>
                    <a:lumOff val="35000"/>
                  </a:schemeClr>
                </a:solidFill>
                <a:latin typeface="+mn-lt"/>
                <a:ea typeface="+mn-ea"/>
                <a:cs typeface="+mn-cs"/>
              </a:defRPr>
            </a:pPr>
            <a:r>
              <a:rPr lang="zh-CN" altLang="zh-CN" sz="1400" b="1" i="0" u="none" strike="noStrike" baseline="0">
                <a:effectLst/>
              </a:rPr>
              <a:t>一般公共预算“三公”经费支出预算情况</a:t>
            </a:r>
            <a:endParaRPr lang="zh-CN" altLang="en-US" sz="1400" b="1"/>
          </a:p>
        </c:rich>
      </c:tx>
      <c:layout>
        <c:manualLayout>
          <c:xMode val="edge"/>
          <c:yMode val="edge"/>
          <c:x val="0.188538405971587"/>
          <c:y val="0.0371517027863777"/>
        </c:manualLayout>
      </c:layout>
      <c:overlay val="0"/>
      <c:spPr>
        <a:noFill/>
        <a:ln>
          <a:noFill/>
        </a:ln>
        <a:effectLst/>
      </c:spPr>
    </c:title>
    <c:autoTitleDeleted val="0"/>
    <c:plotArea>
      <c:layout>
        <c:manualLayout>
          <c:layoutTarget val="inner"/>
          <c:xMode val="edge"/>
          <c:yMode val="edge"/>
          <c:x val="0.0992776306284614"/>
          <c:y val="0.154179566563467"/>
          <c:w val="0.876041415843968"/>
          <c:h val="0.649411764705882"/>
        </c:manualLayout>
      </c:layout>
      <c:barChart>
        <c:barDir val="bar"/>
        <c:grouping val="clustered"/>
        <c:varyColors val="0"/>
        <c:ser>
          <c:idx val="0"/>
          <c:order val="0"/>
          <c:tx>
            <c:strRef>
              <c:f>Sheet1!$B$1</c:f>
              <c:strCache>
                <c:ptCount val="1"/>
                <c:pt idx="0">
                  <c:v>因公出国（境）费用</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2022年</c:v>
                </c:pt>
                <c:pt idx="1">
                  <c:v>2023年</c:v>
                </c:pt>
              </c:strCache>
            </c:strRef>
          </c:cat>
          <c:val>
            <c:numRef>
              <c:f>Sheet1!$B$2:$B$3</c:f>
              <c:numCache>
                <c:formatCode>General</c:formatCode>
                <c:ptCount val="2"/>
                <c:pt idx="0">
                  <c:v>0</c:v>
                </c:pt>
                <c:pt idx="1">
                  <c:v>0</c:v>
                </c:pt>
              </c:numCache>
            </c:numRef>
          </c:val>
        </c:ser>
        <c:ser>
          <c:idx val="1"/>
          <c:order val="1"/>
          <c:tx>
            <c:strRef>
              <c:f>Sheet1!$C$1</c:f>
              <c:strCache>
                <c:ptCount val="1"/>
                <c:pt idx="0">
                  <c:v>公务接待费</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2022年</c:v>
                </c:pt>
                <c:pt idx="1">
                  <c:v>2023年</c:v>
                </c:pt>
              </c:strCache>
            </c:strRef>
          </c:cat>
          <c:val>
            <c:numRef>
              <c:f>Sheet1!$C$2:$C$3</c:f>
              <c:numCache>
                <c:formatCode>General</c:formatCode>
                <c:ptCount val="2"/>
                <c:pt idx="0">
                  <c:v>0</c:v>
                </c:pt>
                <c:pt idx="1">
                  <c:v>0</c:v>
                </c:pt>
              </c:numCache>
            </c:numRef>
          </c:val>
        </c:ser>
        <c:ser>
          <c:idx val="2"/>
          <c:order val="2"/>
          <c:tx>
            <c:strRef>
              <c:f>Sheet1!$D$1</c:f>
              <c:strCache>
                <c:ptCount val="1"/>
                <c:pt idx="0">
                  <c:v>公务用车购置及运行费</c:v>
                </c:pt>
              </c:strCache>
            </c:strRef>
          </c:tx>
          <c:spPr>
            <a:solidFill>
              <a:schemeClr val="accent3"/>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2022年</c:v>
                </c:pt>
                <c:pt idx="1">
                  <c:v>2023年</c:v>
                </c:pt>
              </c:strCache>
            </c:strRef>
          </c:cat>
          <c:val>
            <c:numRef>
              <c:f>Sheet1!$D$2:$D$3</c:f>
              <c:numCache>
                <c:formatCode>General</c:formatCode>
                <c:ptCount val="2"/>
                <c:pt idx="0">
                  <c:v>0</c:v>
                </c:pt>
                <c:pt idx="1">
                  <c:v>0</c:v>
                </c:pt>
              </c:numCache>
            </c:numRef>
          </c:val>
        </c:ser>
        <c:dLbls>
          <c:showLegendKey val="0"/>
          <c:showVal val="1"/>
          <c:showCatName val="0"/>
          <c:showSerName val="0"/>
          <c:showPercent val="0"/>
          <c:showBubbleSize val="0"/>
        </c:dLbls>
        <c:gapWidth val="219"/>
        <c:axId val="408582879"/>
        <c:axId val="408594943"/>
      </c:barChart>
      <c:catAx>
        <c:axId val="408582879"/>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08594943"/>
        <c:crosses val="autoZero"/>
        <c:auto val="1"/>
        <c:lblAlgn val="ctr"/>
        <c:lblOffset val="100"/>
        <c:noMultiLvlLbl val="0"/>
      </c:catAx>
      <c:valAx>
        <c:axId val="408594943"/>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0858287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2557</Words>
  <Characters>2811</Characters>
  <Lines>20</Lines>
  <Paragraphs>5</Paragraphs>
  <TotalTime>1</TotalTime>
  <ScaleCrop>false</ScaleCrop>
  <LinksUpToDate>false</LinksUpToDate>
  <CharactersWithSpaces>2842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2022-05-23T00:38:00Z</dcterms:created>
  <dc:creator>Administrator</dc:creator>
  <cp:lastModifiedBy>Administrator</cp:lastModifiedBy>
  <dcterms:modified xsi:type="dcterms:W3CDTF">2023-03-08T03:24:16Z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2F606E965C3F47A2A23C8CF82E347772</vt:lpwstr>
  </property>
</Properties>
</file>