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黑体" w:hAnsi="黑体" w:eastAsia="黑体" w:cs="黑体"/>
          <w:b/>
          <w:bCs/>
          <w:sz w:val="44"/>
          <w:szCs w:val="44"/>
        </w:rPr>
      </w:pPr>
    </w:p>
    <w:p>
      <w:pPr>
        <w:spacing w:line="480" w:lineRule="auto"/>
        <w:jc w:val="center"/>
        <w:rPr>
          <w:rFonts w:ascii="宋体" w:hAnsi="宋体" w:eastAsia="宋体" w:cs="宋体"/>
          <w:b/>
          <w:bCs/>
          <w:spacing w:val="-20"/>
          <w:w w:val="100"/>
          <w:sz w:val="44"/>
          <w:szCs w:val="44"/>
        </w:rPr>
      </w:pPr>
      <w:r>
        <w:rPr>
          <w:rFonts w:hint="eastAsia" w:ascii="黑体" w:hAnsi="黑体" w:eastAsia="黑体" w:cs="黑体"/>
          <w:b/>
          <w:bCs/>
          <w:spacing w:val="-20"/>
          <w:w w:val="100"/>
          <w:sz w:val="44"/>
          <w:szCs w:val="44"/>
          <w:lang w:eastAsia="zh-CN"/>
        </w:rPr>
        <w:t>2023年淮滨县马集镇中心学校</w:t>
      </w:r>
      <w:r>
        <w:rPr>
          <w:rFonts w:hint="eastAsia" w:ascii="黑体" w:hAnsi="黑体" w:eastAsia="黑体" w:cs="黑体"/>
          <w:b/>
          <w:bCs/>
          <w:spacing w:val="-20"/>
          <w:w w:val="100"/>
          <w:sz w:val="44"/>
          <w:szCs w:val="44"/>
        </w:rPr>
        <w:t>部门预算说明</w:t>
      </w:r>
    </w:p>
    <w:p>
      <w:pPr>
        <w:pStyle w:val="3"/>
        <w:tabs>
          <w:tab w:val="left" w:pos="880"/>
        </w:tabs>
        <w:kinsoku w:val="0"/>
        <w:overflowPunct w:val="0"/>
        <w:spacing w:before="0" w:line="480" w:lineRule="auto"/>
        <w:ind w:left="0"/>
        <w:jc w:val="center"/>
        <w:rPr>
          <w:rFonts w:hint="default" w:ascii="黑体" w:hAnsi="黑体" w:eastAsia="黑体" w:cs="黑体"/>
          <w:b/>
          <w:w w:val="95"/>
          <w:sz w:val="30"/>
          <w:szCs w:val="30"/>
        </w:rPr>
      </w:pPr>
    </w:p>
    <w:p>
      <w:pPr>
        <w:pStyle w:val="3"/>
        <w:tabs>
          <w:tab w:val="left" w:pos="880"/>
        </w:tabs>
        <w:kinsoku w:val="0"/>
        <w:overflowPunct w:val="0"/>
        <w:spacing w:before="0" w:line="480" w:lineRule="auto"/>
        <w:ind w:left="0"/>
        <w:jc w:val="center"/>
        <w:rPr>
          <w:rFonts w:hint="default" w:ascii="黑体" w:hAnsi="黑体" w:eastAsia="黑体" w:cs="黑体"/>
          <w:b/>
          <w:sz w:val="44"/>
          <w:szCs w:val="44"/>
        </w:rPr>
      </w:pPr>
      <w:r>
        <w:rPr>
          <w:rFonts w:ascii="黑体" w:hAnsi="黑体" w:eastAsia="黑体" w:cs="黑体"/>
          <w:b/>
          <w:w w:val="95"/>
          <w:sz w:val="44"/>
          <w:szCs w:val="44"/>
        </w:rPr>
        <w:t>目</w:t>
      </w:r>
      <w:r>
        <w:rPr>
          <w:rFonts w:ascii="黑体" w:hAnsi="黑体" w:eastAsia="黑体" w:cs="黑体"/>
          <w:b/>
          <w:w w:val="95"/>
          <w:sz w:val="44"/>
          <w:szCs w:val="44"/>
        </w:rPr>
        <w:tab/>
      </w:r>
      <w:r>
        <w:rPr>
          <w:rFonts w:ascii="黑体" w:hAnsi="黑体" w:eastAsia="黑体" w:cs="黑体"/>
          <w:b/>
          <w:sz w:val="44"/>
          <w:szCs w:val="44"/>
        </w:rPr>
        <w:t>录</w:t>
      </w:r>
    </w:p>
    <w:p>
      <w:pPr>
        <w:kinsoku w:val="0"/>
        <w:overflowPunct w:val="0"/>
        <w:autoSpaceDE w:val="0"/>
        <w:autoSpaceDN w:val="0"/>
        <w:adjustRightInd w:val="0"/>
        <w:spacing w:before="351"/>
        <w:ind w:right="126"/>
        <w:rPr>
          <w:rFonts w:hint="eastAsia" w:ascii="黑体" w:hAnsi="黑体" w:eastAsia="黑体" w:cs="黑体"/>
          <w:sz w:val="32"/>
          <w:szCs w:val="32"/>
          <w:lang w:val="en-US" w:eastAsia="zh-CN"/>
        </w:rPr>
      </w:pPr>
      <w:r>
        <w:rPr>
          <w:rFonts w:hint="eastAsia" w:ascii="黑体" w:hAnsi="黑体" w:eastAsia="黑体" w:cs="黑体"/>
          <w:sz w:val="32"/>
          <w:szCs w:val="32"/>
        </w:rPr>
        <w:t>第一部分</w:t>
      </w:r>
      <w:r>
        <w:rPr>
          <w:rFonts w:hint="eastAsia" w:ascii="黑体" w:hAnsi="黑体" w:eastAsia="黑体" w:cs="黑体"/>
          <w:spacing w:val="-7"/>
          <w:sz w:val="32"/>
          <w:szCs w:val="32"/>
        </w:rPr>
        <w:t xml:space="preserve"> 淮滨县</w:t>
      </w:r>
      <w:r>
        <w:rPr>
          <w:rFonts w:hint="eastAsia" w:ascii="黑体" w:hAnsi="黑体" w:eastAsia="黑体" w:cs="黑体"/>
          <w:spacing w:val="-7"/>
          <w:sz w:val="32"/>
          <w:szCs w:val="32"/>
          <w:lang w:eastAsia="zh-CN"/>
        </w:rPr>
        <w:t>淮滨县马集镇中心学校</w:t>
      </w:r>
      <w:r>
        <w:rPr>
          <w:rFonts w:hint="eastAsia" w:ascii="黑体" w:hAnsi="黑体" w:eastAsia="黑体" w:cs="黑体"/>
          <w:sz w:val="32"/>
          <w:szCs w:val="32"/>
        </w:rPr>
        <w:t>概况</w:t>
      </w:r>
    </w:p>
    <w:p>
      <w:pPr>
        <w:kinsoku w:val="0"/>
        <w:overflowPunct w:val="0"/>
        <w:autoSpaceDE w:val="0"/>
        <w:autoSpaceDN w:val="0"/>
        <w:adjustRightInd w:val="0"/>
        <w:spacing w:line="560" w:lineRule="exact"/>
        <w:ind w:firstLine="320" w:firstLineChars="100"/>
        <w:rPr>
          <w:rFonts w:ascii="仿宋" w:hAnsi="仿宋" w:eastAsia="仿宋" w:cs="Times New Roman"/>
          <w:w w:val="99"/>
          <w:sz w:val="32"/>
          <w:szCs w:val="32"/>
        </w:rPr>
      </w:pPr>
      <w:r>
        <w:rPr>
          <w:rFonts w:hint="eastAsia" w:ascii="仿宋" w:hAnsi="仿宋" w:eastAsia="仿宋" w:cs="Times New Roman"/>
          <w:sz w:val="32"/>
          <w:szCs w:val="32"/>
        </w:rPr>
        <w:t>一、主要职责</w:t>
      </w:r>
      <w:r>
        <w:rPr>
          <w:rFonts w:hint="eastAsia" w:ascii="仿宋" w:hAnsi="仿宋" w:eastAsia="仿宋" w:cs="Times New Roman"/>
          <w:w w:val="99"/>
          <w:sz w:val="32"/>
          <w:szCs w:val="32"/>
        </w:rPr>
        <w:t xml:space="preserve"> </w:t>
      </w:r>
    </w:p>
    <w:p>
      <w:pPr>
        <w:kinsoku w:val="0"/>
        <w:overflowPunct w:val="0"/>
        <w:autoSpaceDE w:val="0"/>
        <w:autoSpaceDN w:val="0"/>
        <w:adjustRightInd w:val="0"/>
        <w:spacing w:line="560" w:lineRule="exact"/>
        <w:ind w:firstLine="320" w:firstLineChars="100"/>
        <w:rPr>
          <w:rFonts w:ascii="仿宋" w:hAnsi="仿宋" w:eastAsia="仿宋" w:cs="Times New Roman"/>
          <w:sz w:val="32"/>
          <w:szCs w:val="32"/>
        </w:rPr>
      </w:pPr>
      <w:r>
        <w:rPr>
          <w:rFonts w:hint="eastAsia" w:ascii="仿宋" w:hAnsi="仿宋" w:eastAsia="仿宋" w:cs="Times New Roman"/>
          <w:sz w:val="32"/>
          <w:szCs w:val="32"/>
        </w:rPr>
        <w:t>二、部门所属预算单位构成情况</w:t>
      </w:r>
    </w:p>
    <w:p>
      <w:pPr>
        <w:kinsoku w:val="0"/>
        <w:overflowPunct w:val="0"/>
        <w:autoSpaceDE w:val="0"/>
        <w:autoSpaceDN w:val="0"/>
        <w:adjustRightInd w:val="0"/>
        <w:spacing w:before="12" w:line="357" w:lineRule="auto"/>
        <w:ind w:right="126"/>
        <w:rPr>
          <w:rFonts w:ascii="黑体" w:hAnsi="黑体" w:eastAsia="黑体" w:cs="Times New Roman"/>
          <w:w w:val="99"/>
          <w:sz w:val="32"/>
          <w:szCs w:val="32"/>
        </w:rPr>
      </w:pPr>
      <w:r>
        <w:rPr>
          <w:rFonts w:hint="eastAsia" w:ascii="黑体" w:hAnsi="黑体" w:eastAsia="黑体" w:cs="Times New Roman"/>
          <w:sz w:val="32"/>
          <w:szCs w:val="32"/>
        </w:rPr>
        <w:t>第二部分</w:t>
      </w:r>
      <w:r>
        <w:rPr>
          <w:rFonts w:hint="eastAsia" w:ascii="黑体" w:hAnsi="黑体" w:eastAsia="黑体" w:cs="Times New Roman"/>
          <w:spacing w:val="-5"/>
          <w:sz w:val="32"/>
          <w:szCs w:val="32"/>
        </w:rPr>
        <w:t xml:space="preserve"> </w:t>
      </w:r>
      <w:r>
        <w:rPr>
          <w:rFonts w:hint="eastAsia" w:ascii="黑体" w:hAnsi="黑体" w:eastAsia="黑体" w:cs="Times New Roman"/>
          <w:spacing w:val="-5"/>
          <w:sz w:val="32"/>
          <w:szCs w:val="32"/>
          <w:lang w:eastAsia="zh-CN"/>
        </w:rPr>
        <w:t>淮滨县马集镇中心学校</w:t>
      </w:r>
      <w:r>
        <w:rPr>
          <w:rFonts w:hint="eastAsia" w:ascii="黑体" w:hAnsi="黑体" w:eastAsia="黑体" w:cs="Times New Roman"/>
          <w:spacing w:val="-84"/>
          <w:sz w:val="32"/>
          <w:szCs w:val="32"/>
        </w:rPr>
        <w:t xml:space="preserve"> </w:t>
      </w:r>
      <w:r>
        <w:rPr>
          <w:rFonts w:hint="eastAsia" w:ascii="黑体" w:hAnsi="黑体" w:eastAsia="黑体" w:cs="Times New Roman"/>
          <w:sz w:val="32"/>
          <w:szCs w:val="32"/>
        </w:rPr>
        <w:t>202</w:t>
      </w:r>
      <w:r>
        <w:rPr>
          <w:rFonts w:hint="eastAsia" w:ascii="黑体" w:hAnsi="黑体" w:eastAsia="黑体" w:cs="Times New Roman"/>
          <w:sz w:val="32"/>
          <w:szCs w:val="32"/>
          <w:lang w:val="en-US" w:eastAsia="zh-CN"/>
        </w:rPr>
        <w:t>3</w:t>
      </w:r>
      <w:r>
        <w:rPr>
          <w:rFonts w:hint="eastAsia" w:ascii="黑体" w:hAnsi="黑体" w:eastAsia="黑体" w:cs="Times New Roman"/>
          <w:spacing w:val="-83"/>
          <w:sz w:val="32"/>
          <w:szCs w:val="32"/>
        </w:rPr>
        <w:t xml:space="preserve"> </w:t>
      </w:r>
      <w:r>
        <w:rPr>
          <w:rFonts w:hint="eastAsia" w:ascii="黑体" w:hAnsi="黑体" w:eastAsia="黑体" w:cs="Times New Roman"/>
          <w:sz w:val="32"/>
          <w:szCs w:val="32"/>
        </w:rPr>
        <w:t>年度部门预算情况说明</w:t>
      </w:r>
      <w:r>
        <w:rPr>
          <w:rFonts w:hint="eastAsia" w:ascii="黑体" w:hAnsi="黑体" w:eastAsia="黑体" w:cs="Times New Roman"/>
          <w:w w:val="99"/>
          <w:sz w:val="32"/>
          <w:szCs w:val="32"/>
        </w:rPr>
        <w:t xml:space="preserve"> </w:t>
      </w:r>
    </w:p>
    <w:p>
      <w:pPr>
        <w:kinsoku w:val="0"/>
        <w:overflowPunct w:val="0"/>
        <w:autoSpaceDE w:val="0"/>
        <w:autoSpaceDN w:val="0"/>
        <w:adjustRightInd w:val="0"/>
        <w:spacing w:before="12" w:line="357" w:lineRule="auto"/>
        <w:ind w:right="126"/>
        <w:rPr>
          <w:rFonts w:ascii="黑体" w:hAnsi="黑体" w:eastAsia="黑体" w:cs="Times New Roman"/>
          <w:sz w:val="32"/>
          <w:szCs w:val="32"/>
        </w:rPr>
      </w:pPr>
      <w:r>
        <w:rPr>
          <w:rFonts w:hint="eastAsia" w:ascii="黑体" w:hAnsi="黑体" w:eastAsia="黑体" w:cs="Times New Roman"/>
          <w:sz w:val="32"/>
          <w:szCs w:val="32"/>
        </w:rPr>
        <w:t>第三部分</w:t>
      </w:r>
      <w:r>
        <w:rPr>
          <w:rFonts w:hint="eastAsia" w:ascii="黑体" w:hAnsi="黑体" w:eastAsia="黑体" w:cs="Times New Roman"/>
          <w:spacing w:val="-3"/>
          <w:sz w:val="32"/>
          <w:szCs w:val="32"/>
        </w:rPr>
        <w:t xml:space="preserve"> </w:t>
      </w:r>
      <w:r>
        <w:rPr>
          <w:rFonts w:hint="eastAsia" w:ascii="黑体" w:hAnsi="黑体" w:eastAsia="黑体" w:cs="Times New Roman"/>
          <w:sz w:val="32"/>
          <w:szCs w:val="32"/>
        </w:rPr>
        <w:t>名词解释</w:t>
      </w:r>
    </w:p>
    <w:p>
      <w:pPr>
        <w:kinsoku w:val="0"/>
        <w:overflowPunct w:val="0"/>
        <w:autoSpaceDE w:val="0"/>
        <w:autoSpaceDN w:val="0"/>
        <w:adjustRightInd w:val="0"/>
        <w:spacing w:before="48" w:line="345" w:lineRule="auto"/>
        <w:ind w:right="766"/>
        <w:rPr>
          <w:rFonts w:ascii="黑体" w:hAnsi="黑体" w:eastAsia="黑体" w:cs="Times New Roman"/>
          <w:sz w:val="32"/>
          <w:szCs w:val="32"/>
        </w:rPr>
      </w:pPr>
      <w:r>
        <w:rPr>
          <w:rFonts w:hint="eastAsia" w:ascii="黑体" w:hAnsi="黑体" w:eastAsia="黑体" w:cs="Times New Roman"/>
          <w:sz w:val="32"/>
          <w:szCs w:val="32"/>
        </w:rPr>
        <w:t>附件：</w:t>
      </w:r>
      <w:r>
        <w:rPr>
          <w:rFonts w:hint="eastAsia" w:ascii="黑体" w:hAnsi="黑体" w:eastAsia="黑体" w:cs="Times New Roman"/>
          <w:sz w:val="32"/>
          <w:szCs w:val="32"/>
          <w:lang w:eastAsia="zh-CN"/>
        </w:rPr>
        <w:t>淮滨县马集镇中心学校2023年</w:t>
      </w:r>
      <w:r>
        <w:rPr>
          <w:rFonts w:hint="eastAsia" w:ascii="黑体" w:hAnsi="黑体" w:eastAsia="黑体" w:cs="Times New Roman"/>
          <w:sz w:val="32"/>
          <w:szCs w:val="32"/>
        </w:rPr>
        <w:t>度部门预算表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部门收入预算表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财政拨款收支预算表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一般公共预算基本支出预算表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支出经济分类汇总表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一般公共预算“三公”经费预算表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政府性基金支出预算表</w:t>
      </w:r>
    </w:p>
    <w:p>
      <w:pPr>
        <w:numPr>
          <w:ilvl w:val="0"/>
          <w:numId w:val="1"/>
        </w:numPr>
        <w:kinsoku w:val="0"/>
        <w:overflowPunct w:val="0"/>
        <w:autoSpaceDE w:val="0"/>
        <w:autoSpaceDN w:val="0"/>
        <w:adjustRightInd w:val="0"/>
        <w:spacing w:before="48" w:line="560" w:lineRule="exact"/>
        <w:ind w:right="765" w:firstLine="28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国有资本经营支出预算表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项目支出预算表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政府采购预算表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部门(单位)整体绩效目标表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部门(单位)预算项目绩效目标表</w:t>
      </w: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pStyle w:val="3"/>
        <w:numPr>
          <w:ilvl w:val="0"/>
          <w:numId w:val="2"/>
        </w:numPr>
        <w:tabs>
          <w:tab w:val="left" w:pos="880"/>
        </w:tabs>
        <w:kinsoku w:val="0"/>
        <w:overflowPunct w:val="0"/>
        <w:spacing w:before="0"/>
        <w:jc w:val="center"/>
        <w:rPr>
          <w:rFonts w:hint="default" w:ascii="黑体" w:hAnsi="黑体" w:eastAsia="黑体" w:cs="黑体"/>
          <w:b/>
          <w:sz w:val="36"/>
          <w:szCs w:val="36"/>
        </w:rPr>
      </w:pPr>
    </w:p>
    <w:p>
      <w:pPr>
        <w:pStyle w:val="3"/>
        <w:tabs>
          <w:tab w:val="left" w:pos="880"/>
        </w:tabs>
        <w:kinsoku w:val="0"/>
        <w:overflowPunct w:val="0"/>
        <w:spacing w:before="0"/>
        <w:ind w:left="0"/>
        <w:jc w:val="center"/>
        <w:rPr>
          <w:rFonts w:hint="default" w:ascii="黑体" w:hAnsi="黑体" w:eastAsia="黑体" w:cs="黑体"/>
          <w:b/>
          <w:sz w:val="36"/>
          <w:szCs w:val="36"/>
        </w:rPr>
      </w:pPr>
      <w:r>
        <w:rPr>
          <w:rFonts w:ascii="黑体" w:hAnsi="黑体" w:eastAsia="黑体" w:cs="黑体"/>
          <w:b/>
          <w:sz w:val="36"/>
          <w:szCs w:val="36"/>
        </w:rPr>
        <w:t>淮滨县</w:t>
      </w:r>
      <w:r>
        <w:rPr>
          <w:rFonts w:hint="eastAsia" w:ascii="黑体" w:hAnsi="黑体" w:eastAsia="黑体" w:cs="黑体"/>
          <w:b/>
          <w:sz w:val="36"/>
          <w:szCs w:val="36"/>
          <w:lang w:eastAsia="zh-CN"/>
        </w:rPr>
        <w:t>淮滨县马集镇中心学校</w:t>
      </w:r>
      <w:r>
        <w:rPr>
          <w:rFonts w:ascii="黑体" w:hAnsi="黑体" w:eastAsia="黑体" w:cs="黑体"/>
          <w:b/>
          <w:sz w:val="36"/>
          <w:szCs w:val="36"/>
        </w:rPr>
        <w:t>概况</w:t>
      </w:r>
    </w:p>
    <w:p>
      <w:pPr>
        <w:pStyle w:val="3"/>
        <w:tabs>
          <w:tab w:val="left" w:pos="880"/>
        </w:tabs>
        <w:kinsoku w:val="0"/>
        <w:overflowPunct w:val="0"/>
        <w:spacing w:before="0"/>
        <w:ind w:left="0"/>
        <w:jc w:val="center"/>
        <w:rPr>
          <w:rFonts w:hint="default" w:ascii="黑体" w:hAnsi="黑体" w:eastAsia="黑体" w:cs="黑体"/>
          <w:b/>
          <w:sz w:val="36"/>
          <w:szCs w:val="36"/>
        </w:rPr>
      </w:pPr>
    </w:p>
    <w:p>
      <w:pPr>
        <w:pStyle w:val="3"/>
        <w:numPr>
          <w:ilvl w:val="0"/>
          <w:numId w:val="3"/>
        </w:numPr>
        <w:tabs>
          <w:tab w:val="left" w:pos="880"/>
        </w:tabs>
        <w:kinsoku w:val="0"/>
        <w:overflowPunct w:val="0"/>
        <w:spacing w:before="0"/>
        <w:ind w:firstLine="640" w:firstLineChars="200"/>
        <w:jc w:val="left"/>
        <w:rPr>
          <w:rFonts w:hint="default" w:ascii="黑体" w:hAnsi="黑体" w:eastAsia="黑体" w:cs="黑体"/>
          <w:bCs/>
          <w:szCs w:val="32"/>
        </w:rPr>
      </w:pPr>
      <w:r>
        <w:rPr>
          <w:rFonts w:hint="eastAsia" w:ascii="黑体" w:hAnsi="黑体" w:eastAsia="黑体" w:cs="黑体"/>
          <w:bCs/>
          <w:szCs w:val="32"/>
          <w:lang w:eastAsia="zh-CN"/>
        </w:rPr>
        <w:t>淮滨县马集镇中心学校</w:t>
      </w:r>
      <w:r>
        <w:rPr>
          <w:rFonts w:ascii="黑体" w:hAnsi="黑体" w:eastAsia="黑体" w:cs="黑体"/>
          <w:bCs/>
          <w:szCs w:val="32"/>
        </w:rPr>
        <w:t>主要职责</w:t>
      </w:r>
    </w:p>
    <w:p>
      <w:pPr>
        <w:pStyle w:val="3"/>
        <w:numPr>
          <w:ilvl w:val="0"/>
          <w:numId w:val="0"/>
        </w:numPr>
        <w:tabs>
          <w:tab w:val="left" w:pos="880"/>
        </w:tabs>
        <w:kinsoku w:val="0"/>
        <w:overflowPunct w:val="0"/>
        <w:spacing w:before="0"/>
        <w:ind w:firstLine="640" w:firstLineChars="200"/>
        <w:jc w:val="left"/>
        <w:rPr>
          <w:rFonts w:hint="default" w:ascii="仿宋_GB2312" w:hAnsi="仿宋_GB2312" w:eastAsia="仿宋_GB2312" w:cs="仿宋_GB2312"/>
          <w:bCs/>
          <w:szCs w:val="32"/>
        </w:rPr>
      </w:pPr>
      <w:r>
        <w:rPr>
          <w:rFonts w:hint="eastAsia" w:ascii="仿宋_GB2312" w:hAnsi="仿宋_GB2312" w:eastAsia="仿宋_GB2312" w:cs="仿宋_GB2312"/>
          <w:bCs/>
          <w:szCs w:val="32"/>
          <w:lang w:eastAsia="zh-CN"/>
        </w:rPr>
        <w:t>淮滨县马集镇中心学校</w:t>
      </w:r>
      <w:r>
        <w:rPr>
          <w:rFonts w:ascii="仿宋_GB2312" w:hAnsi="仿宋_GB2312" w:eastAsia="仿宋_GB2312" w:cs="仿宋_GB2312"/>
          <w:bCs/>
          <w:szCs w:val="32"/>
        </w:rPr>
        <w:t>主要职责是：</w:t>
      </w:r>
    </w:p>
    <w:p>
      <w:pPr>
        <w:pStyle w:val="3"/>
        <w:numPr>
          <w:ilvl w:val="0"/>
          <w:numId w:val="4"/>
        </w:numPr>
        <w:tabs>
          <w:tab w:val="left" w:pos="880"/>
        </w:tabs>
        <w:kinsoku w:val="0"/>
        <w:overflowPunct w:val="0"/>
        <w:spacing w:before="0"/>
        <w:ind w:left="-320" w:leftChars="0" w:firstLine="320" w:firstLineChars="0"/>
        <w:jc w:val="left"/>
        <w:rPr>
          <w:rFonts w:hint="default" w:ascii="仿宋_GB2312" w:hAnsi="仿宋_GB2312" w:eastAsia="仿宋_GB2312" w:cs="仿宋_GB2312"/>
          <w:bCs/>
          <w:szCs w:val="32"/>
        </w:rPr>
      </w:pPr>
      <w:r>
        <w:rPr>
          <w:rFonts w:hint="eastAsia" w:ascii="仿宋_GB2312" w:hAnsi="仿宋_GB2312" w:eastAsia="仿宋_GB2312" w:cs="仿宋_GB2312"/>
          <w:bCs/>
          <w:szCs w:val="32"/>
        </w:rPr>
        <w:t>全面贯彻执行党的路线、方针、政策，依法行政，按照教育法律法规办事。</w:t>
      </w:r>
    </w:p>
    <w:p>
      <w:pPr>
        <w:pStyle w:val="3"/>
        <w:numPr>
          <w:ilvl w:val="0"/>
          <w:numId w:val="4"/>
        </w:numPr>
        <w:tabs>
          <w:tab w:val="left" w:pos="880"/>
        </w:tabs>
        <w:kinsoku w:val="0"/>
        <w:overflowPunct w:val="0"/>
        <w:spacing w:before="0"/>
        <w:ind w:left="-320" w:leftChars="0" w:firstLine="320" w:firstLineChars="0"/>
        <w:jc w:val="left"/>
        <w:rPr>
          <w:rFonts w:hint="default" w:ascii="仿宋_GB2312" w:hAnsi="仿宋_GB2312" w:eastAsia="仿宋_GB2312" w:cs="仿宋_GB2312"/>
          <w:bCs/>
          <w:szCs w:val="32"/>
        </w:rPr>
      </w:pPr>
      <w:r>
        <w:rPr>
          <w:rFonts w:ascii="仿宋_GB2312" w:hAnsi="仿宋_GB2312" w:eastAsia="仿宋_GB2312" w:cs="仿宋_GB2312"/>
          <w:bCs/>
          <w:szCs w:val="32"/>
        </w:rPr>
        <w:t>、</w:t>
      </w:r>
      <w:r>
        <w:rPr>
          <w:rFonts w:hint="eastAsia" w:ascii="仿宋_GB2312" w:hAnsi="仿宋_GB2312" w:eastAsia="仿宋_GB2312" w:cs="仿宋_GB2312"/>
          <w:bCs/>
          <w:szCs w:val="32"/>
        </w:rPr>
        <w:t>组织并指导德育工作，全面落实《教师法》、《未成年人保护法》、《教师道德规范细则》、《中小学教师职业道德规范》、《中小学生守则》，抓好学校校风、教风、学风建设。</w:t>
      </w:r>
    </w:p>
    <w:p>
      <w:pPr>
        <w:pStyle w:val="3"/>
        <w:numPr>
          <w:ilvl w:val="0"/>
          <w:numId w:val="4"/>
        </w:numPr>
        <w:tabs>
          <w:tab w:val="left" w:pos="880"/>
        </w:tabs>
        <w:kinsoku w:val="0"/>
        <w:overflowPunct w:val="0"/>
        <w:spacing w:before="0"/>
        <w:ind w:left="-320" w:leftChars="0" w:firstLine="320" w:firstLineChars="0"/>
        <w:jc w:val="left"/>
        <w:rPr>
          <w:rFonts w:hint="default" w:ascii="仿宋_GB2312" w:hAnsi="仿宋_GB2312" w:eastAsia="仿宋_GB2312" w:cs="仿宋_GB2312"/>
          <w:bCs/>
          <w:szCs w:val="32"/>
        </w:rPr>
      </w:pPr>
      <w:r>
        <w:rPr>
          <w:rFonts w:ascii="仿宋_GB2312" w:hAnsi="仿宋_GB2312" w:eastAsia="仿宋_GB2312" w:cs="仿宋_GB2312"/>
          <w:bCs/>
          <w:szCs w:val="32"/>
        </w:rPr>
        <w:t>、</w:t>
      </w:r>
      <w:r>
        <w:rPr>
          <w:rFonts w:hint="eastAsia" w:ascii="仿宋_GB2312" w:hAnsi="仿宋_GB2312" w:eastAsia="仿宋_GB2312" w:cs="仿宋_GB2312"/>
          <w:bCs/>
          <w:szCs w:val="32"/>
        </w:rPr>
        <w:t>抓好学校教育教学常规管理，加强学校教育科研和教学研究管理，全面推进素质教育，不断提高教育教学质量。</w:t>
      </w:r>
    </w:p>
    <w:p>
      <w:pPr>
        <w:pStyle w:val="3"/>
        <w:numPr>
          <w:ilvl w:val="0"/>
          <w:numId w:val="4"/>
        </w:numPr>
        <w:tabs>
          <w:tab w:val="left" w:pos="880"/>
        </w:tabs>
        <w:kinsoku w:val="0"/>
        <w:overflowPunct w:val="0"/>
        <w:spacing w:before="0"/>
        <w:ind w:left="-320" w:leftChars="0" w:firstLine="320" w:firstLineChars="0"/>
        <w:jc w:val="left"/>
        <w:rPr>
          <w:rFonts w:hint="default" w:ascii="仿宋_GB2312" w:hAnsi="仿宋_GB2312" w:eastAsia="仿宋_GB2312" w:cs="仿宋_GB2312"/>
          <w:bCs/>
          <w:szCs w:val="32"/>
        </w:rPr>
      </w:pPr>
      <w:r>
        <w:rPr>
          <w:rFonts w:ascii="仿宋_GB2312" w:hAnsi="仿宋_GB2312" w:eastAsia="仿宋_GB2312" w:cs="仿宋_GB2312"/>
          <w:bCs/>
          <w:szCs w:val="32"/>
        </w:rPr>
        <w:t>、</w:t>
      </w:r>
      <w:r>
        <w:rPr>
          <w:rFonts w:hint="eastAsia" w:ascii="仿宋_GB2312" w:hAnsi="仿宋_GB2312" w:eastAsia="仿宋_GB2312" w:cs="仿宋_GB2312"/>
          <w:bCs/>
          <w:szCs w:val="32"/>
        </w:rPr>
        <w:t>抓好中小学校体育卫生、美育、健康教育工作和安全稳定工作。</w:t>
      </w:r>
    </w:p>
    <w:p>
      <w:pPr>
        <w:pStyle w:val="3"/>
        <w:numPr>
          <w:ilvl w:val="0"/>
          <w:numId w:val="4"/>
        </w:numPr>
        <w:tabs>
          <w:tab w:val="left" w:pos="880"/>
        </w:tabs>
        <w:kinsoku w:val="0"/>
        <w:overflowPunct w:val="0"/>
        <w:spacing w:before="0"/>
        <w:ind w:left="-320" w:leftChars="0" w:firstLine="320" w:firstLineChars="0"/>
        <w:jc w:val="left"/>
        <w:rPr>
          <w:rFonts w:hint="default" w:ascii="仿宋_GB2312" w:hAnsi="仿宋_GB2312" w:eastAsia="仿宋_GB2312" w:cs="仿宋_GB2312"/>
          <w:bCs/>
          <w:szCs w:val="32"/>
        </w:rPr>
      </w:pPr>
      <w:r>
        <w:rPr>
          <w:rFonts w:ascii="仿宋_GB2312" w:hAnsi="仿宋_GB2312" w:eastAsia="仿宋_GB2312" w:cs="仿宋_GB2312"/>
          <w:bCs/>
          <w:szCs w:val="32"/>
        </w:rPr>
        <w:t>、</w:t>
      </w:r>
      <w:r>
        <w:rPr>
          <w:rFonts w:hint="eastAsia" w:ascii="仿宋_GB2312" w:hAnsi="仿宋_GB2312" w:eastAsia="仿宋_GB2312" w:cs="仿宋_GB2312"/>
          <w:bCs/>
          <w:szCs w:val="32"/>
        </w:rPr>
        <w:t>指导学校加强组织建设，行风建设和勤政廉政建设。规范中小学校收费行为，落实义务教育经费保障机制。严格财经制度，严肃财经纪律，增收节支，不断改善办学条件。</w:t>
      </w:r>
    </w:p>
    <w:p>
      <w:pPr>
        <w:pStyle w:val="3"/>
        <w:numPr>
          <w:ilvl w:val="0"/>
          <w:numId w:val="4"/>
        </w:numPr>
        <w:tabs>
          <w:tab w:val="left" w:pos="880"/>
        </w:tabs>
        <w:kinsoku w:val="0"/>
        <w:overflowPunct w:val="0"/>
        <w:spacing w:before="0"/>
        <w:ind w:left="-320" w:leftChars="0" w:firstLine="320" w:firstLineChars="0"/>
        <w:jc w:val="left"/>
        <w:rPr>
          <w:rFonts w:hint="default" w:ascii="仿宋_GB2312" w:hAnsi="仿宋_GB2312" w:eastAsia="仿宋_GB2312" w:cs="仿宋_GB2312"/>
          <w:bCs/>
          <w:szCs w:val="32"/>
        </w:rPr>
      </w:pPr>
      <w:r>
        <w:rPr>
          <w:rFonts w:hint="eastAsia" w:ascii="仿宋_GB2312" w:hAnsi="仿宋_GB2312" w:eastAsia="仿宋_GB2312" w:cs="仿宋_GB2312"/>
          <w:bCs/>
          <w:szCs w:val="32"/>
          <w:lang w:eastAsia="zh-CN"/>
        </w:rPr>
        <w:t>、加快教育信息化建设步伐，抓好中小学教师继续教育和有关培训工作，努力建设一支思想好、作风正、业务精的教师队伍。</w:t>
      </w:r>
    </w:p>
    <w:p>
      <w:pPr>
        <w:pStyle w:val="3"/>
        <w:numPr>
          <w:ilvl w:val="0"/>
          <w:numId w:val="4"/>
        </w:numPr>
        <w:tabs>
          <w:tab w:val="left" w:pos="880"/>
        </w:tabs>
        <w:kinsoku w:val="0"/>
        <w:overflowPunct w:val="0"/>
        <w:spacing w:before="0"/>
        <w:ind w:left="-320" w:leftChars="0" w:firstLine="320" w:firstLineChars="0"/>
        <w:jc w:val="left"/>
        <w:rPr>
          <w:rFonts w:hint="default" w:ascii="仿宋_GB2312" w:hAnsi="仿宋_GB2312" w:eastAsia="仿宋_GB2312" w:cs="仿宋_GB2312"/>
          <w:bCs/>
          <w:szCs w:val="32"/>
        </w:rPr>
      </w:pPr>
      <w:r>
        <w:rPr>
          <w:rFonts w:hint="eastAsia" w:ascii="仿宋_GB2312" w:hAnsi="仿宋_GB2312" w:eastAsia="仿宋_GB2312" w:cs="仿宋_GB2312"/>
          <w:bCs/>
          <w:szCs w:val="32"/>
          <w:lang w:eastAsia="zh-CN"/>
        </w:rPr>
        <w:t>、切实做好镇党委、政府布置的各项中心工作。</w:t>
      </w:r>
    </w:p>
    <w:p>
      <w:pPr>
        <w:pStyle w:val="3"/>
        <w:numPr>
          <w:ilvl w:val="0"/>
          <w:numId w:val="3"/>
        </w:numPr>
        <w:tabs>
          <w:tab w:val="left" w:pos="880"/>
        </w:tabs>
        <w:kinsoku w:val="0"/>
        <w:overflowPunct w:val="0"/>
        <w:spacing w:before="0"/>
        <w:ind w:firstLine="640" w:firstLineChars="200"/>
        <w:jc w:val="left"/>
        <w:rPr>
          <w:rFonts w:hint="default" w:ascii="黑体" w:hAnsi="黑体" w:eastAsia="黑体" w:cs="黑体"/>
          <w:bCs/>
          <w:szCs w:val="32"/>
        </w:rPr>
      </w:pPr>
      <w:r>
        <w:rPr>
          <w:rFonts w:hint="eastAsia" w:ascii="黑体" w:hAnsi="黑体" w:eastAsia="黑体" w:cs="黑体"/>
          <w:bCs/>
          <w:szCs w:val="32"/>
          <w:lang w:val="en-US" w:eastAsia="zh-CN"/>
        </w:rPr>
        <w:t>内设机构设置情况</w:t>
      </w:r>
    </w:p>
    <w:p>
      <w:pPr>
        <w:ind w:firstLine="640" w:firstLineChars="200"/>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1．教导处</w:t>
      </w:r>
    </w:p>
    <w:p>
      <w:pPr>
        <w:ind w:firstLine="640" w:firstLineChars="200"/>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主要职责负责制定和组织实施学校的教学工作计划；制定教师培训计划，负责教师培养和业务建设；负责全校课程设置；负责学生学籍管理工作，办理休学、复学、转学、退学、借读等手续；制定招生计划和实施方案，负责宣传、报名、考试、录取等工作；负责</w:t>
      </w:r>
      <w:r>
        <w:rPr>
          <w:rFonts w:hint="eastAsia" w:ascii="仿宋_GB2312" w:hAnsi="仿宋_GB2312" w:eastAsia="仿宋_GB2312" w:cs="仿宋_GB2312"/>
          <w:bCs/>
          <w:sz w:val="32"/>
          <w:szCs w:val="32"/>
          <w:lang w:val="en-US" w:eastAsia="zh-CN"/>
        </w:rPr>
        <w:t>小升初</w:t>
      </w:r>
      <w:r>
        <w:rPr>
          <w:rFonts w:hint="eastAsia" w:ascii="仿宋_GB2312" w:hAnsi="仿宋_GB2312" w:eastAsia="仿宋_GB2312" w:cs="仿宋_GB2312"/>
          <w:bCs/>
          <w:sz w:val="32"/>
          <w:szCs w:val="32"/>
        </w:rPr>
        <w:t>、学业水平测试的考务工作；负责日常教务工作。负责学校教育科学研究工作；负责制定学校的学期、学年以及长期的教育、教学、管理科研计划，确定并提出教育教学的研究方向和重点应用课题；全面负责和组织学校应用课题的实施与研究；重点抓好课程（国家、地方、本校）开发与研究，课型（五种基本课型）研究与评估，新教材研究与使用，教育管理与改革，素质教育与高考及各学科重点课题研究；负责组织实施学校所承担的国家、省、市</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县</w:t>
      </w:r>
      <w:r>
        <w:rPr>
          <w:rFonts w:hint="eastAsia" w:ascii="仿宋_GB2312" w:hAnsi="仿宋_GB2312" w:eastAsia="仿宋_GB2312" w:cs="仿宋_GB2312"/>
          <w:bCs/>
          <w:sz w:val="32"/>
          <w:szCs w:val="32"/>
        </w:rPr>
        <w:t>级教育科学规划重点课题的实验与研究，负责重点课题组长的选用与培养；负责审查和批准各学科组、各备课组的教科研工作计划或实验课题的立项、开题，督导实验过程，负责课题评估验收；负责抓好教科研阵地建设；负责教科研队伍的建设，提出和制定名师培养、骨干教师培训计划，并组织实施；负责国家、省、市</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县</w:t>
      </w:r>
      <w:r>
        <w:rPr>
          <w:rFonts w:hint="eastAsia" w:ascii="仿宋_GB2312" w:hAnsi="仿宋_GB2312" w:eastAsia="仿宋_GB2312" w:cs="仿宋_GB2312"/>
          <w:bCs/>
          <w:sz w:val="32"/>
          <w:szCs w:val="32"/>
        </w:rPr>
        <w:t>级优质课和省、市</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县</w:t>
      </w:r>
      <w:r>
        <w:rPr>
          <w:rFonts w:hint="eastAsia" w:ascii="仿宋_GB2312" w:hAnsi="仿宋_GB2312" w:eastAsia="仿宋_GB2312" w:cs="仿宋_GB2312"/>
          <w:bCs/>
          <w:sz w:val="32"/>
          <w:szCs w:val="32"/>
        </w:rPr>
        <w:t>级教学能手的选拔、培养、参赛以及赛后汇报和示范工作；负责总结教科研经验，及时推广教科研成果；帮助教师总结成果，抓好教师教科研论文的撰写，负责论文的征集、推荐、参评；负责组织、指导与教科研相关的听课、讲课、评课、研讨等各种教学活动；搜集教科研信息，把握教科研动态，预测教科研方向，组织各种学术讲座；负责制定学校教科研方面的评估、奖惩意见和其他有关规定；负责专职教科研人员的管理、考核和指导。</w:t>
      </w:r>
    </w:p>
    <w:p>
      <w:pPr>
        <w:ind w:firstLine="640" w:firstLineChars="200"/>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2．总务处</w:t>
      </w:r>
    </w:p>
    <w:p>
      <w:pPr>
        <w:ind w:firstLine="640" w:firstLineChars="200"/>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主要负责学校后勤工作，制定、落实后勤工作计划和管理制度；负责学校校舍校产；负责学校的校园规划、基本建设的具体实施和校舍等方面的维修，及时落实学校采购教学设备和教学物资计划，保证教育教学办公用品的供应；完善财物管理制度，负责公共财产的管理；加强对食堂的管理，按照饮食卫生标准要求，负责监督指导食堂卫生、伙食质量；负责校园环境的管理和建设，搞好绿化、美化，努力创造优美的环境；加强对学校安全、消防设备的管理工作，定期检查学校各种设施，消除隐患，确保校产校舍和人身安全。</w:t>
      </w:r>
    </w:p>
    <w:p>
      <w:pPr>
        <w:ind w:firstLine="640" w:firstLineChars="200"/>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、工会</w:t>
      </w:r>
    </w:p>
    <w:p>
      <w:pPr>
        <w:ind w:firstLine="640" w:firstLineChars="200"/>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主要负责学校工会全面工作，行使监督学校行政工作的权利，组织每年召开的教代会；执行教代会决议，监督行政领导提案情况；落实教代会提案，加强工会自身建设；维护教职工的合法权益，关心教职工生活，办好福利事业；开展教职工、退休工作者文体活动；负责计划生育、调解等工作。</w:t>
      </w:r>
    </w:p>
    <w:p>
      <w:pPr>
        <w:ind w:firstLine="640" w:firstLineChars="200"/>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4</w:t>
      </w:r>
      <w:r>
        <w:rPr>
          <w:rFonts w:hint="eastAsia" w:ascii="仿宋_GB2312" w:hAnsi="仿宋_GB2312" w:eastAsia="仿宋_GB2312" w:cs="仿宋_GB2312"/>
          <w:bCs/>
          <w:sz w:val="32"/>
          <w:szCs w:val="32"/>
        </w:rPr>
        <w:t>.办公室</w:t>
      </w:r>
    </w:p>
    <w:p>
      <w:pPr>
        <w:ind w:firstLine="640" w:firstLineChars="200"/>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主要负责：1.学校档案工作，做好学校档案保管、查询、登记等；2.新闻采集发布、报送、统计等，并按要求宣传报道相关事项；3.记录学校会议记录，及时存档；4.邮件收发工作。</w:t>
      </w:r>
    </w:p>
    <w:p>
      <w:pPr>
        <w:ind w:firstLine="640" w:firstLineChars="200"/>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5</w:t>
      </w:r>
      <w:r>
        <w:rPr>
          <w:rFonts w:hint="eastAsia" w:ascii="仿宋_GB2312" w:hAnsi="仿宋_GB2312" w:eastAsia="仿宋_GB2312" w:cs="仿宋_GB2312"/>
          <w:bCs/>
          <w:sz w:val="32"/>
          <w:szCs w:val="32"/>
        </w:rPr>
        <w:t>.信息中心</w:t>
      </w:r>
    </w:p>
    <w:p>
      <w:pPr>
        <w:ind w:firstLine="640" w:firstLineChars="200"/>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负责学校信息化建设和科创活动工作。</w:t>
      </w:r>
    </w:p>
    <w:p>
      <w:pPr>
        <w:pStyle w:val="3"/>
        <w:numPr>
          <w:ilvl w:val="0"/>
          <w:numId w:val="3"/>
        </w:numPr>
        <w:tabs>
          <w:tab w:val="left" w:pos="880"/>
        </w:tabs>
        <w:kinsoku w:val="0"/>
        <w:overflowPunct w:val="0"/>
        <w:spacing w:before="0"/>
        <w:ind w:firstLine="640" w:firstLineChars="200"/>
        <w:jc w:val="left"/>
        <w:rPr>
          <w:rFonts w:hint="eastAsia" w:ascii="仿宋_GB2312" w:hAnsi="仿宋_GB2312" w:eastAsia="仿宋_GB2312" w:cs="仿宋_GB2312"/>
          <w:bCs/>
          <w:sz w:val="32"/>
          <w:szCs w:val="32"/>
        </w:rPr>
      </w:pPr>
      <w:r>
        <w:rPr>
          <w:rFonts w:hint="eastAsia" w:ascii="黑体" w:hAnsi="黑体" w:eastAsia="黑体" w:cs="黑体"/>
          <w:bCs/>
          <w:szCs w:val="32"/>
          <w:lang w:val="en-US" w:eastAsia="zh-CN"/>
        </w:rPr>
        <w:t>部门所属预算单位构成情况</w:t>
      </w:r>
    </w:p>
    <w:p>
      <w:pPr>
        <w:numPr>
          <w:ilvl w:val="0"/>
          <w:numId w:val="0"/>
        </w:numPr>
        <w:ind w:firstLine="640" w:firstLineChars="200"/>
        <w:jc w:val="left"/>
        <w:rPr>
          <w:rFonts w:hint="eastAsia" w:ascii="仿宋" w:hAnsi="仿宋" w:eastAsia="仿宋" w:cs="仿宋"/>
          <w:bCs/>
          <w:sz w:val="32"/>
          <w:szCs w:val="32"/>
        </w:rPr>
      </w:pPr>
      <w:r>
        <w:rPr>
          <w:rFonts w:hint="eastAsia" w:ascii="仿宋_GB2312" w:hAnsi="仿宋_GB2312" w:eastAsia="仿宋_GB2312" w:cs="仿宋_GB2312"/>
          <w:bCs/>
          <w:sz w:val="32"/>
          <w:szCs w:val="32"/>
          <w:lang w:eastAsia="zh-CN"/>
        </w:rPr>
        <w:t>淮滨县马集镇中心学校</w:t>
      </w:r>
      <w:r>
        <w:rPr>
          <w:rFonts w:hint="eastAsia" w:ascii="仿宋_GB2312" w:hAnsi="仿宋_GB2312" w:eastAsia="仿宋_GB2312" w:cs="仿宋_GB2312"/>
          <w:bCs/>
          <w:sz w:val="32"/>
          <w:szCs w:val="32"/>
        </w:rPr>
        <w:t>预算</w:t>
      </w:r>
      <w:r>
        <w:rPr>
          <w:rFonts w:hint="eastAsia" w:ascii="仿宋_GB2312" w:hAnsi="仿宋_GB2312" w:eastAsia="仿宋_GB2312" w:cs="仿宋_GB2312"/>
          <w:bCs/>
          <w:sz w:val="32"/>
          <w:szCs w:val="32"/>
          <w:lang w:val="en-US" w:eastAsia="zh-CN"/>
        </w:rPr>
        <w:t>单位包括马集镇中心学校、马集镇龙泉小学、马集镇刘大元小学、马集镇鲁圩小学、马集镇李圩小学、马集镇项元小学、马集镇陈庄小学、马集镇徐楼小学、马集镇帅庄小学、马集镇郭集小学、马集镇洛庄小学、马集镇方元小学、马集镇文庄小学、马集镇彭庄小学等14所小学，全部纳入2023年部门</w:t>
      </w:r>
      <w:r>
        <w:rPr>
          <w:rFonts w:hint="eastAsia" w:ascii="仿宋_GB2312" w:hAnsi="仿宋_GB2312" w:eastAsia="仿宋_GB2312" w:cs="仿宋_GB2312"/>
          <w:bCs/>
          <w:sz w:val="32"/>
          <w:szCs w:val="32"/>
        </w:rPr>
        <w:t>预算</w:t>
      </w:r>
      <w:r>
        <w:rPr>
          <w:rFonts w:hint="eastAsia" w:ascii="仿宋_GB2312" w:hAnsi="仿宋_GB2312" w:eastAsia="仿宋_GB2312" w:cs="仿宋_GB2312"/>
          <w:bCs/>
          <w:sz w:val="32"/>
          <w:szCs w:val="32"/>
          <w:lang w:val="en-US" w:eastAsia="zh-CN"/>
        </w:rPr>
        <w:t>编制范围</w:t>
      </w:r>
      <w:r>
        <w:rPr>
          <w:rFonts w:hint="eastAsia" w:ascii="仿宋_GB2312" w:hAnsi="仿宋_GB2312" w:eastAsia="仿宋_GB2312" w:cs="仿宋_GB2312"/>
          <w:bCs/>
          <w:sz w:val="32"/>
          <w:szCs w:val="32"/>
        </w:rPr>
        <w:t>。</w:t>
      </w:r>
    </w:p>
    <w:p>
      <w:pPr>
        <w:jc w:val="both"/>
        <w:rPr>
          <w:rFonts w:ascii="黑体" w:hAnsi="黑体" w:eastAsia="黑体" w:cs="黑体"/>
          <w:b/>
          <w:bCs/>
          <w:sz w:val="36"/>
          <w:szCs w:val="36"/>
        </w:rPr>
      </w:pPr>
    </w:p>
    <w:p>
      <w:pPr>
        <w:jc w:val="both"/>
        <w:rPr>
          <w:rFonts w:ascii="黑体" w:hAnsi="黑体" w:eastAsia="黑体" w:cs="黑体"/>
          <w:b/>
          <w:bCs/>
          <w:sz w:val="36"/>
          <w:szCs w:val="36"/>
        </w:rPr>
      </w:pPr>
    </w:p>
    <w:p>
      <w:pPr>
        <w:jc w:val="both"/>
        <w:rPr>
          <w:rFonts w:ascii="黑体" w:hAnsi="黑体" w:eastAsia="黑体" w:cs="黑体"/>
          <w:b/>
          <w:bCs/>
          <w:sz w:val="36"/>
          <w:szCs w:val="36"/>
        </w:rPr>
      </w:pPr>
    </w:p>
    <w:p>
      <w:pPr>
        <w:jc w:val="both"/>
        <w:rPr>
          <w:rFonts w:ascii="黑体" w:hAnsi="黑体" w:eastAsia="黑体" w:cs="黑体"/>
          <w:b/>
          <w:bCs/>
          <w:sz w:val="36"/>
          <w:szCs w:val="36"/>
        </w:rPr>
      </w:pPr>
    </w:p>
    <w:p>
      <w:pPr>
        <w:jc w:val="both"/>
        <w:rPr>
          <w:rFonts w:ascii="黑体" w:hAnsi="黑体" w:eastAsia="黑体" w:cs="黑体"/>
          <w:b/>
          <w:bCs/>
          <w:sz w:val="36"/>
          <w:szCs w:val="36"/>
        </w:rPr>
      </w:pPr>
    </w:p>
    <w:p>
      <w:pPr>
        <w:jc w:val="both"/>
        <w:rPr>
          <w:rFonts w:ascii="黑体" w:hAnsi="黑体" w:eastAsia="黑体" w:cs="黑体"/>
          <w:b/>
          <w:bCs/>
          <w:sz w:val="36"/>
          <w:szCs w:val="36"/>
        </w:rPr>
      </w:pPr>
    </w:p>
    <w:p>
      <w:pPr>
        <w:jc w:val="both"/>
        <w:rPr>
          <w:rFonts w:ascii="黑体" w:hAnsi="黑体" w:eastAsia="黑体" w:cs="黑体"/>
          <w:b/>
          <w:bCs/>
          <w:sz w:val="36"/>
          <w:szCs w:val="36"/>
        </w:rPr>
      </w:pPr>
    </w:p>
    <w:p>
      <w:pPr>
        <w:jc w:val="center"/>
        <w:rPr>
          <w:rFonts w:ascii="黑体" w:hAnsi="黑体" w:eastAsia="黑体" w:cs="黑体"/>
          <w:b/>
          <w:bCs/>
          <w:sz w:val="36"/>
          <w:szCs w:val="36"/>
        </w:rPr>
      </w:pPr>
      <w:bookmarkStart w:id="0" w:name="_GoBack"/>
      <w:bookmarkEnd w:id="0"/>
      <w:r>
        <w:rPr>
          <w:rFonts w:hint="eastAsia" w:ascii="黑体" w:hAnsi="黑体" w:eastAsia="黑体" w:cs="黑体"/>
          <w:b/>
          <w:bCs/>
          <w:sz w:val="36"/>
          <w:szCs w:val="36"/>
        </w:rPr>
        <w:t>第二部分</w:t>
      </w:r>
    </w:p>
    <w:p>
      <w:pPr>
        <w:jc w:val="center"/>
        <w:rPr>
          <w:rFonts w:ascii="黑体" w:hAnsi="黑体" w:eastAsia="黑体" w:cs="黑体"/>
          <w:b/>
          <w:bCs/>
          <w:sz w:val="36"/>
          <w:szCs w:val="36"/>
        </w:rPr>
      </w:pPr>
      <w:r>
        <w:rPr>
          <w:rFonts w:hint="eastAsia" w:ascii="黑体" w:hAnsi="黑体" w:eastAsia="黑体" w:cs="黑体"/>
          <w:b/>
          <w:bCs/>
          <w:sz w:val="36"/>
          <w:szCs w:val="36"/>
          <w:lang w:eastAsia="zh-CN"/>
        </w:rPr>
        <w:t>淮滨县马集镇中心学校2023年</w:t>
      </w:r>
      <w:r>
        <w:rPr>
          <w:rFonts w:hint="eastAsia" w:ascii="黑体" w:hAnsi="黑体" w:eastAsia="黑体" w:cs="黑体"/>
          <w:b/>
          <w:bCs/>
          <w:sz w:val="36"/>
          <w:szCs w:val="36"/>
        </w:rPr>
        <w:t>度部门预算情况说明</w:t>
      </w:r>
    </w:p>
    <w:p>
      <w:pPr>
        <w:jc w:val="center"/>
        <w:rPr>
          <w:rFonts w:ascii="黑体" w:hAnsi="黑体" w:eastAsia="黑体" w:cs="黑体"/>
          <w:b/>
          <w:bCs/>
          <w:sz w:val="36"/>
          <w:szCs w:val="36"/>
        </w:rPr>
      </w:pPr>
    </w:p>
    <w:p>
      <w:pPr>
        <w:numPr>
          <w:ilvl w:val="0"/>
          <w:numId w:val="5"/>
        </w:numPr>
        <w:ind w:firstLine="640"/>
        <w:jc w:val="left"/>
        <w:rPr>
          <w:rFonts w:ascii="黑体" w:hAnsi="黑体" w:eastAsia="黑体" w:cs="黑体"/>
          <w:sz w:val="32"/>
          <w:szCs w:val="32"/>
        </w:rPr>
      </w:pPr>
      <w:r>
        <w:rPr>
          <w:rFonts w:hint="eastAsia" w:ascii="黑体" w:hAnsi="黑体" w:eastAsia="黑体" w:cs="黑体"/>
          <w:sz w:val="32"/>
          <w:szCs w:val="32"/>
        </w:rPr>
        <w:t>收入支出预算总体情况说明</w:t>
      </w:r>
    </w:p>
    <w:p>
      <w:pPr>
        <w:ind w:firstLine="640" w:firstLineChars="200"/>
        <w:jc w:val="left"/>
        <w:rPr>
          <w:rFonts w:hint="default" w:ascii="仿宋" w:hAnsi="仿宋" w:eastAsia="仿宋" w:cs="仿宋"/>
          <w:sz w:val="32"/>
          <w:szCs w:val="32"/>
          <w:lang w:val="en-US" w:eastAsia="zh-CN"/>
        </w:rPr>
      </w:pPr>
      <w:r>
        <w:rPr>
          <w:rFonts w:hint="eastAsia" w:ascii="仿宋" w:hAnsi="仿宋" w:eastAsia="仿宋" w:cs="仿宋"/>
          <w:sz w:val="32"/>
          <w:szCs w:val="32"/>
          <w:lang w:eastAsia="zh-CN"/>
        </w:rPr>
        <w:t>淮滨县马集镇中心学校2023年</w:t>
      </w:r>
      <w:r>
        <w:rPr>
          <w:rFonts w:hint="eastAsia" w:ascii="仿宋" w:hAnsi="仿宋" w:eastAsia="仿宋" w:cs="仿宋"/>
          <w:sz w:val="32"/>
          <w:szCs w:val="32"/>
        </w:rPr>
        <w:t>收入总计2376.7</w:t>
      </w:r>
      <w:r>
        <w:rPr>
          <w:rFonts w:hint="eastAsia" w:ascii="仿宋" w:hAnsi="仿宋" w:eastAsia="仿宋" w:cs="仿宋"/>
          <w:sz w:val="32"/>
          <w:szCs w:val="32"/>
          <w:lang w:val="en-US" w:eastAsia="zh-CN"/>
        </w:rPr>
        <w:t>3万元</w:t>
      </w:r>
      <w:r>
        <w:rPr>
          <w:rFonts w:hint="eastAsia" w:ascii="仿宋" w:hAnsi="仿宋" w:eastAsia="仿宋" w:cs="仿宋"/>
          <w:sz w:val="32"/>
          <w:szCs w:val="32"/>
        </w:rPr>
        <w:t>，支出总计2376.7</w:t>
      </w:r>
      <w:r>
        <w:rPr>
          <w:rFonts w:hint="eastAsia" w:ascii="仿宋" w:hAnsi="仿宋" w:eastAsia="仿宋" w:cs="仿宋"/>
          <w:sz w:val="32"/>
          <w:szCs w:val="32"/>
          <w:lang w:val="en-US" w:eastAsia="zh-CN"/>
        </w:rPr>
        <w:t>3</w:t>
      </w:r>
      <w:r>
        <w:rPr>
          <w:rFonts w:hint="eastAsia" w:ascii="仿宋" w:hAnsi="仿宋" w:eastAsia="仿宋" w:cs="仿宋"/>
          <w:sz w:val="32"/>
          <w:szCs w:val="32"/>
        </w:rPr>
        <w:t>万元,与202</w:t>
      </w:r>
      <w:r>
        <w:rPr>
          <w:rFonts w:hint="eastAsia" w:ascii="仿宋" w:hAnsi="仿宋" w:eastAsia="仿宋" w:cs="仿宋"/>
          <w:sz w:val="32"/>
          <w:szCs w:val="32"/>
          <w:lang w:val="en-US" w:eastAsia="zh-CN"/>
        </w:rPr>
        <w:t>2</w:t>
      </w:r>
      <w:r>
        <w:rPr>
          <w:rFonts w:hint="eastAsia" w:ascii="仿宋" w:hAnsi="仿宋" w:eastAsia="仿宋" w:cs="仿宋"/>
          <w:sz w:val="32"/>
          <w:szCs w:val="32"/>
        </w:rPr>
        <w:t>年相比，收、支总计各增加</w:t>
      </w:r>
      <w:r>
        <w:rPr>
          <w:rFonts w:hint="eastAsia" w:ascii="仿宋" w:hAnsi="仿宋" w:eastAsia="仿宋" w:cs="仿宋"/>
          <w:sz w:val="32"/>
          <w:szCs w:val="32"/>
          <w:lang w:val="en-US" w:eastAsia="zh-CN"/>
        </w:rPr>
        <w:t>189.73</w:t>
      </w:r>
      <w:r>
        <w:rPr>
          <w:rFonts w:hint="eastAsia" w:ascii="仿宋" w:hAnsi="仿宋" w:eastAsia="仿宋" w:cs="仿宋"/>
          <w:sz w:val="32"/>
          <w:szCs w:val="32"/>
        </w:rPr>
        <w:t>万元，增长</w:t>
      </w:r>
      <w:r>
        <w:rPr>
          <w:rFonts w:hint="eastAsia" w:ascii="仿宋" w:hAnsi="仿宋" w:eastAsia="仿宋" w:cs="仿宋"/>
          <w:sz w:val="32"/>
          <w:szCs w:val="32"/>
          <w:lang w:val="en-US" w:eastAsia="zh-CN"/>
        </w:rPr>
        <w:t>8.68%</w:t>
      </w:r>
      <w:r>
        <w:rPr>
          <w:rFonts w:hint="eastAsia" w:ascii="仿宋" w:hAnsi="仿宋" w:eastAsia="仿宋" w:cs="仿宋"/>
          <w:sz w:val="32"/>
          <w:szCs w:val="32"/>
        </w:rPr>
        <w:t>。主要原因</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本年度单位新增特岗教师、招聘教师，人员增加，工资福利支出增加</w:t>
      </w:r>
      <w:r>
        <w:rPr>
          <w:rFonts w:hint="eastAsia" w:ascii="仿宋" w:hAnsi="仿宋" w:eastAsia="仿宋" w:cs="仿宋"/>
          <w:sz w:val="32"/>
          <w:szCs w:val="32"/>
        </w:rPr>
        <w:t>。</w:t>
      </w:r>
    </w:p>
    <w:p>
      <w:pPr>
        <w:jc w:val="left"/>
        <w:rPr>
          <w:rFonts w:hint="eastAsia" w:ascii="仿宋" w:hAnsi="仿宋" w:eastAsia="仿宋" w:cs="仿宋"/>
          <w:sz w:val="32"/>
          <w:szCs w:val="32"/>
        </w:rPr>
      </w:pPr>
      <w:r>
        <w:rPr>
          <w:rFonts w:hint="eastAsia" w:ascii="仿宋" w:hAnsi="仿宋" w:eastAsia="仿宋" w:cs="仿宋"/>
          <w:sz w:val="32"/>
          <w:szCs w:val="32"/>
        </w:rPr>
        <w:drawing>
          <wp:inline distT="0" distB="0" distL="0" distR="0">
            <wp:extent cx="5340350" cy="3567430"/>
            <wp:effectExtent l="0" t="0" r="12700" b="13970"/>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收入预算总体情况说明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w:t>
      </w:r>
      <w:r>
        <w:rPr>
          <w:rFonts w:hint="eastAsia" w:ascii="仿宋" w:hAnsi="仿宋" w:eastAsia="仿宋" w:cs="仿宋"/>
          <w:sz w:val="32"/>
          <w:lang w:eastAsia="zh-CN"/>
        </w:rPr>
        <w:t>淮滨县马集镇中心学校2023年</w:t>
      </w:r>
      <w:r>
        <w:rPr>
          <w:rFonts w:hint="eastAsia" w:ascii="仿宋" w:hAnsi="仿宋" w:eastAsia="仿宋" w:cs="仿宋"/>
          <w:sz w:val="32"/>
        </w:rPr>
        <w:t>收入合计</w:t>
      </w:r>
      <w:r>
        <w:rPr>
          <w:rFonts w:hint="eastAsia" w:ascii="仿宋" w:hAnsi="仿宋" w:eastAsia="仿宋" w:cs="仿宋"/>
          <w:sz w:val="32"/>
          <w:szCs w:val="32"/>
        </w:rPr>
        <w:t>2376.7</w:t>
      </w:r>
      <w:r>
        <w:rPr>
          <w:rFonts w:hint="eastAsia" w:ascii="仿宋" w:hAnsi="仿宋" w:eastAsia="仿宋" w:cs="仿宋"/>
          <w:sz w:val="32"/>
          <w:szCs w:val="32"/>
          <w:lang w:val="en-US" w:eastAsia="zh-CN"/>
        </w:rPr>
        <w:t>3</w:t>
      </w:r>
      <w:r>
        <w:rPr>
          <w:rFonts w:hint="eastAsia" w:ascii="仿宋" w:hAnsi="仿宋" w:eastAsia="仿宋" w:cs="仿宋"/>
          <w:sz w:val="32"/>
        </w:rPr>
        <w:t>万元，其中：一般公共预算收入</w:t>
      </w:r>
      <w:r>
        <w:rPr>
          <w:rFonts w:hint="eastAsia" w:ascii="仿宋" w:hAnsi="仿宋" w:eastAsia="仿宋" w:cs="仿宋"/>
          <w:sz w:val="32"/>
          <w:szCs w:val="32"/>
        </w:rPr>
        <w:t>2376.7</w:t>
      </w:r>
      <w:r>
        <w:rPr>
          <w:rFonts w:hint="eastAsia" w:ascii="仿宋" w:hAnsi="仿宋" w:eastAsia="仿宋" w:cs="仿宋"/>
          <w:sz w:val="32"/>
          <w:szCs w:val="32"/>
          <w:lang w:val="en-US" w:eastAsia="zh-CN"/>
        </w:rPr>
        <w:t>3</w:t>
      </w:r>
      <w:r>
        <w:rPr>
          <w:rFonts w:hint="eastAsia" w:ascii="仿宋" w:hAnsi="仿宋" w:eastAsia="仿宋" w:cs="仿宋"/>
          <w:sz w:val="32"/>
        </w:rPr>
        <w:t>万元，上年结转结余</w:t>
      </w:r>
      <w:r>
        <w:rPr>
          <w:rFonts w:hint="eastAsia" w:ascii="仿宋" w:hAnsi="仿宋" w:eastAsia="仿宋" w:cs="仿宋"/>
          <w:sz w:val="32"/>
          <w:lang w:val="en-US" w:eastAsia="zh-CN"/>
        </w:rPr>
        <w:t>0.00</w:t>
      </w:r>
      <w:r>
        <w:rPr>
          <w:rFonts w:hint="eastAsia" w:ascii="仿宋" w:hAnsi="仿宋" w:eastAsia="仿宋" w:cs="仿宋"/>
          <w:sz w:val="32"/>
        </w:rPr>
        <w:t>万元。</w:t>
      </w:r>
    </w:p>
    <w:p>
      <w:pPr>
        <w:jc w:val="left"/>
        <w:rPr>
          <w:rFonts w:ascii="仿宋" w:hAnsi="仿宋" w:eastAsia="仿宋" w:cs="仿宋"/>
          <w:sz w:val="32"/>
        </w:rPr>
      </w:pPr>
      <w:r>
        <w:rPr>
          <w:rFonts w:hint="eastAsia" w:ascii="仿宋" w:hAnsi="仿宋" w:eastAsia="仿宋" w:cs="仿宋"/>
          <w:sz w:val="32"/>
        </w:rPr>
        <w:drawing>
          <wp:inline distT="0" distB="0" distL="0" distR="0">
            <wp:extent cx="5359400" cy="3141980"/>
            <wp:effectExtent l="0" t="0" r="12700" b="1270"/>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支出预算总体情况说明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w:t>
      </w:r>
      <w:r>
        <w:rPr>
          <w:rFonts w:hint="eastAsia" w:ascii="仿宋" w:hAnsi="仿宋" w:eastAsia="仿宋" w:cs="仿宋"/>
          <w:sz w:val="32"/>
          <w:lang w:eastAsia="zh-CN"/>
        </w:rPr>
        <w:t>淮滨县马集镇中心学校2023年</w:t>
      </w:r>
      <w:r>
        <w:rPr>
          <w:rFonts w:hint="eastAsia" w:ascii="仿宋" w:hAnsi="仿宋" w:eastAsia="仿宋" w:cs="仿宋"/>
          <w:sz w:val="32"/>
        </w:rPr>
        <w:t>支出合计</w:t>
      </w:r>
      <w:r>
        <w:rPr>
          <w:rFonts w:hint="eastAsia" w:ascii="仿宋" w:hAnsi="仿宋" w:eastAsia="仿宋" w:cs="仿宋"/>
          <w:sz w:val="32"/>
          <w:szCs w:val="32"/>
        </w:rPr>
        <w:t>2376.7</w:t>
      </w:r>
      <w:r>
        <w:rPr>
          <w:rFonts w:hint="eastAsia" w:ascii="仿宋" w:hAnsi="仿宋" w:eastAsia="仿宋" w:cs="仿宋"/>
          <w:sz w:val="32"/>
          <w:szCs w:val="32"/>
          <w:lang w:val="en-US" w:eastAsia="zh-CN"/>
        </w:rPr>
        <w:t>3</w:t>
      </w:r>
      <w:r>
        <w:rPr>
          <w:rFonts w:hint="eastAsia" w:ascii="仿宋" w:hAnsi="仿宋" w:eastAsia="仿宋" w:cs="仿宋"/>
          <w:sz w:val="32"/>
        </w:rPr>
        <w:t>万元，其中：基本支出</w:t>
      </w:r>
      <w:r>
        <w:rPr>
          <w:rFonts w:hint="eastAsia" w:ascii="仿宋" w:hAnsi="仿宋" w:eastAsia="仿宋" w:cs="仿宋"/>
          <w:sz w:val="32"/>
          <w:lang w:val="en-US" w:eastAsia="zh-CN"/>
        </w:rPr>
        <w:t>2160.38</w:t>
      </w:r>
      <w:r>
        <w:rPr>
          <w:rFonts w:hint="eastAsia" w:ascii="仿宋" w:hAnsi="仿宋" w:eastAsia="仿宋" w:cs="仿宋"/>
          <w:sz w:val="32"/>
        </w:rPr>
        <w:t>万元，占</w:t>
      </w:r>
      <w:r>
        <w:rPr>
          <w:rFonts w:hint="eastAsia" w:ascii="仿宋" w:hAnsi="仿宋" w:eastAsia="仿宋" w:cs="仿宋"/>
          <w:sz w:val="32"/>
          <w:lang w:val="en-US" w:eastAsia="zh-CN"/>
        </w:rPr>
        <w:t>90.90</w:t>
      </w:r>
      <w:r>
        <w:rPr>
          <w:rFonts w:hint="eastAsia" w:ascii="仿宋" w:hAnsi="仿宋" w:eastAsia="仿宋" w:cs="仿宋"/>
          <w:sz w:val="32"/>
        </w:rPr>
        <w:t>%；项目支出</w:t>
      </w:r>
      <w:r>
        <w:rPr>
          <w:rFonts w:hint="eastAsia" w:ascii="仿宋" w:hAnsi="仿宋" w:eastAsia="仿宋" w:cs="仿宋"/>
          <w:sz w:val="32"/>
          <w:lang w:val="en-US" w:eastAsia="zh-CN"/>
        </w:rPr>
        <w:t>216.35</w:t>
      </w:r>
      <w:r>
        <w:rPr>
          <w:rFonts w:hint="eastAsia" w:ascii="仿宋" w:hAnsi="仿宋" w:eastAsia="仿宋" w:cs="仿宋"/>
          <w:sz w:val="32"/>
        </w:rPr>
        <w:t>万元，占</w:t>
      </w:r>
      <w:r>
        <w:rPr>
          <w:rFonts w:hint="eastAsia" w:ascii="仿宋" w:hAnsi="仿宋" w:eastAsia="仿宋" w:cs="仿宋"/>
          <w:sz w:val="32"/>
          <w:lang w:val="en-US" w:eastAsia="zh-CN"/>
        </w:rPr>
        <w:t>9.10</w:t>
      </w:r>
      <w:r>
        <w:rPr>
          <w:rFonts w:hint="eastAsia" w:ascii="仿宋" w:hAnsi="仿宋" w:eastAsia="仿宋" w:cs="仿宋"/>
          <w:sz w:val="32"/>
        </w:rPr>
        <w:t>%。</w:t>
      </w:r>
    </w:p>
    <w:p>
      <w:pPr>
        <w:jc w:val="left"/>
        <w:rPr>
          <w:rFonts w:ascii="仿宋" w:hAnsi="仿宋" w:eastAsia="仿宋" w:cs="仿宋"/>
          <w:sz w:val="32"/>
        </w:rPr>
      </w:pPr>
      <w:r>
        <w:rPr>
          <w:rFonts w:hint="eastAsia" w:ascii="仿宋" w:hAnsi="仿宋" w:eastAsia="仿宋" w:cs="仿宋"/>
          <w:sz w:val="32"/>
        </w:rPr>
        <w:drawing>
          <wp:inline distT="0" distB="0" distL="0" distR="0">
            <wp:extent cx="5233035" cy="3181350"/>
            <wp:effectExtent l="5080" t="4445" r="19685" b="1460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numPr>
          <w:ilvl w:val="0"/>
          <w:numId w:val="5"/>
        </w:numPr>
        <w:ind w:firstLine="640"/>
        <w:jc w:val="left"/>
        <w:rPr>
          <w:rFonts w:ascii="黑体" w:hAnsi="黑体" w:eastAsia="黑体" w:cs="黑体"/>
          <w:sz w:val="32"/>
        </w:rPr>
      </w:pPr>
      <w:r>
        <w:rPr>
          <w:rFonts w:hint="eastAsia" w:ascii="黑体" w:hAnsi="黑体" w:eastAsia="黑体" w:cs="黑体"/>
          <w:sz w:val="32"/>
        </w:rPr>
        <w:t>财政拨款收支预算总体情况说明</w:t>
      </w:r>
    </w:p>
    <w:p>
      <w:pPr>
        <w:ind w:firstLine="640" w:firstLineChars="200"/>
        <w:jc w:val="left"/>
        <w:rPr>
          <w:rFonts w:ascii="仿宋" w:hAnsi="仿宋" w:eastAsia="仿宋" w:cs="仿宋"/>
          <w:sz w:val="32"/>
        </w:rPr>
      </w:pPr>
      <w:r>
        <w:rPr>
          <w:rFonts w:hint="eastAsia" w:ascii="仿宋" w:hAnsi="仿宋" w:eastAsia="仿宋" w:cs="仿宋"/>
          <w:sz w:val="32"/>
          <w:lang w:eastAsia="zh-CN"/>
        </w:rPr>
        <w:t>淮滨县马集镇中心学校</w:t>
      </w:r>
      <w:r>
        <w:rPr>
          <w:rFonts w:hint="eastAsia" w:ascii="仿宋" w:hAnsi="仿宋" w:eastAsia="仿宋" w:cs="仿宋"/>
          <w:sz w:val="32"/>
        </w:rPr>
        <w:t>202</w:t>
      </w:r>
      <w:r>
        <w:rPr>
          <w:rFonts w:hint="eastAsia" w:ascii="仿宋" w:hAnsi="仿宋" w:eastAsia="仿宋" w:cs="仿宋"/>
          <w:sz w:val="32"/>
          <w:lang w:val="en-US" w:eastAsia="zh-CN"/>
        </w:rPr>
        <w:t>3</w:t>
      </w:r>
      <w:r>
        <w:rPr>
          <w:rFonts w:hint="eastAsia" w:ascii="仿宋" w:hAnsi="仿宋" w:eastAsia="仿宋" w:cs="仿宋"/>
          <w:sz w:val="32"/>
        </w:rPr>
        <w:t>年</w:t>
      </w:r>
      <w:r>
        <w:rPr>
          <w:rFonts w:hint="eastAsia" w:ascii="仿宋" w:hAnsi="仿宋" w:eastAsia="仿宋" w:cs="仿宋"/>
          <w:sz w:val="32"/>
          <w:lang w:val="en-US" w:eastAsia="zh-CN"/>
        </w:rPr>
        <w:t>财政拨款</w:t>
      </w:r>
      <w:r>
        <w:rPr>
          <w:rFonts w:hint="eastAsia" w:ascii="仿宋" w:hAnsi="仿宋" w:eastAsia="仿宋" w:cs="仿宋"/>
          <w:sz w:val="32"/>
        </w:rPr>
        <w:t>收支预算</w:t>
      </w:r>
      <w:r>
        <w:rPr>
          <w:rFonts w:hint="eastAsia" w:ascii="仿宋" w:hAnsi="仿宋" w:eastAsia="仿宋" w:cs="仿宋"/>
          <w:sz w:val="32"/>
          <w:lang w:eastAsia="zh-CN"/>
        </w:rPr>
        <w:t>2371.1</w:t>
      </w:r>
      <w:r>
        <w:rPr>
          <w:rFonts w:hint="eastAsia" w:ascii="仿宋" w:hAnsi="仿宋" w:eastAsia="仿宋" w:cs="仿宋"/>
          <w:sz w:val="32"/>
          <w:lang w:val="en-US" w:eastAsia="zh-CN"/>
        </w:rPr>
        <w:t>9</w:t>
      </w:r>
      <w:r>
        <w:rPr>
          <w:rFonts w:hint="eastAsia" w:ascii="仿宋" w:hAnsi="仿宋" w:eastAsia="仿宋" w:cs="仿宋"/>
          <w:sz w:val="32"/>
        </w:rPr>
        <w:t>万元，无政府性基金预算和国有资本经营预算。与</w:t>
      </w:r>
      <w:r>
        <w:rPr>
          <w:rFonts w:hint="eastAsia" w:ascii="仿宋" w:hAnsi="仿宋" w:eastAsia="仿宋" w:cs="仿宋"/>
          <w:sz w:val="32"/>
          <w:lang w:eastAsia="zh-CN"/>
        </w:rPr>
        <w:t>2022年</w:t>
      </w:r>
      <w:r>
        <w:rPr>
          <w:rFonts w:hint="eastAsia" w:ascii="仿宋" w:hAnsi="仿宋" w:eastAsia="仿宋" w:cs="仿宋"/>
          <w:sz w:val="32"/>
        </w:rPr>
        <w:t>相比，</w:t>
      </w:r>
      <w:r>
        <w:rPr>
          <w:rFonts w:hint="eastAsia" w:ascii="仿宋" w:hAnsi="仿宋" w:eastAsia="仿宋" w:cs="仿宋"/>
          <w:sz w:val="32"/>
          <w:lang w:val="en-US" w:eastAsia="zh-CN"/>
        </w:rPr>
        <w:t>财政拨款</w:t>
      </w:r>
      <w:r>
        <w:rPr>
          <w:rFonts w:hint="eastAsia" w:ascii="仿宋" w:hAnsi="仿宋" w:eastAsia="仿宋" w:cs="仿宋"/>
          <w:sz w:val="32"/>
        </w:rPr>
        <w:t>收支预算</w:t>
      </w:r>
      <w:r>
        <w:rPr>
          <w:rFonts w:hint="eastAsia" w:ascii="仿宋" w:hAnsi="仿宋" w:eastAsia="仿宋" w:cs="仿宋"/>
          <w:sz w:val="32"/>
          <w:szCs w:val="32"/>
          <w:lang w:val="en-US" w:eastAsia="zh-CN"/>
        </w:rPr>
        <w:t>增加407.19</w:t>
      </w:r>
      <w:r>
        <w:rPr>
          <w:rFonts w:hint="eastAsia" w:ascii="仿宋" w:hAnsi="仿宋" w:eastAsia="仿宋" w:cs="仿宋"/>
          <w:sz w:val="32"/>
          <w:szCs w:val="32"/>
        </w:rPr>
        <w:t>万元，</w:t>
      </w:r>
      <w:r>
        <w:rPr>
          <w:rFonts w:hint="eastAsia" w:ascii="仿宋" w:hAnsi="仿宋" w:eastAsia="仿宋" w:cs="仿宋"/>
          <w:sz w:val="32"/>
          <w:szCs w:val="32"/>
          <w:lang w:val="en-US" w:eastAsia="zh-CN"/>
        </w:rPr>
        <w:t>增长20.73</w:t>
      </w:r>
      <w:r>
        <w:rPr>
          <w:rFonts w:hint="eastAsia" w:ascii="仿宋" w:hAnsi="仿宋" w:eastAsia="仿宋" w:cs="仿宋"/>
          <w:sz w:val="32"/>
          <w:szCs w:val="32"/>
        </w:rPr>
        <w:t>%。主要原因</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本年度单位新增特岗教师、招聘教师，人员增加，工资福利支出增加</w:t>
      </w:r>
      <w:r>
        <w:rPr>
          <w:rFonts w:hint="eastAsia" w:ascii="仿宋" w:hAnsi="仿宋" w:eastAsia="仿宋" w:cs="仿宋"/>
          <w:sz w:val="32"/>
          <w:szCs w:val="32"/>
        </w:rPr>
        <w:t>。</w:t>
      </w:r>
    </w:p>
    <w:p>
      <w:pPr>
        <w:jc w:val="left"/>
        <w:rPr>
          <w:rFonts w:ascii="仿宋" w:hAnsi="仿宋" w:eastAsia="仿宋" w:cs="仿宋"/>
          <w:sz w:val="32"/>
        </w:rPr>
      </w:pPr>
      <w:r>
        <w:rPr>
          <w:rFonts w:hint="eastAsia" w:ascii="仿宋" w:hAnsi="仿宋" w:eastAsia="仿宋" w:cs="仿宋"/>
          <w:sz w:val="32"/>
          <w:szCs w:val="32"/>
        </w:rPr>
        <w:drawing>
          <wp:inline distT="0" distB="0" distL="0" distR="0">
            <wp:extent cx="5274310" cy="3526790"/>
            <wp:effectExtent l="0" t="0" r="2540" b="1651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一般公共预算支出预算情况说明</w:t>
      </w:r>
    </w:p>
    <w:p>
      <w:pPr>
        <w:ind w:firstLine="640" w:firstLineChars="200"/>
        <w:jc w:val="left"/>
        <w:rPr>
          <w:rFonts w:ascii="仿宋" w:hAnsi="仿宋" w:eastAsia="仿宋" w:cs="仿宋"/>
          <w:sz w:val="32"/>
        </w:rPr>
      </w:pPr>
      <w:r>
        <w:rPr>
          <w:rFonts w:hint="eastAsia" w:ascii="仿宋" w:hAnsi="仿宋" w:eastAsia="仿宋" w:cs="仿宋"/>
          <w:sz w:val="32"/>
        </w:rPr>
        <w:t>淮滨县</w:t>
      </w:r>
      <w:r>
        <w:rPr>
          <w:rFonts w:hint="eastAsia" w:ascii="仿宋" w:hAnsi="仿宋" w:eastAsia="仿宋" w:cs="仿宋"/>
          <w:sz w:val="32"/>
          <w:lang w:eastAsia="zh-CN"/>
        </w:rPr>
        <w:t>淮滨县马集镇中心学校2023年</w:t>
      </w:r>
      <w:r>
        <w:rPr>
          <w:rFonts w:hint="eastAsia" w:ascii="仿宋" w:hAnsi="仿宋" w:eastAsia="仿宋" w:cs="仿宋"/>
          <w:sz w:val="32"/>
        </w:rPr>
        <w:t>一般公共预算支出年初预算为</w:t>
      </w:r>
      <w:r>
        <w:rPr>
          <w:rFonts w:hint="eastAsia" w:ascii="仿宋" w:hAnsi="仿宋" w:eastAsia="仿宋" w:cs="仿宋"/>
          <w:sz w:val="32"/>
          <w:szCs w:val="32"/>
        </w:rPr>
        <w:t>2376.7</w:t>
      </w:r>
      <w:r>
        <w:rPr>
          <w:rFonts w:hint="eastAsia" w:ascii="仿宋" w:hAnsi="仿宋" w:eastAsia="仿宋" w:cs="仿宋"/>
          <w:sz w:val="32"/>
          <w:szCs w:val="32"/>
          <w:lang w:val="en-US" w:eastAsia="zh-CN"/>
        </w:rPr>
        <w:t>3</w:t>
      </w:r>
      <w:r>
        <w:rPr>
          <w:rFonts w:hint="eastAsia" w:ascii="仿宋" w:hAnsi="仿宋" w:eastAsia="仿宋" w:cs="仿宋"/>
          <w:sz w:val="32"/>
        </w:rPr>
        <w:t>万元。其中：基本支出</w:t>
      </w:r>
      <w:r>
        <w:rPr>
          <w:rFonts w:hint="eastAsia" w:ascii="仿宋" w:hAnsi="仿宋" w:eastAsia="仿宋" w:cs="仿宋"/>
          <w:sz w:val="32"/>
          <w:lang w:val="en-US" w:eastAsia="zh-CN"/>
        </w:rPr>
        <w:t>2160.38</w:t>
      </w:r>
      <w:r>
        <w:rPr>
          <w:rFonts w:hint="eastAsia" w:ascii="仿宋" w:hAnsi="仿宋" w:eastAsia="仿宋" w:cs="仿宋"/>
          <w:sz w:val="32"/>
        </w:rPr>
        <w:t>万元，占</w:t>
      </w:r>
      <w:r>
        <w:rPr>
          <w:rFonts w:hint="eastAsia" w:ascii="仿宋" w:hAnsi="仿宋" w:eastAsia="仿宋" w:cs="仿宋"/>
          <w:sz w:val="32"/>
          <w:lang w:val="en-US" w:eastAsia="zh-CN"/>
        </w:rPr>
        <w:t>90.90</w:t>
      </w:r>
      <w:r>
        <w:rPr>
          <w:rFonts w:hint="eastAsia" w:ascii="仿宋" w:hAnsi="仿宋" w:eastAsia="仿宋" w:cs="仿宋"/>
          <w:sz w:val="32"/>
        </w:rPr>
        <w:t>%；项目支出</w:t>
      </w:r>
      <w:r>
        <w:rPr>
          <w:rFonts w:hint="eastAsia" w:ascii="仿宋" w:hAnsi="仿宋" w:eastAsia="仿宋" w:cs="仿宋"/>
          <w:sz w:val="32"/>
          <w:lang w:val="en-US" w:eastAsia="zh-CN"/>
        </w:rPr>
        <w:t>216.35</w:t>
      </w:r>
      <w:r>
        <w:rPr>
          <w:rFonts w:hint="eastAsia" w:ascii="仿宋" w:hAnsi="仿宋" w:eastAsia="仿宋" w:cs="仿宋"/>
          <w:sz w:val="32"/>
        </w:rPr>
        <w:t>万元，占</w:t>
      </w:r>
      <w:r>
        <w:rPr>
          <w:rFonts w:hint="eastAsia" w:ascii="仿宋" w:hAnsi="仿宋" w:eastAsia="仿宋" w:cs="仿宋"/>
          <w:sz w:val="32"/>
          <w:lang w:val="en-US" w:eastAsia="zh-CN"/>
        </w:rPr>
        <w:t>9.10</w:t>
      </w:r>
      <w:r>
        <w:rPr>
          <w:rFonts w:hint="eastAsia" w:ascii="仿宋" w:hAnsi="仿宋" w:eastAsia="仿宋" w:cs="仿宋"/>
          <w:sz w:val="32"/>
        </w:rPr>
        <w:t>%。</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0" t="0" r="2540" b="9525"/>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numPr>
          <w:ilvl w:val="0"/>
          <w:numId w:val="5"/>
        </w:numPr>
        <w:ind w:firstLine="640"/>
        <w:jc w:val="left"/>
        <w:rPr>
          <w:rFonts w:ascii="黑体" w:hAnsi="黑体" w:eastAsia="黑体" w:cs="黑体"/>
          <w:color w:val="000000"/>
          <w:sz w:val="32"/>
          <w:szCs w:val="32"/>
        </w:rPr>
      </w:pPr>
      <w:r>
        <w:rPr>
          <w:rFonts w:hint="eastAsia" w:ascii="黑体" w:hAnsi="黑体" w:eastAsia="黑体" w:cs="黑体"/>
          <w:color w:val="000000"/>
          <w:sz w:val="32"/>
          <w:szCs w:val="32"/>
        </w:rPr>
        <w:t>一般公共预算基本支出预算情况说明</w:t>
      </w:r>
    </w:p>
    <w:p>
      <w:pPr>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淮滨县</w:t>
      </w:r>
      <w:r>
        <w:rPr>
          <w:rFonts w:hint="eastAsia" w:ascii="仿宋" w:hAnsi="仿宋" w:eastAsia="仿宋" w:cs="仿宋"/>
          <w:color w:val="000000"/>
          <w:sz w:val="32"/>
          <w:szCs w:val="32"/>
          <w:lang w:eastAsia="zh-CN"/>
        </w:rPr>
        <w:t>淮滨县马集镇中心学校2023年</w:t>
      </w:r>
      <w:r>
        <w:rPr>
          <w:rFonts w:hint="eastAsia" w:ascii="仿宋" w:hAnsi="仿宋" w:eastAsia="仿宋" w:cs="仿宋"/>
          <w:color w:val="000000"/>
          <w:sz w:val="32"/>
          <w:szCs w:val="32"/>
        </w:rPr>
        <w:t>一般公共预算基本支出年初预算为</w:t>
      </w:r>
      <w:r>
        <w:rPr>
          <w:rFonts w:hint="eastAsia" w:ascii="仿宋" w:hAnsi="仿宋" w:eastAsia="仿宋" w:cs="仿宋"/>
          <w:sz w:val="32"/>
          <w:lang w:val="en-US" w:eastAsia="zh-CN"/>
        </w:rPr>
        <w:t>2160.38</w:t>
      </w:r>
      <w:r>
        <w:rPr>
          <w:rFonts w:hint="eastAsia" w:ascii="仿宋" w:hAnsi="仿宋" w:eastAsia="仿宋" w:cs="仿宋"/>
          <w:color w:val="000000"/>
          <w:sz w:val="32"/>
          <w:szCs w:val="32"/>
        </w:rPr>
        <w:t>万元。其中：人员经费支出</w:t>
      </w:r>
      <w:r>
        <w:rPr>
          <w:rFonts w:hint="eastAsia" w:ascii="仿宋" w:hAnsi="仿宋" w:eastAsia="仿宋" w:cs="仿宋"/>
          <w:sz w:val="32"/>
          <w:lang w:val="en-US" w:eastAsia="zh-CN"/>
        </w:rPr>
        <w:t>2105.77</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97.14</w:t>
      </w:r>
      <w:r>
        <w:rPr>
          <w:rFonts w:hint="eastAsia" w:ascii="仿宋" w:hAnsi="仿宋" w:eastAsia="仿宋" w:cs="仿宋"/>
          <w:color w:val="000000"/>
          <w:sz w:val="32"/>
          <w:szCs w:val="32"/>
        </w:rPr>
        <w:t>%；公用经费支出</w:t>
      </w:r>
      <w:r>
        <w:rPr>
          <w:rFonts w:hint="eastAsia" w:ascii="仿宋" w:hAnsi="仿宋" w:eastAsia="仿宋" w:cs="仿宋"/>
          <w:color w:val="000000"/>
          <w:sz w:val="32"/>
          <w:szCs w:val="32"/>
          <w:lang w:val="en-US" w:eastAsia="zh-CN"/>
        </w:rPr>
        <w:t>54.61</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2.86</w:t>
      </w:r>
      <w:r>
        <w:rPr>
          <w:rFonts w:hint="eastAsia" w:ascii="仿宋" w:hAnsi="仿宋" w:eastAsia="仿宋" w:cs="仿宋"/>
          <w:color w:val="000000"/>
          <w:sz w:val="32"/>
          <w:szCs w:val="32"/>
        </w:rPr>
        <w:t>%。</w:t>
      </w:r>
    </w:p>
    <w:p>
      <w:pPr>
        <w:jc w:val="left"/>
        <w:rPr>
          <w:rFonts w:hint="eastAsia"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5080" t="4445" r="16510" b="508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jc w:val="left"/>
        <w:rPr>
          <w:rFonts w:hint="eastAsia" w:ascii="仿宋" w:hAnsi="仿宋" w:eastAsia="仿宋" w:cs="仿宋"/>
          <w:sz w:val="32"/>
          <w:szCs w:val="32"/>
        </w:rPr>
      </w:pPr>
    </w:p>
    <w:p>
      <w:pPr>
        <w:jc w:val="left"/>
        <w:rPr>
          <w:rFonts w:hint="eastAsia" w:ascii="仿宋" w:hAnsi="仿宋" w:eastAsia="仿宋" w:cs="仿宋"/>
          <w:sz w:val="32"/>
          <w:szCs w:val="32"/>
        </w:rPr>
      </w:pPr>
    </w:p>
    <w:p>
      <w:pPr>
        <w:numPr>
          <w:ilvl w:val="0"/>
          <w:numId w:val="5"/>
        </w:numPr>
        <w:ind w:firstLine="640"/>
        <w:jc w:val="left"/>
        <w:rPr>
          <w:rFonts w:ascii="黑体" w:hAnsi="黑体" w:eastAsia="黑体" w:cs="黑体"/>
          <w:sz w:val="32"/>
          <w:szCs w:val="32"/>
        </w:rPr>
      </w:pPr>
      <w:r>
        <w:rPr>
          <w:rFonts w:hint="eastAsia" w:ascii="黑体" w:hAnsi="黑体" w:eastAsia="黑体" w:cs="黑体"/>
          <w:color w:val="000000"/>
          <w:sz w:val="32"/>
          <w:szCs w:val="32"/>
        </w:rPr>
        <w:t>一般公共预算</w:t>
      </w:r>
      <w:r>
        <w:rPr>
          <w:rFonts w:hint="eastAsia" w:ascii="黑体" w:hAnsi="黑体" w:eastAsia="黑体" w:cs="黑体"/>
          <w:sz w:val="32"/>
          <w:szCs w:val="32"/>
        </w:rPr>
        <w:t>“三公”经费支出预算情况说明</w:t>
      </w:r>
    </w:p>
    <w:p>
      <w:pPr>
        <w:pStyle w:val="5"/>
        <w:widowControl/>
        <w:spacing w:beforeAutospacing="0" w:afterAutospacing="0" w:line="600" w:lineRule="atLeast"/>
        <w:ind w:firstLine="630"/>
        <w:jc w:val="both"/>
        <w:rPr>
          <w:rFonts w:ascii="仿宋" w:hAnsi="仿宋" w:eastAsia="仿宋" w:cs="仿宋"/>
          <w:sz w:val="32"/>
          <w:szCs w:val="32"/>
        </w:rPr>
      </w:pPr>
      <w:r>
        <w:rPr>
          <w:rFonts w:hint="eastAsia" w:ascii="仿宋" w:hAnsi="仿宋" w:eastAsia="仿宋" w:cs="仿宋"/>
          <w:sz w:val="32"/>
          <w:szCs w:val="32"/>
          <w:lang w:eastAsia="zh-CN"/>
        </w:rPr>
        <w:t>淮滨县马集镇中心学校2023年</w:t>
      </w:r>
      <w:r>
        <w:rPr>
          <w:rFonts w:hint="eastAsia" w:ascii="仿宋" w:hAnsi="仿宋" w:eastAsia="仿宋" w:cs="仿宋"/>
          <w:sz w:val="32"/>
          <w:szCs w:val="32"/>
        </w:rPr>
        <w:t>“三公”经费支出预算为</w:t>
      </w:r>
      <w:r>
        <w:rPr>
          <w:rFonts w:hint="eastAsia" w:ascii="仿宋" w:hAnsi="仿宋" w:eastAsia="仿宋" w:cs="仿宋"/>
          <w:sz w:val="32"/>
          <w:szCs w:val="32"/>
          <w:lang w:val="en-US" w:eastAsia="zh-CN"/>
        </w:rPr>
        <w:t xml:space="preserve"> 0</w:t>
      </w:r>
      <w:r>
        <w:rPr>
          <w:rFonts w:hint="eastAsia" w:ascii="仿宋" w:hAnsi="仿宋" w:eastAsia="仿宋" w:cs="仿宋"/>
          <w:sz w:val="32"/>
          <w:szCs w:val="32"/>
        </w:rPr>
        <w:t>万元,</w:t>
      </w:r>
      <w:r>
        <w:rPr>
          <w:rFonts w:hint="eastAsia" w:ascii="仿宋" w:hAnsi="仿宋" w:eastAsia="仿宋" w:cs="仿宋"/>
          <w:sz w:val="32"/>
          <w:szCs w:val="32"/>
          <w:lang w:val="en-US" w:eastAsia="zh-CN"/>
        </w:rPr>
        <w:t>预算数与2022年</w:t>
      </w:r>
      <w:r>
        <w:rPr>
          <w:rFonts w:hint="eastAsia" w:ascii="仿宋" w:hAnsi="仿宋" w:eastAsia="仿宋" w:cs="仿宋"/>
          <w:sz w:val="32"/>
          <w:szCs w:val="32"/>
        </w:rPr>
        <w:t>保持一致</w:t>
      </w:r>
      <w:r>
        <w:rPr>
          <w:rFonts w:hint="eastAsia" w:ascii="仿宋" w:hAnsi="仿宋" w:eastAsia="仿宋" w:cs="仿宋"/>
          <w:sz w:val="32"/>
          <w:szCs w:val="32"/>
          <w:lang w:eastAsia="zh-CN"/>
        </w:rPr>
        <w:t>。</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具体支出情况如下：</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（一）因公出国（境）费用</w:t>
      </w:r>
      <w:r>
        <w:rPr>
          <w:rFonts w:hint="eastAsia" w:ascii="仿宋" w:hAnsi="仿宋" w:eastAsia="仿宋" w:cs="仿宋"/>
          <w:sz w:val="32"/>
          <w:szCs w:val="32"/>
        </w:rPr>
        <w:t>0万元，预算数与202</w:t>
      </w:r>
      <w:r>
        <w:rPr>
          <w:rFonts w:hint="eastAsia" w:ascii="仿宋" w:hAnsi="仿宋" w:eastAsia="仿宋" w:cs="仿宋"/>
          <w:sz w:val="32"/>
          <w:szCs w:val="32"/>
          <w:lang w:val="en-US" w:eastAsia="zh-CN"/>
        </w:rPr>
        <w:t>2</w:t>
      </w:r>
      <w:r>
        <w:rPr>
          <w:rFonts w:hint="eastAsia" w:ascii="仿宋" w:hAnsi="仿宋" w:eastAsia="仿宋" w:cs="仿宋"/>
          <w:sz w:val="32"/>
          <w:szCs w:val="32"/>
        </w:rPr>
        <w:t>年保持一致。</w:t>
      </w:r>
    </w:p>
    <w:p>
      <w:pPr>
        <w:ind w:firstLine="643" w:firstLineChars="200"/>
        <w:jc w:val="left"/>
        <w:rPr>
          <w:rFonts w:hint="eastAsia" w:ascii="仿宋" w:hAnsi="仿宋" w:eastAsia="仿宋" w:cs="仿宋"/>
          <w:sz w:val="32"/>
          <w:szCs w:val="32"/>
          <w:lang w:val="en-US" w:eastAsia="zh-CN"/>
        </w:rPr>
      </w:pPr>
      <w:r>
        <w:rPr>
          <w:rFonts w:hint="eastAsia" w:ascii="仿宋" w:hAnsi="仿宋" w:eastAsia="仿宋" w:cs="仿宋"/>
          <w:b/>
          <w:bCs/>
          <w:sz w:val="32"/>
          <w:szCs w:val="32"/>
        </w:rPr>
        <w:t>（二）公务接待费</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预算数与2022年</w:t>
      </w:r>
      <w:r>
        <w:rPr>
          <w:rFonts w:hint="eastAsia" w:ascii="仿宋" w:hAnsi="仿宋" w:eastAsia="仿宋" w:cs="仿宋"/>
          <w:sz w:val="32"/>
          <w:szCs w:val="32"/>
        </w:rPr>
        <w:t>保持一致</w:t>
      </w:r>
      <w:r>
        <w:rPr>
          <w:rFonts w:hint="eastAsia" w:ascii="仿宋" w:hAnsi="仿宋" w:eastAsia="仿宋" w:cs="仿宋"/>
          <w:sz w:val="32"/>
          <w:szCs w:val="32"/>
          <w:lang w:val="en-US" w:eastAsia="zh-CN"/>
        </w:rPr>
        <w:t>。</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（三）公务用车购置及运行费</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万元，其中：公务用车运行维护</w:t>
      </w:r>
      <w:r>
        <w:rPr>
          <w:rFonts w:hint="eastAsia" w:ascii="仿宋" w:hAnsi="仿宋" w:eastAsia="仿宋" w:cs="仿宋"/>
          <w:sz w:val="32"/>
          <w:szCs w:val="32"/>
          <w:lang w:val="en-US" w:eastAsia="zh-CN"/>
        </w:rPr>
        <w:t>0</w:t>
      </w:r>
      <w:r>
        <w:rPr>
          <w:rFonts w:hint="eastAsia" w:ascii="仿宋" w:hAnsi="仿宋" w:eastAsia="仿宋" w:cs="仿宋"/>
          <w:sz w:val="32"/>
          <w:szCs w:val="32"/>
        </w:rPr>
        <w:t>万元，公务用车购置</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val="en-US" w:eastAsia="zh-CN"/>
        </w:rPr>
        <w:t>预算数与2022年</w:t>
      </w:r>
      <w:r>
        <w:rPr>
          <w:rFonts w:hint="eastAsia" w:ascii="仿宋" w:hAnsi="仿宋" w:eastAsia="仿宋" w:cs="仿宋"/>
          <w:sz w:val="32"/>
          <w:szCs w:val="32"/>
        </w:rPr>
        <w:t>保持一致。</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5080" t="4445" r="16510" b="508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政府性基金预算支出预算情况说明</w:t>
      </w:r>
    </w:p>
    <w:p>
      <w:pPr>
        <w:ind w:firstLine="640" w:firstLineChars="200"/>
        <w:jc w:val="left"/>
        <w:rPr>
          <w:rFonts w:ascii="仿宋" w:hAnsi="仿宋" w:eastAsia="仿宋" w:cs="仿宋"/>
          <w:sz w:val="32"/>
        </w:rPr>
      </w:pPr>
      <w:r>
        <w:rPr>
          <w:rFonts w:hint="eastAsia" w:ascii="仿宋" w:hAnsi="仿宋" w:eastAsia="仿宋" w:cs="仿宋"/>
          <w:sz w:val="32"/>
        </w:rPr>
        <w:t>我单位</w:t>
      </w:r>
      <w:r>
        <w:rPr>
          <w:rFonts w:hint="eastAsia" w:ascii="仿宋" w:hAnsi="仿宋" w:eastAsia="仿宋" w:cs="仿宋"/>
          <w:sz w:val="32"/>
          <w:lang w:eastAsia="zh-CN"/>
        </w:rPr>
        <w:t>2023年</w:t>
      </w:r>
      <w:r>
        <w:rPr>
          <w:rFonts w:hint="eastAsia" w:ascii="仿宋" w:hAnsi="仿宋" w:eastAsia="仿宋" w:cs="仿宋"/>
          <w:sz w:val="32"/>
        </w:rPr>
        <w:t>无使用政府性基金预算拨款安排的支出。</w:t>
      </w:r>
    </w:p>
    <w:p>
      <w:pPr>
        <w:numPr>
          <w:ilvl w:val="0"/>
          <w:numId w:val="5"/>
        </w:numPr>
        <w:ind w:firstLine="640"/>
        <w:jc w:val="left"/>
        <w:rPr>
          <w:rFonts w:ascii="黑体" w:hAnsi="黑体" w:eastAsia="黑体"/>
          <w:sz w:val="32"/>
        </w:rPr>
      </w:pPr>
      <w:r>
        <w:rPr>
          <w:rFonts w:hint="eastAsia" w:ascii="黑体" w:hAnsi="黑体" w:eastAsia="黑体"/>
          <w:sz w:val="32"/>
        </w:rPr>
        <w:t>其他重要事项的情况说明</w:t>
      </w:r>
    </w:p>
    <w:p>
      <w:pPr>
        <w:ind w:left="420" w:leftChars="200"/>
        <w:jc w:val="left"/>
        <w:rPr>
          <w:rFonts w:ascii="仿宋" w:hAnsi="仿宋" w:eastAsia="仿宋" w:cs="仿宋"/>
          <w:b/>
          <w:bCs/>
          <w:sz w:val="32"/>
        </w:rPr>
      </w:pPr>
      <w:r>
        <w:rPr>
          <w:rFonts w:hint="eastAsia" w:ascii="仿宋" w:hAnsi="仿宋" w:eastAsia="仿宋" w:cs="仿宋"/>
          <w:b/>
          <w:bCs/>
          <w:sz w:val="32"/>
        </w:rPr>
        <w:t>（一）行政（事业）单位机构运转经费</w:t>
      </w:r>
    </w:p>
    <w:p>
      <w:pPr>
        <w:ind w:firstLine="640" w:firstLineChars="200"/>
        <w:jc w:val="left"/>
        <w:rPr>
          <w:rFonts w:ascii="仿宋" w:hAnsi="仿宋" w:eastAsia="仿宋" w:cs="仿宋"/>
          <w:color w:val="000000" w:themeColor="text1"/>
          <w:sz w:val="32"/>
          <w:highlight w:val="none"/>
          <w14:textFill>
            <w14:solidFill>
              <w14:schemeClr w14:val="tx1"/>
            </w14:solidFill>
          </w14:textFill>
        </w:rPr>
      </w:pPr>
      <w:r>
        <w:rPr>
          <w:rFonts w:hint="eastAsia" w:ascii="仿宋" w:hAnsi="仿宋" w:eastAsia="仿宋" w:cs="仿宋"/>
          <w:color w:val="000000" w:themeColor="text1"/>
          <w:sz w:val="32"/>
          <w:highlight w:val="none"/>
          <w14:textFill>
            <w14:solidFill>
              <w14:schemeClr w14:val="tx1"/>
            </w14:solidFill>
          </w14:textFill>
        </w:rPr>
        <w:t>我单位202</w:t>
      </w:r>
      <w:r>
        <w:rPr>
          <w:rFonts w:hint="eastAsia" w:ascii="仿宋" w:hAnsi="仿宋" w:eastAsia="仿宋" w:cs="仿宋"/>
          <w:color w:val="000000" w:themeColor="text1"/>
          <w:sz w:val="32"/>
          <w:highlight w:val="none"/>
          <w:lang w:val="en-US" w:eastAsia="zh-CN"/>
          <w14:textFill>
            <w14:solidFill>
              <w14:schemeClr w14:val="tx1"/>
            </w14:solidFill>
          </w14:textFill>
        </w:rPr>
        <w:t>3</w:t>
      </w:r>
      <w:r>
        <w:rPr>
          <w:rFonts w:hint="eastAsia" w:ascii="仿宋" w:hAnsi="仿宋" w:eastAsia="仿宋" w:cs="仿宋"/>
          <w:color w:val="000000" w:themeColor="text1"/>
          <w:sz w:val="32"/>
          <w:highlight w:val="none"/>
          <w14:textFill>
            <w14:solidFill>
              <w14:schemeClr w14:val="tx1"/>
            </w14:solidFill>
          </w14:textFill>
        </w:rPr>
        <w:t>年</w:t>
      </w:r>
      <w:r>
        <w:rPr>
          <w:rFonts w:hint="eastAsia" w:ascii="仿宋" w:hAnsi="仿宋" w:eastAsia="仿宋" w:cs="仿宋"/>
          <w:color w:val="000000" w:themeColor="text1"/>
          <w:sz w:val="32"/>
          <w:highlight w:val="none"/>
          <w:lang w:val="en-US" w:eastAsia="zh-CN"/>
          <w14:textFill>
            <w14:solidFill>
              <w14:schemeClr w14:val="tx1"/>
            </w14:solidFill>
          </w14:textFill>
        </w:rPr>
        <w:t>学校</w:t>
      </w:r>
      <w:r>
        <w:rPr>
          <w:rFonts w:hint="eastAsia" w:ascii="仿宋" w:hAnsi="仿宋" w:eastAsia="仿宋" w:cs="仿宋"/>
          <w:color w:val="000000" w:themeColor="text1"/>
          <w:sz w:val="32"/>
          <w:highlight w:val="none"/>
          <w14:textFill>
            <w14:solidFill>
              <w14:schemeClr w14:val="tx1"/>
            </w14:solidFill>
          </w14:textFill>
        </w:rPr>
        <w:t>运行经费支出预算</w:t>
      </w:r>
      <w:r>
        <w:rPr>
          <w:rFonts w:hint="eastAsia" w:ascii="仿宋" w:hAnsi="仿宋" w:eastAsia="仿宋" w:cs="仿宋"/>
          <w:color w:val="000000"/>
          <w:sz w:val="32"/>
          <w:szCs w:val="32"/>
          <w:lang w:val="en-US" w:eastAsia="zh-CN"/>
        </w:rPr>
        <w:t>270.96</w:t>
      </w:r>
      <w:r>
        <w:rPr>
          <w:rFonts w:hint="eastAsia" w:ascii="仿宋" w:hAnsi="仿宋" w:eastAsia="仿宋" w:cs="仿宋"/>
          <w:color w:val="000000" w:themeColor="text1"/>
          <w:sz w:val="32"/>
          <w:highlight w:val="none"/>
          <w14:textFill>
            <w14:solidFill>
              <w14:schemeClr w14:val="tx1"/>
            </w14:solidFill>
          </w14:textFill>
        </w:rPr>
        <w:t>万元，主要保障机构正常运转及正常履职需要，用于购买货物和服务的支出。包括办公及印刷费、邮电费、差旅费、会议费、福利费、日常维修费及一般设备购置费、办公用房水电费、办公用房取暖费、办公用房物业管理费、公务用车运行维护费以及其他费用。</w:t>
      </w:r>
    </w:p>
    <w:p>
      <w:pPr>
        <w:ind w:firstLine="643" w:firstLineChars="200"/>
        <w:jc w:val="left"/>
        <w:rPr>
          <w:rFonts w:ascii="仿宋" w:hAnsi="仿宋" w:eastAsia="仿宋" w:cs="仿宋"/>
          <w:b/>
          <w:bCs/>
          <w:sz w:val="32"/>
        </w:rPr>
      </w:pPr>
      <w:r>
        <w:rPr>
          <w:rFonts w:hint="eastAsia" w:ascii="仿宋" w:hAnsi="仿宋" w:eastAsia="仿宋" w:cs="仿宋"/>
          <w:b/>
          <w:bCs/>
          <w:sz w:val="32"/>
        </w:rPr>
        <w:t>（二）政府采购支出预算情况</w:t>
      </w:r>
    </w:p>
    <w:p>
      <w:pPr>
        <w:ind w:firstLine="640" w:firstLineChars="200"/>
        <w:jc w:val="left"/>
        <w:rPr>
          <w:rFonts w:ascii="仿宋" w:hAnsi="仿宋" w:eastAsia="仿宋" w:cs="仿宋"/>
          <w:sz w:val="32"/>
        </w:rPr>
      </w:pPr>
      <w:r>
        <w:rPr>
          <w:rFonts w:hint="eastAsia" w:ascii="仿宋" w:hAnsi="仿宋" w:eastAsia="仿宋" w:cs="仿宋"/>
          <w:sz w:val="32"/>
        </w:rPr>
        <w:t>我单位202</w:t>
      </w:r>
      <w:r>
        <w:rPr>
          <w:rFonts w:hint="eastAsia" w:ascii="仿宋" w:hAnsi="仿宋" w:eastAsia="仿宋" w:cs="仿宋"/>
          <w:sz w:val="32"/>
          <w:lang w:val="en-US" w:eastAsia="zh-CN"/>
        </w:rPr>
        <w:t>3</w:t>
      </w:r>
      <w:r>
        <w:rPr>
          <w:rFonts w:hint="eastAsia" w:ascii="仿宋" w:hAnsi="仿宋" w:eastAsia="仿宋" w:cs="仿宋"/>
          <w:sz w:val="32"/>
        </w:rPr>
        <w:t>年政府采购预算安排</w:t>
      </w:r>
      <w:r>
        <w:rPr>
          <w:rFonts w:hint="eastAsia" w:ascii="仿宋" w:hAnsi="仿宋" w:eastAsia="仿宋" w:cs="仿宋"/>
          <w:sz w:val="32"/>
          <w:lang w:val="en-US" w:eastAsia="zh-CN"/>
        </w:rPr>
        <w:t>9.7</w:t>
      </w:r>
      <w:r>
        <w:rPr>
          <w:rFonts w:hint="eastAsia" w:ascii="仿宋" w:hAnsi="仿宋" w:eastAsia="仿宋" w:cs="仿宋"/>
          <w:sz w:val="32"/>
        </w:rPr>
        <w:t>万元，其中：货物类采购预算</w:t>
      </w:r>
      <w:r>
        <w:rPr>
          <w:rFonts w:hint="eastAsia" w:ascii="仿宋" w:hAnsi="仿宋" w:eastAsia="仿宋" w:cs="仿宋"/>
          <w:sz w:val="32"/>
          <w:lang w:val="en-US" w:eastAsia="zh-CN"/>
        </w:rPr>
        <w:t>9.7</w:t>
      </w:r>
      <w:r>
        <w:rPr>
          <w:rFonts w:hint="eastAsia" w:ascii="仿宋" w:hAnsi="仿宋" w:eastAsia="仿宋" w:cs="仿宋"/>
          <w:sz w:val="32"/>
        </w:rPr>
        <w:t>万元，工程类采购预算</w:t>
      </w:r>
      <w:r>
        <w:rPr>
          <w:rFonts w:hint="eastAsia" w:ascii="仿宋" w:hAnsi="仿宋" w:eastAsia="仿宋" w:cs="仿宋"/>
          <w:sz w:val="32"/>
          <w:lang w:val="en-US" w:eastAsia="zh-CN"/>
        </w:rPr>
        <w:t>0</w:t>
      </w:r>
      <w:r>
        <w:rPr>
          <w:rFonts w:hint="eastAsia" w:ascii="仿宋" w:hAnsi="仿宋" w:eastAsia="仿宋" w:cs="仿宋"/>
          <w:sz w:val="32"/>
        </w:rPr>
        <w:t>万元，服务类采购预算</w:t>
      </w:r>
      <w:r>
        <w:rPr>
          <w:rFonts w:hint="eastAsia" w:ascii="仿宋" w:hAnsi="仿宋" w:eastAsia="仿宋" w:cs="仿宋"/>
          <w:sz w:val="32"/>
          <w:lang w:val="en-US" w:eastAsia="zh-CN"/>
        </w:rPr>
        <w:t>0</w:t>
      </w:r>
      <w:r>
        <w:rPr>
          <w:rFonts w:hint="eastAsia" w:ascii="仿宋" w:hAnsi="仿宋" w:eastAsia="仿宋" w:cs="仿宋"/>
          <w:sz w:val="32"/>
        </w:rPr>
        <w:t>万元。</w:t>
      </w:r>
    </w:p>
    <w:p>
      <w:pPr>
        <w:numPr>
          <w:ilvl w:val="0"/>
          <w:numId w:val="6"/>
        </w:numPr>
        <w:ind w:firstLine="643" w:firstLineChars="200"/>
        <w:jc w:val="left"/>
        <w:rPr>
          <w:rFonts w:ascii="仿宋" w:hAnsi="仿宋" w:eastAsia="仿宋" w:cs="仿宋"/>
          <w:b/>
          <w:bCs/>
          <w:sz w:val="32"/>
        </w:rPr>
      </w:pPr>
      <w:r>
        <w:rPr>
          <w:rFonts w:hint="eastAsia" w:ascii="仿宋" w:hAnsi="仿宋" w:eastAsia="仿宋" w:cs="仿宋"/>
          <w:b/>
          <w:bCs/>
          <w:sz w:val="32"/>
        </w:rPr>
        <w:t>绩效目标设置情况</w:t>
      </w:r>
    </w:p>
    <w:p>
      <w:pPr>
        <w:ind w:firstLine="640" w:firstLineChars="200"/>
        <w:jc w:val="left"/>
        <w:rPr>
          <w:rFonts w:hint="eastAsia" w:ascii="仿宋" w:hAnsi="仿宋" w:eastAsia="仿宋" w:cs="仿宋"/>
          <w:sz w:val="32"/>
        </w:rPr>
      </w:pPr>
      <w:r>
        <w:rPr>
          <w:rFonts w:hint="eastAsia" w:ascii="仿宋" w:hAnsi="仿宋" w:eastAsia="仿宋" w:cs="仿宋"/>
          <w:sz w:val="32"/>
        </w:rPr>
        <w:t>我单位202</w:t>
      </w:r>
      <w:r>
        <w:rPr>
          <w:rFonts w:hint="eastAsia" w:ascii="仿宋" w:hAnsi="仿宋" w:eastAsia="仿宋" w:cs="仿宋"/>
          <w:sz w:val="32"/>
          <w:lang w:val="en-US" w:eastAsia="zh-CN"/>
        </w:rPr>
        <w:t>3</w:t>
      </w:r>
      <w:r>
        <w:rPr>
          <w:rFonts w:hint="eastAsia" w:ascii="仿宋" w:hAnsi="仿宋" w:eastAsia="仿宋" w:cs="仿宋"/>
          <w:sz w:val="32"/>
        </w:rPr>
        <w:t>年预算项目均按要求编制了绩效目标，从 项目产出、项目效益、满意度等方面设置了绩效目标，综合 反映项目预期完成的数量、实效、质量，预期达到的社会经 济效益、可持续影响以及对象满意度等情况。</w:t>
      </w:r>
    </w:p>
    <w:p>
      <w:pPr>
        <w:ind w:firstLine="640" w:firstLineChars="200"/>
        <w:jc w:val="left"/>
        <w:rPr>
          <w:rFonts w:hint="eastAsia" w:ascii="仿宋" w:hAnsi="仿宋" w:eastAsia="仿宋" w:cs="仿宋"/>
          <w:sz w:val="32"/>
        </w:rPr>
      </w:pPr>
      <w:r>
        <w:rPr>
          <w:rFonts w:hint="eastAsia" w:ascii="仿宋" w:hAnsi="仿宋" w:eastAsia="仿宋" w:cs="仿宋"/>
          <w:sz w:val="32"/>
          <w:lang w:val="en-US" w:eastAsia="zh-CN"/>
        </w:rPr>
        <w:t>2023年部门预算金额共计</w:t>
      </w:r>
      <w:r>
        <w:rPr>
          <w:rFonts w:hint="eastAsia" w:ascii="仿宋" w:hAnsi="仿宋" w:eastAsia="仿宋" w:cs="仿宋"/>
          <w:sz w:val="32"/>
          <w:szCs w:val="32"/>
        </w:rPr>
        <w:t>2376.7</w:t>
      </w:r>
      <w:r>
        <w:rPr>
          <w:rFonts w:hint="eastAsia" w:ascii="仿宋" w:hAnsi="仿宋" w:eastAsia="仿宋" w:cs="仿宋"/>
          <w:sz w:val="32"/>
          <w:szCs w:val="32"/>
          <w:lang w:val="en-US" w:eastAsia="zh-CN"/>
        </w:rPr>
        <w:t>3万元，其中项目共2个，金额为216.35万元。</w:t>
      </w:r>
    </w:p>
    <w:p>
      <w:pPr>
        <w:numPr>
          <w:ilvl w:val="0"/>
          <w:numId w:val="6"/>
        </w:numPr>
        <w:ind w:firstLine="643" w:firstLineChars="200"/>
        <w:jc w:val="left"/>
        <w:rPr>
          <w:rFonts w:ascii="仿宋" w:hAnsi="仿宋" w:eastAsia="仿宋" w:cs="仿宋"/>
          <w:b/>
          <w:bCs/>
          <w:sz w:val="32"/>
        </w:rPr>
      </w:pPr>
      <w:r>
        <w:rPr>
          <w:rFonts w:hint="eastAsia" w:ascii="仿宋" w:hAnsi="仿宋" w:eastAsia="仿宋" w:cs="仿宋"/>
          <w:b/>
          <w:bCs/>
          <w:sz w:val="32"/>
        </w:rPr>
        <w:t>国有资产占用情况</w:t>
      </w:r>
    </w:p>
    <w:p>
      <w:pPr>
        <w:ind w:firstLine="640" w:firstLineChars="200"/>
        <w:jc w:val="left"/>
        <w:rPr>
          <w:rFonts w:ascii="仿宋" w:hAnsi="仿宋" w:eastAsia="仿宋" w:cs="仿宋"/>
          <w:sz w:val="32"/>
        </w:rPr>
      </w:pPr>
      <w:r>
        <w:rPr>
          <w:rFonts w:hint="eastAsia" w:ascii="仿宋" w:hAnsi="仿宋" w:eastAsia="仿宋" w:cs="仿宋"/>
          <w:sz w:val="32"/>
        </w:rPr>
        <w:t>202</w:t>
      </w:r>
      <w:r>
        <w:rPr>
          <w:rFonts w:hint="eastAsia" w:ascii="仿宋" w:hAnsi="仿宋" w:eastAsia="仿宋" w:cs="仿宋"/>
          <w:sz w:val="32"/>
          <w:lang w:val="en-US" w:eastAsia="zh-CN"/>
        </w:rPr>
        <w:t>2</w:t>
      </w:r>
      <w:r>
        <w:rPr>
          <w:rFonts w:hint="eastAsia" w:ascii="仿宋" w:hAnsi="仿宋" w:eastAsia="仿宋" w:cs="仿宋"/>
          <w:sz w:val="32"/>
        </w:rPr>
        <w:t>年期末，我单位共有车辆</w:t>
      </w:r>
      <w:r>
        <w:rPr>
          <w:rFonts w:hint="eastAsia" w:ascii="仿宋" w:hAnsi="仿宋" w:eastAsia="仿宋" w:cs="仿宋"/>
          <w:sz w:val="32"/>
          <w:lang w:val="en-US" w:eastAsia="zh-CN"/>
        </w:rPr>
        <w:t>0</w:t>
      </w:r>
      <w:r>
        <w:rPr>
          <w:rFonts w:hint="eastAsia" w:ascii="仿宋" w:hAnsi="仿宋" w:eastAsia="仿宋" w:cs="仿宋"/>
          <w:sz w:val="32"/>
        </w:rPr>
        <w:t>辆，其中：一般公务用车</w:t>
      </w:r>
      <w:r>
        <w:rPr>
          <w:rFonts w:hint="eastAsia" w:ascii="仿宋" w:hAnsi="仿宋" w:eastAsia="仿宋" w:cs="仿宋"/>
          <w:sz w:val="32"/>
          <w:lang w:val="en-US" w:eastAsia="zh-CN"/>
        </w:rPr>
        <w:t>0</w:t>
      </w:r>
      <w:r>
        <w:rPr>
          <w:rFonts w:hint="eastAsia" w:ascii="仿宋" w:hAnsi="仿宋" w:eastAsia="仿宋" w:cs="仿宋"/>
          <w:sz w:val="32"/>
        </w:rPr>
        <w:t>辆、一般执法执勤用车</w:t>
      </w:r>
      <w:r>
        <w:rPr>
          <w:rFonts w:hint="eastAsia" w:ascii="仿宋" w:hAnsi="仿宋" w:eastAsia="仿宋" w:cs="仿宋"/>
          <w:sz w:val="32"/>
          <w:lang w:val="en-US" w:eastAsia="zh-CN"/>
        </w:rPr>
        <w:t>0</w:t>
      </w:r>
      <w:r>
        <w:rPr>
          <w:rFonts w:hint="eastAsia" w:ascii="仿宋" w:hAnsi="仿宋" w:eastAsia="仿宋" w:cs="仿宋"/>
          <w:sz w:val="32"/>
        </w:rPr>
        <w:t>辆、其他用车</w:t>
      </w:r>
      <w:r>
        <w:rPr>
          <w:rFonts w:hint="eastAsia" w:ascii="仿宋" w:hAnsi="仿宋" w:eastAsia="仿宋" w:cs="仿宋"/>
          <w:sz w:val="32"/>
          <w:lang w:val="en-US" w:eastAsia="zh-CN"/>
        </w:rPr>
        <w:t>0</w:t>
      </w:r>
      <w:r>
        <w:rPr>
          <w:rFonts w:hint="eastAsia" w:ascii="仿宋" w:hAnsi="仿宋" w:eastAsia="仿宋" w:cs="仿宋"/>
          <w:sz w:val="32"/>
        </w:rPr>
        <w:t>辆；单价50万元以上通用设备</w:t>
      </w:r>
      <w:r>
        <w:rPr>
          <w:rFonts w:hint="eastAsia" w:ascii="仿宋" w:hAnsi="仿宋" w:eastAsia="仿宋" w:cs="仿宋"/>
          <w:sz w:val="32"/>
          <w:lang w:val="en-US" w:eastAsia="zh-CN"/>
        </w:rPr>
        <w:t>0</w:t>
      </w:r>
      <w:r>
        <w:rPr>
          <w:rFonts w:hint="eastAsia" w:ascii="仿宋" w:hAnsi="仿宋" w:eastAsia="仿宋" w:cs="仿宋"/>
          <w:sz w:val="32"/>
        </w:rPr>
        <w:t>套，单位价值100万元以上专用设备</w:t>
      </w:r>
      <w:r>
        <w:rPr>
          <w:rFonts w:hint="eastAsia" w:ascii="仿宋" w:hAnsi="仿宋" w:eastAsia="仿宋" w:cs="仿宋"/>
          <w:sz w:val="32"/>
          <w:lang w:val="en-US" w:eastAsia="zh-CN"/>
        </w:rPr>
        <w:t>0</w:t>
      </w:r>
      <w:r>
        <w:rPr>
          <w:rFonts w:hint="eastAsia" w:ascii="仿宋" w:hAnsi="仿宋" w:eastAsia="仿宋" w:cs="仿宋"/>
          <w:sz w:val="32"/>
        </w:rPr>
        <w:t>套。</w:t>
      </w:r>
    </w:p>
    <w:p>
      <w:pPr>
        <w:ind w:firstLine="643" w:firstLineChars="200"/>
        <w:jc w:val="left"/>
        <w:rPr>
          <w:rFonts w:ascii="黑体" w:hAnsi="黑体" w:eastAsia="黑体"/>
          <w:b/>
          <w:bCs/>
          <w:sz w:val="32"/>
        </w:rPr>
      </w:pPr>
      <w:r>
        <w:rPr>
          <w:rFonts w:hint="eastAsia" w:ascii="仿宋" w:hAnsi="仿宋" w:eastAsia="仿宋" w:cs="仿宋"/>
          <w:b/>
          <w:bCs/>
          <w:sz w:val="32"/>
        </w:rPr>
        <w:t>（五）专项转移支付项目情况</w:t>
      </w:r>
    </w:p>
    <w:p>
      <w:pPr>
        <w:ind w:firstLine="640" w:firstLineChars="200"/>
        <w:jc w:val="left"/>
        <w:rPr>
          <w:rFonts w:hint="eastAsia" w:ascii="仿宋" w:hAnsi="仿宋" w:eastAsia="仿宋" w:cs="仿宋"/>
          <w:sz w:val="32"/>
        </w:rPr>
      </w:pPr>
      <w:r>
        <w:rPr>
          <w:rFonts w:hint="eastAsia" w:ascii="仿宋" w:hAnsi="仿宋" w:eastAsia="仿宋" w:cs="仿宋"/>
          <w:sz w:val="32"/>
        </w:rPr>
        <w:t>我单位负责管理的专项转移支付项目共有</w:t>
      </w:r>
      <w:r>
        <w:rPr>
          <w:rFonts w:hint="eastAsia" w:ascii="仿宋" w:hAnsi="仿宋" w:eastAsia="仿宋" w:cs="仿宋"/>
          <w:sz w:val="32"/>
          <w:lang w:val="en-US" w:eastAsia="zh-CN"/>
        </w:rPr>
        <w:t>0</w:t>
      </w:r>
      <w:r>
        <w:rPr>
          <w:rFonts w:hint="eastAsia" w:ascii="仿宋" w:hAnsi="仿宋" w:eastAsia="仿宋" w:cs="仿宋"/>
          <w:sz w:val="32"/>
        </w:rPr>
        <w:t>项。主要是:</w:t>
      </w:r>
      <w:r>
        <w:rPr>
          <w:rFonts w:hint="eastAsia" w:ascii="仿宋" w:hAnsi="仿宋" w:eastAsia="仿宋" w:cs="仿宋"/>
          <w:sz w:val="32"/>
          <w:lang w:val="en-US" w:eastAsia="zh-CN"/>
        </w:rPr>
        <w:t>无</w:t>
      </w:r>
      <w:r>
        <w:rPr>
          <w:rFonts w:hint="eastAsia" w:ascii="仿宋" w:hAnsi="仿宋" w:eastAsia="仿宋" w:cs="仿宋"/>
          <w:sz w:val="32"/>
        </w:rPr>
        <w:t>专项资金。我单位将按照《预算法》等有关规定，积极做好项目分配前期准备工作，在规定的时间内向财政部门提出资金分配意见，根据有关要求做好项目申报公开等相关工作。</w:t>
      </w: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jc w:val="center"/>
        <w:rPr>
          <w:rFonts w:ascii="黑体" w:hAnsi="黑体" w:eastAsia="黑体"/>
          <w:b/>
          <w:bCs/>
          <w:sz w:val="36"/>
          <w:szCs w:val="36"/>
        </w:rPr>
      </w:pPr>
      <w:r>
        <w:rPr>
          <w:rFonts w:hint="eastAsia" w:ascii="黑体" w:hAnsi="黑体" w:eastAsia="黑体"/>
          <w:b/>
          <w:bCs/>
          <w:sz w:val="36"/>
          <w:szCs w:val="36"/>
        </w:rPr>
        <w:t xml:space="preserve">第三部分 </w:t>
      </w:r>
    </w:p>
    <w:p>
      <w:pPr>
        <w:jc w:val="center"/>
        <w:rPr>
          <w:rFonts w:ascii="黑体" w:hAnsi="黑体" w:eastAsia="黑体"/>
          <w:b/>
          <w:bCs/>
          <w:sz w:val="36"/>
          <w:szCs w:val="36"/>
        </w:rPr>
      </w:pPr>
      <w:r>
        <w:rPr>
          <w:rFonts w:hint="eastAsia" w:ascii="黑体" w:hAnsi="黑体" w:eastAsia="黑体"/>
          <w:b/>
          <w:bCs/>
          <w:sz w:val="36"/>
          <w:szCs w:val="36"/>
        </w:rPr>
        <w:t>名词解释</w:t>
      </w:r>
    </w:p>
    <w:p>
      <w:pPr>
        <w:jc w:val="left"/>
        <w:rPr>
          <w:rFonts w:ascii="黑体" w:hAnsi="黑体" w:eastAsia="黑体"/>
          <w:sz w:val="32"/>
        </w:rPr>
      </w:pP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 xml:space="preserve">财政拨款收入：是指县级财政当年拨付的资金。 </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事业收入：是指事业单位开展专业活动及辅助活动</w:t>
      </w:r>
    </w:p>
    <w:p>
      <w:pPr>
        <w:jc w:val="left"/>
        <w:rPr>
          <w:rFonts w:ascii="仿宋" w:hAnsi="仿宋" w:eastAsia="仿宋" w:cs="仿宋"/>
          <w:sz w:val="32"/>
        </w:rPr>
      </w:pPr>
      <w:r>
        <w:rPr>
          <w:rFonts w:hint="eastAsia" w:ascii="仿宋" w:hAnsi="仿宋" w:eastAsia="仿宋" w:cs="仿宋"/>
          <w:sz w:val="32"/>
        </w:rPr>
        <w:t>所取得的收入。</w:t>
      </w:r>
    </w:p>
    <w:p>
      <w:pPr>
        <w:numPr>
          <w:ilvl w:val="0"/>
          <w:numId w:val="7"/>
        </w:numPr>
        <w:ind w:firstLine="640" w:firstLineChars="200"/>
        <w:jc w:val="left"/>
        <w:rPr>
          <w:rFonts w:ascii="宋体" w:hAnsi="宋体" w:eastAsia="宋体" w:cs="宋体"/>
          <w:color w:val="333333"/>
          <w:sz w:val="24"/>
        </w:rPr>
      </w:pPr>
      <w:r>
        <w:rPr>
          <w:rFonts w:hint="eastAsia" w:ascii="仿宋" w:hAnsi="仿宋" w:eastAsia="仿宋" w:cs="仿宋"/>
          <w:sz w:val="32"/>
        </w:rPr>
        <w:t>其他收入：是指部门取得的除“财政拨款”、“事 业收入”、“事业单位经营收入”等以外的收入。</w:t>
      </w:r>
    </w:p>
    <w:p>
      <w:pPr>
        <w:numPr>
          <w:ilvl w:val="0"/>
          <w:numId w:val="7"/>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上年结转：</w:t>
      </w:r>
      <w:r>
        <w:rPr>
          <w:rFonts w:hint="eastAsia" w:ascii="仿宋" w:hAnsi="仿宋" w:eastAsia="仿宋" w:cs="仿宋"/>
          <w:color w:val="333333"/>
          <w:sz w:val="32"/>
          <w:szCs w:val="32"/>
          <w:shd w:val="clear" w:color="auto" w:fill="FFFFFF"/>
        </w:rPr>
        <w:t>指以前年度安排、结转到本年仍按原用途继续使用的资金。</w:t>
      </w:r>
    </w:p>
    <w:p>
      <w:pPr>
        <w:numPr>
          <w:ilvl w:val="0"/>
          <w:numId w:val="7"/>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结转下年：</w:t>
      </w:r>
      <w:r>
        <w:rPr>
          <w:rFonts w:hint="eastAsia" w:ascii="仿宋" w:hAnsi="仿宋" w:eastAsia="仿宋" w:cs="仿宋"/>
          <w:color w:val="333333"/>
          <w:sz w:val="32"/>
          <w:szCs w:val="32"/>
          <w:shd w:val="clear" w:color="auto" w:fill="FFFFFF"/>
        </w:rPr>
        <w:t>指以前年度预算安排、因客观条件发生变化无法按原计划实施，需以后年度按原用途继续使用的资金。</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用事业基金弥补收支差额：是指事业单位在当年的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基本支出：是指为保障机构正常运转、完成日常工 作任务所必需的开支，其内容包括人员经费和日常公用经费 两部分。</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项目支出：是指在基本支出之外，为完成特定的行政工作任务或事业发展目标所发生的支出。</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“三公”经费：是指纳入市级财政预算管理，部门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pPr>
        <w:jc w:val="left"/>
        <w:rPr>
          <w:rFonts w:ascii="仿宋" w:hAnsi="仿宋" w:eastAsia="仿宋" w:cs="仿宋"/>
          <w:sz w:val="32"/>
        </w:rPr>
      </w:pPr>
      <w:r>
        <w:rPr>
          <w:rFonts w:hint="eastAsia" w:ascii="仿宋" w:hAnsi="仿宋" w:eastAsia="仿宋" w:cs="仿宋"/>
          <w:sz w:val="32"/>
        </w:rPr>
        <w:t>（含外宾接待）支出。</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机关运行经费：是指为保障行政单位（含参照公务员法管理的事业单位）运行用于购买货物和服务的各项资 金，包括办公及印刷费、邮电费、差旅费、会议费、福利费、 日常维修费及一般设备购置费、办公用房水电费、办公用房 取暖费、办公用房物业管理费、公务用车运行维护费以及其 他费用。</w:t>
      </w:r>
    </w:p>
    <w:p>
      <w:pPr>
        <w:numPr>
          <w:ilvl w:val="0"/>
          <w:numId w:val="7"/>
        </w:numPr>
        <w:ind w:firstLine="620" w:firstLineChars="200"/>
        <w:jc w:val="left"/>
        <w:rPr>
          <w:rFonts w:ascii="仿宋" w:hAnsi="仿宋" w:eastAsia="仿宋" w:cs="仿宋"/>
          <w:sz w:val="32"/>
        </w:rPr>
      </w:pPr>
      <w:r>
        <w:rPr>
          <w:rFonts w:ascii="仿宋_GB2312" w:hAnsi="宋体" w:eastAsia="仿宋_GB2312" w:cs="仿宋_GB2312"/>
          <w:color w:val="000000"/>
          <w:sz w:val="31"/>
          <w:szCs w:val="31"/>
          <w:shd w:val="clear" w:color="auto" w:fill="FFFFFF"/>
        </w:rPr>
        <w:t>专项转移支付：</w:t>
      </w:r>
      <w:r>
        <w:rPr>
          <w:rFonts w:hint="eastAsia" w:ascii="仿宋_GB2312" w:hAnsi="宋体" w:eastAsia="仿宋_GB2312" w:cs="仿宋_GB2312"/>
          <w:color w:val="000000"/>
          <w:sz w:val="31"/>
          <w:szCs w:val="31"/>
          <w:shd w:val="clear" w:color="auto" w:fill="FFFFFF"/>
        </w:rPr>
        <w:t>是指上级政府(在我国一般指中央、省、市级政府)为实现特定的宏观政策目标，以及对委托下级政府代理的一些事务进行补偿而设立的专项补助资金。资金接受者需按规定用途使用资金。</w:t>
      </w:r>
    </w:p>
    <w:p>
      <w:pPr>
        <w:tabs>
          <w:tab w:val="left" w:pos="7506"/>
        </w:tabs>
        <w:ind w:firstLine="640" w:firstLineChars="200"/>
        <w:jc w:val="left"/>
        <w:rPr>
          <w:rFonts w:ascii="黑体" w:hAnsi="黑体" w:eastAsia="黑体" w:cs="黑体"/>
          <w:sz w:val="32"/>
        </w:rPr>
      </w:pPr>
      <w:r>
        <w:rPr>
          <w:rFonts w:hint="eastAsia" w:ascii="黑体" w:hAnsi="黑体" w:eastAsia="黑体" w:cs="黑体"/>
          <w:sz w:val="32"/>
        </w:rPr>
        <w:t>附件：</w:t>
      </w:r>
      <w:r>
        <w:rPr>
          <w:rFonts w:hint="eastAsia" w:ascii="黑体" w:hAnsi="黑体" w:eastAsia="黑体" w:cs="黑体"/>
          <w:sz w:val="32"/>
          <w:lang w:eastAsia="zh-CN"/>
        </w:rPr>
        <w:t>淮滨县马集镇中心学校</w:t>
      </w:r>
      <w:r>
        <w:rPr>
          <w:rFonts w:hint="eastAsia" w:ascii="黑体" w:hAnsi="黑体" w:eastAsia="黑体" w:cs="黑体"/>
          <w:sz w:val="32"/>
        </w:rPr>
        <w:t>202</w:t>
      </w:r>
      <w:r>
        <w:rPr>
          <w:rFonts w:hint="eastAsia" w:ascii="黑体" w:hAnsi="黑体" w:eastAsia="黑体" w:cs="黑体"/>
          <w:sz w:val="32"/>
          <w:lang w:val="en-US" w:eastAsia="zh-CN"/>
        </w:rPr>
        <w:t>3</w:t>
      </w:r>
      <w:r>
        <w:rPr>
          <w:rFonts w:hint="eastAsia" w:ascii="黑体" w:hAnsi="黑体" w:eastAsia="黑体" w:cs="黑体"/>
          <w:sz w:val="32"/>
        </w:rPr>
        <w:t>年部门预算表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8B0532"/>
    <w:multiLevelType w:val="singleLevel"/>
    <w:tmpl w:val="CC8B0532"/>
    <w:lvl w:ilvl="0" w:tentative="0">
      <w:start w:val="1"/>
      <w:numFmt w:val="chineseCounting"/>
      <w:suff w:val="space"/>
      <w:lvlText w:val="第%1部分"/>
      <w:lvlJc w:val="left"/>
      <w:rPr>
        <w:rFonts w:hint="eastAsia"/>
      </w:rPr>
    </w:lvl>
  </w:abstractNum>
  <w:abstractNum w:abstractNumId="1">
    <w:nsid w:val="DECAE212"/>
    <w:multiLevelType w:val="singleLevel"/>
    <w:tmpl w:val="DECAE212"/>
    <w:lvl w:ilvl="0" w:tentative="0">
      <w:start w:val="1"/>
      <w:numFmt w:val="chineseCounting"/>
      <w:suff w:val="nothing"/>
      <w:lvlText w:val="%1、"/>
      <w:lvlJc w:val="left"/>
      <w:pPr>
        <w:ind w:left="-10"/>
      </w:pPr>
      <w:rPr>
        <w:rFonts w:hint="eastAsia"/>
      </w:rPr>
    </w:lvl>
  </w:abstractNum>
  <w:abstractNum w:abstractNumId="2">
    <w:nsid w:val="E1D7C83E"/>
    <w:multiLevelType w:val="singleLevel"/>
    <w:tmpl w:val="E1D7C83E"/>
    <w:lvl w:ilvl="0" w:tentative="0">
      <w:start w:val="1"/>
      <w:numFmt w:val="chineseCounting"/>
      <w:suff w:val="nothing"/>
      <w:lvlText w:val="%1、"/>
      <w:lvlJc w:val="left"/>
      <w:rPr>
        <w:rFonts w:hint="eastAsia" w:ascii="仿宋" w:hAnsi="仿宋" w:eastAsia="仿宋" w:cs="仿宋"/>
        <w:b w:val="0"/>
        <w:bCs w:val="0"/>
        <w:sz w:val="32"/>
        <w:szCs w:val="32"/>
      </w:rPr>
    </w:lvl>
  </w:abstractNum>
  <w:abstractNum w:abstractNumId="3">
    <w:nsid w:val="1DBE515B"/>
    <w:multiLevelType w:val="singleLevel"/>
    <w:tmpl w:val="1DBE515B"/>
    <w:lvl w:ilvl="0" w:tentative="0">
      <w:start w:val="1"/>
      <w:numFmt w:val="chineseCounting"/>
      <w:suff w:val="nothing"/>
      <w:lvlText w:val="%1、"/>
      <w:lvlJc w:val="left"/>
      <w:rPr>
        <w:rFonts w:hint="eastAsia"/>
      </w:rPr>
    </w:lvl>
  </w:abstractNum>
  <w:abstractNum w:abstractNumId="4">
    <w:nsid w:val="61D09A37"/>
    <w:multiLevelType w:val="singleLevel"/>
    <w:tmpl w:val="61D09A37"/>
    <w:lvl w:ilvl="0" w:tentative="0">
      <w:start w:val="1"/>
      <w:numFmt w:val="chineseCounting"/>
      <w:suff w:val="nothing"/>
      <w:lvlText w:val="（%1）"/>
      <w:lvlJc w:val="left"/>
      <w:pPr>
        <w:ind w:left="-740"/>
      </w:pPr>
      <w:rPr>
        <w:rFonts w:hint="eastAsia"/>
      </w:rPr>
    </w:lvl>
  </w:abstractNum>
  <w:abstractNum w:abstractNumId="5">
    <w:nsid w:val="6EC1A300"/>
    <w:multiLevelType w:val="singleLevel"/>
    <w:tmpl w:val="6EC1A300"/>
    <w:lvl w:ilvl="0" w:tentative="0">
      <w:start w:val="1"/>
      <w:numFmt w:val="chineseCounting"/>
      <w:suff w:val="nothing"/>
      <w:lvlText w:val="%1、"/>
      <w:lvlJc w:val="left"/>
      <w:rPr>
        <w:rFonts w:hint="eastAsia"/>
      </w:rPr>
    </w:lvl>
  </w:abstractNum>
  <w:abstractNum w:abstractNumId="6">
    <w:nsid w:val="73A1052D"/>
    <w:multiLevelType w:val="singleLevel"/>
    <w:tmpl w:val="73A1052D"/>
    <w:lvl w:ilvl="0" w:tentative="0">
      <w:start w:val="3"/>
      <w:numFmt w:val="chineseCounting"/>
      <w:suff w:val="nothing"/>
      <w:lvlText w:val="（%1）"/>
      <w:lvlJc w:val="left"/>
      <w:rPr>
        <w:rFonts w:hint="eastAsia"/>
      </w:rPr>
    </w:lvl>
  </w:abstractNum>
  <w:num w:numId="1">
    <w:abstractNumId w:val="3"/>
  </w:num>
  <w:num w:numId="2">
    <w:abstractNumId w:val="0"/>
  </w:num>
  <w:num w:numId="3">
    <w:abstractNumId w:val="5"/>
  </w:num>
  <w:num w:numId="4">
    <w:abstractNumId w:val="4"/>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yNDdiMWY3N2U1ZDBiZjc2MzcyZmJkMGUwMmFiYzYifQ=="/>
    <w:docVar w:name="KSO_WPS_MARK_KEY" w:val="1c95b384-0a60-4a28-8c2f-7eb0d8688faa"/>
  </w:docVars>
  <w:rsids>
    <w:rsidRoot w:val="3E5A6C85"/>
    <w:rsid w:val="00077C0D"/>
    <w:rsid w:val="000A6609"/>
    <w:rsid w:val="000D60B2"/>
    <w:rsid w:val="00143DF7"/>
    <w:rsid w:val="001742A7"/>
    <w:rsid w:val="00174CFC"/>
    <w:rsid w:val="001B17CE"/>
    <w:rsid w:val="001C1C18"/>
    <w:rsid w:val="001F4C06"/>
    <w:rsid w:val="00256527"/>
    <w:rsid w:val="00490CAA"/>
    <w:rsid w:val="004B7307"/>
    <w:rsid w:val="004C7D32"/>
    <w:rsid w:val="005128CE"/>
    <w:rsid w:val="005A553F"/>
    <w:rsid w:val="005A78FC"/>
    <w:rsid w:val="005C5D65"/>
    <w:rsid w:val="00647F85"/>
    <w:rsid w:val="006D14AB"/>
    <w:rsid w:val="0091161C"/>
    <w:rsid w:val="009238E3"/>
    <w:rsid w:val="00937FE5"/>
    <w:rsid w:val="009412CA"/>
    <w:rsid w:val="00997E16"/>
    <w:rsid w:val="00AA7872"/>
    <w:rsid w:val="00AD7827"/>
    <w:rsid w:val="00B44F53"/>
    <w:rsid w:val="00BD1004"/>
    <w:rsid w:val="00C40E6C"/>
    <w:rsid w:val="00C9610D"/>
    <w:rsid w:val="00CB1918"/>
    <w:rsid w:val="00CF0B03"/>
    <w:rsid w:val="00D1451C"/>
    <w:rsid w:val="00D67A39"/>
    <w:rsid w:val="00D84F17"/>
    <w:rsid w:val="00EA37A7"/>
    <w:rsid w:val="00FB5B8C"/>
    <w:rsid w:val="037B79F7"/>
    <w:rsid w:val="041D2A27"/>
    <w:rsid w:val="05377B18"/>
    <w:rsid w:val="06440A7A"/>
    <w:rsid w:val="071D4AEC"/>
    <w:rsid w:val="084542FA"/>
    <w:rsid w:val="0A6251B2"/>
    <w:rsid w:val="0A8D3486"/>
    <w:rsid w:val="0AF83BF1"/>
    <w:rsid w:val="0D0F4ED6"/>
    <w:rsid w:val="0D513137"/>
    <w:rsid w:val="10602789"/>
    <w:rsid w:val="123258EF"/>
    <w:rsid w:val="12EF1A32"/>
    <w:rsid w:val="144A1E7D"/>
    <w:rsid w:val="15F07B94"/>
    <w:rsid w:val="164A4289"/>
    <w:rsid w:val="173B6758"/>
    <w:rsid w:val="191C5F4B"/>
    <w:rsid w:val="1B351FAC"/>
    <w:rsid w:val="1B637AEF"/>
    <w:rsid w:val="1C8B464F"/>
    <w:rsid w:val="1CA53161"/>
    <w:rsid w:val="1D0460DA"/>
    <w:rsid w:val="1D2E3157"/>
    <w:rsid w:val="1F046865"/>
    <w:rsid w:val="1FE67D19"/>
    <w:rsid w:val="228003BD"/>
    <w:rsid w:val="228C104B"/>
    <w:rsid w:val="22CA1FC5"/>
    <w:rsid w:val="246B28E3"/>
    <w:rsid w:val="24DA1A42"/>
    <w:rsid w:val="274F7F6E"/>
    <w:rsid w:val="279A1B15"/>
    <w:rsid w:val="27A42993"/>
    <w:rsid w:val="28196722"/>
    <w:rsid w:val="28447CD2"/>
    <w:rsid w:val="2959414C"/>
    <w:rsid w:val="2AA67AA4"/>
    <w:rsid w:val="2AA8279A"/>
    <w:rsid w:val="2ACE5F14"/>
    <w:rsid w:val="2B3E7E9D"/>
    <w:rsid w:val="2C081B10"/>
    <w:rsid w:val="2D4A0B6E"/>
    <w:rsid w:val="2F072B71"/>
    <w:rsid w:val="2F8530AA"/>
    <w:rsid w:val="32476D3D"/>
    <w:rsid w:val="326C12BA"/>
    <w:rsid w:val="33ED121E"/>
    <w:rsid w:val="3402116D"/>
    <w:rsid w:val="34030A42"/>
    <w:rsid w:val="34E010E6"/>
    <w:rsid w:val="358856A2"/>
    <w:rsid w:val="3699743B"/>
    <w:rsid w:val="38237904"/>
    <w:rsid w:val="3872263A"/>
    <w:rsid w:val="39006D81"/>
    <w:rsid w:val="39D84127"/>
    <w:rsid w:val="3A2B0CF2"/>
    <w:rsid w:val="3A865F28"/>
    <w:rsid w:val="3C1F6635"/>
    <w:rsid w:val="3E5A6C85"/>
    <w:rsid w:val="419D0727"/>
    <w:rsid w:val="41FF59D4"/>
    <w:rsid w:val="43572B58"/>
    <w:rsid w:val="45554E75"/>
    <w:rsid w:val="456A4DC4"/>
    <w:rsid w:val="469D4D26"/>
    <w:rsid w:val="46D01A4F"/>
    <w:rsid w:val="483D40CA"/>
    <w:rsid w:val="48CD07C5"/>
    <w:rsid w:val="4B86222C"/>
    <w:rsid w:val="4BBC3BEF"/>
    <w:rsid w:val="4CC72AFC"/>
    <w:rsid w:val="4E10402F"/>
    <w:rsid w:val="519E1D35"/>
    <w:rsid w:val="52843E6B"/>
    <w:rsid w:val="56CE6835"/>
    <w:rsid w:val="56E7105D"/>
    <w:rsid w:val="591B6E99"/>
    <w:rsid w:val="600C1A1A"/>
    <w:rsid w:val="61F061FA"/>
    <w:rsid w:val="63514A76"/>
    <w:rsid w:val="647F6552"/>
    <w:rsid w:val="64BB489D"/>
    <w:rsid w:val="65921CF6"/>
    <w:rsid w:val="65DB5214"/>
    <w:rsid w:val="66A82BFF"/>
    <w:rsid w:val="67AE693B"/>
    <w:rsid w:val="67F105D6"/>
    <w:rsid w:val="69F65D89"/>
    <w:rsid w:val="6AAD2EDA"/>
    <w:rsid w:val="6C715A72"/>
    <w:rsid w:val="6EEF1D13"/>
    <w:rsid w:val="70A26769"/>
    <w:rsid w:val="71BD526D"/>
    <w:rsid w:val="71E053FD"/>
    <w:rsid w:val="721B4EB9"/>
    <w:rsid w:val="746F63D8"/>
    <w:rsid w:val="747B790C"/>
    <w:rsid w:val="75A37A3E"/>
    <w:rsid w:val="75E31EA6"/>
    <w:rsid w:val="768A2321"/>
    <w:rsid w:val="76D0242A"/>
    <w:rsid w:val="791401EC"/>
    <w:rsid w:val="792702FB"/>
    <w:rsid w:val="7B6C0247"/>
    <w:rsid w:val="7EE527EB"/>
    <w:rsid w:val="7F5636E8"/>
    <w:rsid w:val="7F6C71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ody Text"/>
    <w:basedOn w:val="1"/>
    <w:unhideWhenUsed/>
    <w:qFormat/>
    <w:uiPriority w:val="1"/>
    <w:pPr>
      <w:spacing w:before="140"/>
      <w:ind w:left="120"/>
    </w:pPr>
    <w:rPr>
      <w:rFonts w:hint="eastAsia" w:ascii="仿宋" w:hAnsi="仿宋" w:eastAsia="仿宋"/>
      <w:sz w:val="32"/>
    </w:rPr>
  </w:style>
  <w:style w:type="paragraph" w:styleId="4">
    <w:name w:val="Balloon Text"/>
    <w:basedOn w:val="1"/>
    <w:link w:val="13"/>
    <w:qFormat/>
    <w:uiPriority w:val="0"/>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paragraph" w:styleId="6">
    <w:name w:val="annotation subject"/>
    <w:basedOn w:val="2"/>
    <w:next w:val="2"/>
    <w:link w:val="12"/>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character" w:customStyle="1" w:styleId="11">
    <w:name w:val="批注文字 字符"/>
    <w:basedOn w:val="9"/>
    <w:link w:val="2"/>
    <w:qFormat/>
    <w:uiPriority w:val="0"/>
    <w:rPr>
      <w:rFonts w:asciiTheme="minorHAnsi" w:hAnsiTheme="minorHAnsi" w:eastAsiaTheme="minorEastAsia" w:cstheme="minorBidi"/>
      <w:kern w:val="2"/>
      <w:sz w:val="21"/>
      <w:szCs w:val="24"/>
    </w:rPr>
  </w:style>
  <w:style w:type="character" w:customStyle="1" w:styleId="12">
    <w:name w:val="批注主题 字符"/>
    <w:basedOn w:val="11"/>
    <w:link w:val="6"/>
    <w:qFormat/>
    <w:uiPriority w:val="0"/>
    <w:rPr>
      <w:rFonts w:asciiTheme="minorHAnsi" w:hAnsiTheme="minorHAnsi" w:eastAsiaTheme="minorEastAsia" w:cstheme="minorBidi"/>
      <w:b/>
      <w:bCs/>
      <w:kern w:val="2"/>
      <w:sz w:val="21"/>
      <w:szCs w:val="24"/>
    </w:rPr>
  </w:style>
  <w:style w:type="character" w:customStyle="1" w:styleId="13">
    <w:name w:val="批注框文本 字符"/>
    <w:basedOn w:val="9"/>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hart" Target="charts/chart6.xml"/><Relationship Id="rId8" Type="http://schemas.openxmlformats.org/officeDocument/2006/relationships/chart" Target="charts/chart5.xml"/><Relationship Id="rId7" Type="http://schemas.openxmlformats.org/officeDocument/2006/relationships/chart" Target="charts/chart4.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hart" Target="charts/chart7.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3.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4.xlsx"/></Relationships>
</file>

<file path=word/charts/_rels/chart3.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4.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2.xlsx"/></Relationships>
</file>

<file path=word/charts/_rels/chart5.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5.xlsx"/></Relationships>
</file>

<file path=word/charts/_rels/chart6.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6.xlsx"/></Relationships>
</file>

<file path=word/charts/_rels/chart7.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l">
              <a:defRPr lang="zh-CN" sz="1400" b="1" i="0" u="none" strike="noStrike" kern="1200" spc="0" baseline="0">
                <a:solidFill>
                  <a:schemeClr val="tx1">
                    <a:lumMod val="65000"/>
                    <a:lumOff val="35000"/>
                  </a:schemeClr>
                </a:solidFill>
                <a:latin typeface="+mj-ea"/>
                <a:ea typeface="+mj-ea"/>
                <a:cs typeface="+mn-cs"/>
              </a:defRPr>
            </a:pPr>
            <a:r>
              <a:rPr lang="zh-CN" altLang="en-US" b="1">
                <a:latin typeface="+mj-ea"/>
                <a:ea typeface="+mj-ea"/>
              </a:rPr>
              <a:t>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2187</c:v>
                </c:pt>
                <c:pt idx="1">
                  <c:v>2376.73</c:v>
                </c:pt>
              </c:numCache>
            </c:numRef>
          </c:val>
        </c:ser>
        <c:ser>
          <c:idx val="1"/>
          <c:order val="1"/>
          <c:tx>
            <c:strRef>
              <c:f>'2022年部门收支预算表'!$C$1</c:f>
              <c:strCache>
                <c:ptCount val="1"/>
                <c:pt idx="0">
                  <c:v>支出</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2187</c:v>
                </c:pt>
                <c:pt idx="1">
                  <c:v>2376.73</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1" i="0" u="none" strike="noStrike" kern="1200" spc="0" baseline="0">
                <a:solidFill>
                  <a:schemeClr val="tx1">
                    <a:lumMod val="65000"/>
                    <a:lumOff val="35000"/>
                  </a:schemeClr>
                </a:solidFill>
                <a:latin typeface="+mn-lt"/>
                <a:ea typeface="+mn-ea"/>
                <a:cs typeface="+mn-cs"/>
              </a:defRPr>
            </a:pPr>
            <a:r>
              <a:rPr lang="zh-CN" altLang="en-US" b="1"/>
              <a:t>收入预算总体情况</a:t>
            </a:r>
            <a:endParaRPr lang="zh-CN" altLang="en-US" b="1"/>
          </a:p>
        </c:rich>
      </c:tx>
      <c:layout/>
      <c:overlay val="0"/>
      <c:spPr>
        <a:noFill/>
        <a:ln>
          <a:noFill/>
        </a:ln>
        <a:effectLst/>
      </c:spPr>
    </c:title>
    <c:autoTitleDeleted val="0"/>
    <c:plotArea>
      <c:layout/>
      <c:barChart>
        <c:barDir val="bar"/>
        <c:grouping val="clustered"/>
        <c:varyColors val="0"/>
        <c:ser>
          <c:idx val="0"/>
          <c:order val="0"/>
          <c:tx>
            <c:strRef>
              <c:f>Sheet1!$B$1</c:f>
              <c:strCache>
                <c:ptCount val="1"/>
                <c:pt idx="0">
                  <c:v>收入预算</c:v>
                </c:pt>
              </c:strCache>
            </c:strRef>
          </c:tx>
          <c:invertIfNegative val="0"/>
          <c:dPt>
            <c:idx val="0"/>
            <c:invertIfNegative val="0"/>
            <c:bubble3D val="0"/>
            <c:spPr>
              <a:solidFill>
                <a:schemeClr val="accent1"/>
              </a:solidFill>
              <a:ln w="19050">
                <a:solidFill>
                  <a:schemeClr val="lt1"/>
                </a:solidFill>
              </a:ln>
              <a:effectLst/>
            </c:spPr>
          </c:dPt>
          <c:dPt>
            <c:idx val="1"/>
            <c:invertIfNegative val="0"/>
            <c:bubble3D val="0"/>
            <c:spPr>
              <a:solidFill>
                <a:schemeClr val="accent2"/>
              </a:solidFill>
              <a:ln w="19050">
                <a:solidFill>
                  <a:schemeClr val="lt1"/>
                </a:solidFill>
              </a:ln>
              <a:effectLst/>
            </c:spPr>
          </c:dPt>
          <c:dPt>
            <c:idx val="2"/>
            <c:invertIfNegative val="0"/>
            <c:bubble3D val="0"/>
            <c:spPr>
              <a:solidFill>
                <a:schemeClr val="accent3"/>
              </a:solidFill>
              <a:ln w="19050">
                <a:solidFill>
                  <a:schemeClr val="lt1"/>
                </a:solidFill>
              </a:ln>
              <a:effectLst/>
            </c:spPr>
          </c:dPt>
          <c:dPt>
            <c:idx val="3"/>
            <c:invertIfNegative val="0"/>
            <c:bubble3D val="0"/>
            <c:spPr>
              <a:solidFill>
                <a:schemeClr val="accent4"/>
              </a:solidFill>
              <a:ln w="19050">
                <a:solidFill>
                  <a:schemeClr val="lt1"/>
                </a:solidFill>
              </a:ln>
              <a:effectLst/>
            </c:spPr>
          </c:dPt>
          <c:dPt>
            <c:idx val="4"/>
            <c:invertIfNegative val="0"/>
            <c:bubble3D val="0"/>
            <c:spPr>
              <a:solidFill>
                <a:schemeClr val="accent5"/>
              </a:solidFill>
              <a:ln w="19050">
                <a:solidFill>
                  <a:schemeClr val="lt1"/>
                </a:solidFill>
              </a:ln>
              <a:effectLst/>
            </c:spPr>
          </c:dPt>
          <c:dPt>
            <c:idx val="5"/>
            <c:invertIfNegative val="0"/>
            <c:bubble3D val="0"/>
            <c:spPr>
              <a:solidFill>
                <a:schemeClr val="accent6"/>
              </a:solidFill>
              <a:ln w="19050">
                <a:solidFill>
                  <a:schemeClr val="lt1"/>
                </a:solidFill>
              </a:ln>
              <a:effectLst/>
            </c:spPr>
          </c:dPt>
          <c:dPt>
            <c:idx val="6"/>
            <c:invertIfNegative val="0"/>
            <c:bubble3D val="0"/>
            <c:spPr>
              <a:solidFill>
                <a:schemeClr val="accent1">
                  <a:lumMod val="60000"/>
                </a:schemeClr>
              </a:solidFill>
              <a:ln w="19050">
                <a:solidFill>
                  <a:schemeClr val="lt1"/>
                </a:solidFill>
              </a:ln>
              <a:effectLst/>
            </c:spPr>
          </c:dPt>
          <c:dPt>
            <c:idx val="7"/>
            <c:invertIfNegative val="0"/>
            <c:bubble3D val="0"/>
            <c:spPr>
              <a:solidFill>
                <a:schemeClr val="accent2">
                  <a:lumMod val="60000"/>
                </a:schemeClr>
              </a:solidFill>
              <a:ln w="19050">
                <a:solidFill>
                  <a:schemeClr val="lt1"/>
                </a:solidFill>
              </a:ln>
              <a:effectLst/>
            </c:spPr>
          </c:dPt>
          <c:dPt>
            <c:idx val="8"/>
            <c:invertIfNegative val="0"/>
            <c:bubble3D val="0"/>
            <c:spPr>
              <a:solidFill>
                <a:schemeClr val="accent3">
                  <a:lumMod val="60000"/>
                </a:schemeClr>
              </a:solidFill>
              <a:ln w="19050">
                <a:solidFill>
                  <a:schemeClr val="lt1"/>
                </a:solidFill>
              </a:ln>
              <a:effectLst/>
            </c:spPr>
          </c:dPt>
          <c:dPt>
            <c:idx val="9"/>
            <c:invertIfNegative val="0"/>
            <c:bubble3D val="0"/>
            <c:spPr>
              <a:solidFill>
                <a:schemeClr val="accent4">
                  <a:lumMod val="60000"/>
                </a:schemeClr>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ext>
            </c:extLst>
          </c:dLbls>
          <c:cat>
            <c:strRef>
              <c:f>Sheet1!$A$2:$A$11</c:f>
              <c:strCache>
                <c:ptCount val="10"/>
                <c:pt idx="0">
                  <c:v>一般公共预算收入</c:v>
                </c:pt>
                <c:pt idx="1">
                  <c:v>政府性基金收入</c:v>
                </c:pt>
                <c:pt idx="2">
                  <c:v>国有资本经营收入</c:v>
                </c:pt>
                <c:pt idx="3">
                  <c:v>财政专户管理资金收入</c:v>
                </c:pt>
                <c:pt idx="4">
                  <c:v>事业收入</c:v>
                </c:pt>
                <c:pt idx="5">
                  <c:v>事业单位经营收入</c:v>
                </c:pt>
                <c:pt idx="6">
                  <c:v>上级补助收入</c:v>
                </c:pt>
                <c:pt idx="7">
                  <c:v>附属单位上缴收入</c:v>
                </c:pt>
                <c:pt idx="8">
                  <c:v>其他收入</c:v>
                </c:pt>
                <c:pt idx="9">
                  <c:v>上年结转结余</c:v>
                </c:pt>
              </c:strCache>
            </c:strRef>
          </c:cat>
          <c:val>
            <c:numRef>
              <c:f>Sheet1!$B$2:$B$11</c:f>
              <c:numCache>
                <c:formatCode>General</c:formatCode>
                <c:ptCount val="10"/>
                <c:pt idx="0">
                  <c:v>2376.73</c:v>
                </c:pt>
              </c:numCache>
            </c:numRef>
          </c:val>
        </c:ser>
        <c:dLbls>
          <c:showLegendKey val="0"/>
          <c:showVal val="0"/>
          <c:showCatName val="0"/>
          <c:showSerName val="0"/>
          <c:showPercent val="0"/>
          <c:showBubbleSize val="0"/>
        </c:dLbls>
        <c:gapWidth val="100"/>
        <c:axId val="2127909856"/>
        <c:axId val="2127920256"/>
      </c:barChart>
      <c:catAx>
        <c:axId val="2127909856"/>
        <c:scaling>
          <c:orientation val="minMax"/>
        </c:scaling>
        <c:delete val="0"/>
        <c:axPos val="l"/>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2127920256"/>
        <c:crosses val="autoZero"/>
        <c:auto val="1"/>
        <c:lblAlgn val="ctr"/>
        <c:lblOffset val="100"/>
        <c:noMultiLvlLbl val="0"/>
      </c:catAx>
      <c:valAx>
        <c:axId val="2127920256"/>
        <c:scaling>
          <c:orientation val="minMax"/>
        </c:scaling>
        <c:delete val="0"/>
        <c:axPos val="b"/>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21279098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1" i="0" u="none" strike="noStrike" kern="1200" spc="0" baseline="0">
                <a:solidFill>
                  <a:schemeClr val="tx1">
                    <a:lumMod val="65000"/>
                    <a:lumOff val="35000"/>
                  </a:schemeClr>
                </a:solidFill>
                <a:latin typeface="+mn-lt"/>
                <a:ea typeface="+mn-ea"/>
                <a:cs typeface="+mn-cs"/>
              </a:defRPr>
            </a:pPr>
            <a:r>
              <a:rPr lang="zh-CN" altLang="en-US" b="1"/>
              <a:t>支出预算总体情况</a:t>
            </a:r>
            <a:endParaRPr lang="zh-CN" altLang="en-US" b="1"/>
          </a:p>
        </c:rich>
      </c:tx>
      <c:layout/>
      <c:overlay val="0"/>
      <c:spPr>
        <a:noFill/>
        <a:ln>
          <a:noFill/>
        </a:ln>
        <a:effectLst/>
      </c:spPr>
    </c:title>
    <c:autoTitleDeleted val="0"/>
    <c:plotArea>
      <c:layout/>
      <c:pieChart>
        <c:varyColors val="1"/>
        <c:ser>
          <c:idx val="0"/>
          <c:order val="0"/>
          <c:tx>
            <c:strRef>
              <c:f>Sheet1!$B$1</c:f>
              <c:strCache>
                <c:ptCount val="1"/>
                <c:pt idx="0">
                  <c:v>支出预算</c:v>
                </c:pt>
              </c:strCache>
            </c:strRef>
          </c:tx>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0.00%" sourceLinked="0"/>
            <c:spPr>
              <a:solidFill>
                <a:sysClr val="window" lastClr="FFFFFF"/>
              </a:solidFill>
              <a:ln>
                <a:solidFill>
                  <a:sysClr val="windowText" lastClr="000000">
                    <a:lumMod val="65000"/>
                    <a:lumOff val="35000"/>
                  </a:sysClr>
                </a:solid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ext>
            </c:extLst>
          </c:dLbls>
          <c:cat>
            <c:strRef>
              <c:f>Sheet1!$A$2:$A$3</c:f>
              <c:strCache>
                <c:ptCount val="2"/>
                <c:pt idx="0">
                  <c:v>基本支出</c:v>
                </c:pt>
                <c:pt idx="1">
                  <c:v>项目支出</c:v>
                </c:pt>
              </c:strCache>
            </c:strRef>
          </c:cat>
          <c:val>
            <c:numRef>
              <c:f>Sheet1!$B$2:$B$3</c:f>
              <c:numCache>
                <c:formatCode>General</c:formatCode>
                <c:ptCount val="2"/>
                <c:pt idx="0">
                  <c:v>2160.38</c:v>
                </c:pt>
                <c:pt idx="1">
                  <c:v>216.35</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lang="zh-CN" sz="1400" b="1" i="0" u="none" strike="noStrike" kern="1200" spc="0" baseline="0">
                <a:solidFill>
                  <a:schemeClr val="tx1">
                    <a:lumMod val="65000"/>
                    <a:lumOff val="35000"/>
                  </a:schemeClr>
                </a:solidFill>
                <a:latin typeface="+mj-ea"/>
                <a:ea typeface="+mj-ea"/>
                <a:cs typeface="+mn-cs"/>
              </a:defRPr>
            </a:pPr>
            <a:r>
              <a:rPr lang="zh-CN" altLang="en-US" b="1">
                <a:latin typeface="+mj-ea"/>
                <a:ea typeface="+mj-ea"/>
              </a:rPr>
              <a:t>财政拨款收支预算总体情况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1964</c:v>
                </c:pt>
                <c:pt idx="1">
                  <c:v>2371.19</c:v>
                </c:pt>
              </c:numCache>
            </c:numRef>
          </c:val>
        </c:ser>
        <c:ser>
          <c:idx val="1"/>
          <c:order val="1"/>
          <c:tx>
            <c:strRef>
              <c:f>'2022年部门收支预算表'!$C$1</c:f>
              <c:strCache>
                <c:ptCount val="1"/>
                <c:pt idx="0">
                  <c:v>支出</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1964</c:v>
                </c:pt>
                <c:pt idx="1">
                  <c:v>2371.19</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defTabSz="914400">
              <a:defRPr lang="zh-CN" sz="1400" b="1" i="0" u="none" strike="noStrike" kern="1200" spc="0" baseline="0">
                <a:solidFill>
                  <a:schemeClr val="tx1">
                    <a:lumMod val="65000"/>
                    <a:lumOff val="35000"/>
                  </a:schemeClr>
                </a:solidFill>
                <a:latin typeface="+mn-lt"/>
                <a:ea typeface="+mn-ea"/>
                <a:cs typeface="+mn-cs"/>
              </a:defRPr>
            </a:pPr>
            <a:r>
              <a:rPr lang="zh-CN" altLang="en-US" sz="1400"/>
              <a:t>一般公共预算支出预算情况</a:t>
            </a:r>
            <a:endParaRPr lang="zh-CN" altLang="en-US" sz="1400"/>
          </a:p>
        </c:rich>
      </c:tx>
      <c:layout/>
      <c:overlay val="0"/>
      <c:spPr>
        <a:noFill/>
        <a:ln>
          <a:noFill/>
        </a:ln>
        <a:effectLst/>
      </c:spPr>
    </c:title>
    <c:autoTitleDeleted val="0"/>
    <c:plotArea>
      <c:layout/>
      <c:pieChart>
        <c:varyColors val="1"/>
        <c:ser>
          <c:idx val="0"/>
          <c:order val="0"/>
          <c:tx>
            <c:strRef>
              <c:f>Sheet1!$B$1</c:f>
              <c:strCache>
                <c:ptCount val="1"/>
                <c:pt idx="0">
                  <c:v>列1</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0.00%" sourceLinked="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chemeClr val="dk1">
                        <a:lumMod val="65000"/>
                        <a:lumOff val="35000"/>
                      </a:scheme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2160.38</c:v>
                </c:pt>
                <c:pt idx="1">
                  <c:v>216.35</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1" i="0" u="none" strike="noStrike" kern="1200" spc="0" baseline="0">
                <a:solidFill>
                  <a:schemeClr val="tx1">
                    <a:lumMod val="65000"/>
                    <a:lumOff val="35000"/>
                  </a:schemeClr>
                </a:solidFill>
                <a:latin typeface="+mn-lt"/>
                <a:ea typeface="+mn-ea"/>
                <a:cs typeface="+mn-cs"/>
              </a:defRPr>
            </a:pPr>
            <a:r>
              <a:rPr lang="zh-CN" altLang="en-US"/>
              <a:t>一般公共预算基本支出预算情况</a:t>
            </a:r>
            <a:endParaRPr lang="zh-CN" altLang="en-US"/>
          </a:p>
        </c:rich>
      </c:tx>
      <c:layout/>
      <c:overlay val="0"/>
      <c:spPr>
        <a:noFill/>
        <a:ln>
          <a:noFill/>
        </a:ln>
        <a:effectLst/>
      </c:spPr>
    </c:title>
    <c:autoTitleDeleted val="0"/>
    <c:plotArea>
      <c:layout>
        <c:manualLayout>
          <c:layoutTarget val="inner"/>
          <c:xMode val="edge"/>
          <c:yMode val="edge"/>
          <c:x val="0.322369371538647"/>
          <c:y val="0.194344685242518"/>
          <c:w val="0.361281001685529"/>
          <c:h val="0.619360165118679"/>
        </c:manualLayout>
      </c:layout>
      <c:pieChart>
        <c:varyColors val="1"/>
        <c:ser>
          <c:idx val="0"/>
          <c:order val="0"/>
          <c:tx>
            <c:strRef>
              <c:f>Sheet1!$B$1</c:f>
              <c:strCache>
                <c:ptCount val="1"/>
                <c:pt idx="0">
                  <c:v>一般公共预算支出预算情况</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0.00%" sourceLinked="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chemeClr val="dk1">
                        <a:lumMod val="65000"/>
                        <a:lumOff val="35000"/>
                      </a:scheme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chemeClr val="tx1">
                          <a:lumMod val="35000"/>
                          <a:lumOff val="65000"/>
                        </a:schemeClr>
                      </a:solidFill>
                      <a:round/>
                    </a:ln>
                    <a:effectLst/>
                  </c:spPr>
                </c15:leaderLines>
              </c:ext>
            </c:extLst>
          </c:dLbls>
          <c:cat>
            <c:strRef>
              <c:f>Sheet1!$A$2:$A$3</c:f>
              <c:strCache>
                <c:ptCount val="2"/>
                <c:pt idx="0">
                  <c:v>人员经费</c:v>
                </c:pt>
                <c:pt idx="1">
                  <c:v>公用经费</c:v>
                </c:pt>
              </c:strCache>
            </c:strRef>
          </c:cat>
          <c:val>
            <c:numRef>
              <c:f>Sheet1!$B$2:$B$3</c:f>
              <c:numCache>
                <c:formatCode>General</c:formatCode>
                <c:ptCount val="2"/>
                <c:pt idx="0">
                  <c:v>382.56</c:v>
                </c:pt>
                <c:pt idx="1">
                  <c:v>11.25</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l">
              <a:defRPr lang="zh-CN" sz="1400" b="0" i="0" u="none" strike="noStrike" kern="1200" spc="0" baseline="0">
                <a:solidFill>
                  <a:schemeClr val="tx1">
                    <a:lumMod val="65000"/>
                    <a:lumOff val="35000"/>
                  </a:schemeClr>
                </a:solidFill>
                <a:latin typeface="+mn-lt"/>
                <a:ea typeface="+mn-ea"/>
                <a:cs typeface="+mn-cs"/>
              </a:defRPr>
            </a:pPr>
            <a:r>
              <a:rPr lang="zh-CN" altLang="zh-CN" sz="1400" b="1" i="0" u="none" strike="noStrike" baseline="0">
                <a:effectLst/>
              </a:rPr>
              <a:t>一般公共预算“三公”经费支出预算情况</a:t>
            </a:r>
            <a:endParaRPr lang="zh-CN" altLang="en-US" sz="1400" b="1"/>
          </a:p>
        </c:rich>
      </c:tx>
      <c:layout>
        <c:manualLayout>
          <c:xMode val="edge"/>
          <c:yMode val="edge"/>
          <c:x val="0.188538405971587"/>
          <c:y val="0.0371517027863777"/>
        </c:manualLayout>
      </c:layout>
      <c:overlay val="0"/>
      <c:spPr>
        <a:noFill/>
        <a:ln>
          <a:noFill/>
        </a:ln>
        <a:effectLst/>
      </c:spPr>
    </c:title>
    <c:autoTitleDeleted val="0"/>
    <c:plotArea>
      <c:layout>
        <c:manualLayout>
          <c:layoutTarget val="inner"/>
          <c:xMode val="edge"/>
          <c:yMode val="edge"/>
          <c:x val="0.0992776306284614"/>
          <c:y val="0.154179566563467"/>
          <c:w val="0.876041415843968"/>
          <c:h val="0.649411764705882"/>
        </c:manualLayout>
      </c:layout>
      <c:barChart>
        <c:barDir val="bar"/>
        <c:grouping val="clustered"/>
        <c:varyColors val="0"/>
        <c:ser>
          <c:idx val="0"/>
          <c:order val="0"/>
          <c:tx>
            <c:strRef>
              <c:f>Sheet1!$B$1</c:f>
              <c:strCache>
                <c:ptCount val="1"/>
                <c:pt idx="0">
                  <c:v>因公出国（境）费用</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2022年</c:v>
                </c:pt>
                <c:pt idx="1">
                  <c:v>2023年</c:v>
                </c:pt>
              </c:strCache>
            </c:strRef>
          </c:cat>
          <c:val>
            <c:numRef>
              <c:f>Sheet1!$B$2:$B$3</c:f>
              <c:numCache>
                <c:formatCode>General</c:formatCode>
                <c:ptCount val="2"/>
                <c:pt idx="0">
                  <c:v>0</c:v>
                </c:pt>
                <c:pt idx="1">
                  <c:v>0</c:v>
                </c:pt>
              </c:numCache>
            </c:numRef>
          </c:val>
        </c:ser>
        <c:ser>
          <c:idx val="1"/>
          <c:order val="1"/>
          <c:tx>
            <c:strRef>
              <c:f>Sheet1!$C$1</c:f>
              <c:strCache>
                <c:ptCount val="1"/>
                <c:pt idx="0">
                  <c:v>公务接待费</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2022年</c:v>
                </c:pt>
                <c:pt idx="1">
                  <c:v>2023年</c:v>
                </c:pt>
              </c:strCache>
            </c:strRef>
          </c:cat>
          <c:val>
            <c:numRef>
              <c:f>Sheet1!$C$2:$C$3</c:f>
              <c:numCache>
                <c:formatCode>General</c:formatCode>
                <c:ptCount val="2"/>
                <c:pt idx="0">
                  <c:v>0</c:v>
                </c:pt>
                <c:pt idx="1">
                  <c:v>0</c:v>
                </c:pt>
              </c:numCache>
            </c:numRef>
          </c:val>
        </c:ser>
        <c:ser>
          <c:idx val="2"/>
          <c:order val="2"/>
          <c:tx>
            <c:strRef>
              <c:f>Sheet1!$D$1</c:f>
              <c:strCache>
                <c:ptCount val="1"/>
                <c:pt idx="0">
                  <c:v>公务用车购置及运行费</c:v>
                </c:pt>
              </c:strCache>
            </c:strRef>
          </c:tx>
          <c:spPr>
            <a:solidFill>
              <a:schemeClr val="accent3"/>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2022年</c:v>
                </c:pt>
                <c:pt idx="1">
                  <c:v>2023年</c:v>
                </c:pt>
              </c:strCache>
            </c:strRef>
          </c:cat>
          <c:val>
            <c:numRef>
              <c:f>Sheet1!$D$2:$D$3</c:f>
              <c:numCache>
                <c:formatCode>General</c:formatCode>
                <c:ptCount val="2"/>
                <c:pt idx="0">
                  <c:v>0</c:v>
                </c:pt>
                <c:pt idx="1">
                  <c:v>0</c:v>
                </c:pt>
              </c:numCache>
            </c:numRef>
          </c:val>
        </c:ser>
        <c:dLbls>
          <c:showLegendKey val="0"/>
          <c:showVal val="1"/>
          <c:showCatName val="0"/>
          <c:showSerName val="0"/>
          <c:showPercent val="0"/>
          <c:showBubbleSize val="0"/>
        </c:dLbls>
        <c:gapWidth val="219"/>
        <c:axId val="408582879"/>
        <c:axId val="408594943"/>
      </c:barChart>
      <c:catAx>
        <c:axId val="408582879"/>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08594943"/>
        <c:crosses val="autoZero"/>
        <c:auto val="1"/>
        <c:lblAlgn val="ctr"/>
        <c:lblOffset val="100"/>
        <c:noMultiLvlLbl val="0"/>
      </c:catAx>
      <c:valAx>
        <c:axId val="408594943"/>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08582879"/>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4387</Words>
  <Characters>4664</Characters>
  <Lines>20</Lines>
  <Paragraphs>5</Paragraphs>
  <TotalTime>14</TotalTime>
  <ScaleCrop>false</ScaleCrop>
  <LinksUpToDate>false</LinksUpToDate>
  <CharactersWithSpaces>4696</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2022-05-23T00:38:00Z</dcterms:created>
  <dc:creator>Administrator</dc:creator>
  <cp:lastModifiedBy>ftx</cp:lastModifiedBy>
  <cp:lastPrinted>2023-02-22T07:28:00Z</cp:lastPrinted>
  <dcterms:modified xsi:type="dcterms:W3CDTF">2023-03-10T02:35:06Z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15EFF426CC5C40F5B13B933F6B526B9D</vt:lpwstr>
  </property>
</Properties>
</file>