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0"/>
          <w:szCs w:val="40"/>
        </w:rPr>
      </w:pPr>
      <w:r>
        <w:rPr>
          <w:rFonts w:hint="eastAsia" w:ascii="黑体" w:hAnsi="黑体" w:eastAsia="黑体" w:cs="黑体"/>
          <w:b/>
          <w:bCs/>
          <w:sz w:val="40"/>
          <w:szCs w:val="40"/>
        </w:rPr>
        <w:t>202</w:t>
      </w:r>
      <w:r>
        <w:rPr>
          <w:rFonts w:hint="eastAsia" w:ascii="黑体" w:hAnsi="黑体" w:eastAsia="黑体" w:cs="黑体"/>
          <w:b/>
          <w:bCs/>
          <w:sz w:val="40"/>
          <w:szCs w:val="40"/>
          <w:lang w:val="en-US" w:eastAsia="zh-CN"/>
        </w:rPr>
        <w:t>3</w:t>
      </w:r>
      <w:r>
        <w:rPr>
          <w:rFonts w:hint="eastAsia" w:ascii="黑体" w:hAnsi="黑体" w:eastAsia="黑体" w:cs="黑体"/>
          <w:b/>
          <w:bCs/>
          <w:sz w:val="40"/>
          <w:szCs w:val="40"/>
        </w:rPr>
        <w:t>年淮滨县</w:t>
      </w:r>
      <w:r>
        <w:rPr>
          <w:rFonts w:hint="eastAsia" w:ascii="黑体" w:hAnsi="黑体" w:eastAsia="黑体" w:cs="黑体"/>
          <w:b/>
          <w:bCs/>
          <w:sz w:val="40"/>
          <w:szCs w:val="40"/>
          <w:lang w:val="en-US" w:eastAsia="zh-CN"/>
        </w:rPr>
        <w:t>防胡镇初级中学</w:t>
      </w:r>
      <w:r>
        <w:rPr>
          <w:rFonts w:hint="eastAsia" w:ascii="黑体" w:hAnsi="黑体" w:eastAsia="黑体" w:cs="黑体"/>
          <w:b/>
          <w:bCs/>
          <w:sz w:val="40"/>
          <w:szCs w:val="40"/>
        </w:rPr>
        <w:t>部门预算说明</w:t>
      </w:r>
    </w:p>
    <w:p>
      <w:pPr>
        <w:pStyle w:val="3"/>
        <w:tabs>
          <w:tab w:val="left" w:pos="880"/>
        </w:tabs>
        <w:kinsoku w:val="0"/>
        <w:overflowPunct w:val="0"/>
        <w:spacing w:before="0" w:line="480" w:lineRule="auto"/>
        <w:ind w:left="0"/>
        <w:jc w:val="center"/>
        <w:rPr>
          <w:rFonts w:hint="default" w:ascii="黑体" w:hAnsi="黑体" w:eastAsia="黑体" w:cs="黑体"/>
          <w:b/>
          <w:sz w:val="40"/>
          <w:szCs w:val="40"/>
        </w:rPr>
      </w:pPr>
      <w:r>
        <w:rPr>
          <w:rFonts w:ascii="黑体" w:hAnsi="黑体" w:eastAsia="黑体" w:cs="黑体"/>
          <w:b/>
          <w:w w:val="95"/>
          <w:sz w:val="40"/>
          <w:szCs w:val="40"/>
        </w:rPr>
        <w:t>目</w:t>
      </w:r>
      <w:r>
        <w:rPr>
          <w:rFonts w:ascii="黑体" w:hAnsi="黑体" w:eastAsia="黑体" w:cs="黑体"/>
          <w:b/>
          <w:w w:val="95"/>
          <w:sz w:val="40"/>
          <w:szCs w:val="40"/>
        </w:rPr>
        <w:tab/>
      </w:r>
      <w:r>
        <w:rPr>
          <w:rFonts w:ascii="黑体" w:hAnsi="黑体" w:eastAsia="黑体" w:cs="黑体"/>
          <w:b/>
          <w:sz w:val="40"/>
          <w:szCs w:val="40"/>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防胡镇初级中学</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default" w:ascii="仿宋" w:hAnsi="仿宋" w:eastAsia="仿宋" w:cs="Times New Roman"/>
          <w:w w:val="99"/>
          <w:sz w:val="32"/>
          <w:szCs w:val="32"/>
          <w:lang w:val="en-US" w:eastAsia="zh-CN"/>
        </w:rPr>
      </w:pPr>
      <w:r>
        <w:rPr>
          <w:rFonts w:hint="eastAsia" w:ascii="仿宋" w:hAnsi="仿宋" w:eastAsia="仿宋" w:cs="Times New Roman"/>
          <w:w w:val="99"/>
          <w:sz w:val="32"/>
          <w:szCs w:val="32"/>
          <w:lang w:val="en-US" w:eastAsia="zh-CN"/>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val="en-US"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z w:val="32"/>
          <w:szCs w:val="32"/>
          <w:lang w:val="en-US" w:eastAsia="zh-CN"/>
        </w:rPr>
        <w:t xml:space="preserve"> </w:t>
      </w:r>
      <w:r>
        <w:rPr>
          <w:rFonts w:hint="eastAsia" w:ascii="黑体" w:hAnsi="黑体" w:eastAsia="黑体" w:cs="Times New Roman"/>
          <w:spacing w:val="-5"/>
          <w:sz w:val="32"/>
          <w:szCs w:val="32"/>
        </w:rPr>
        <w:t>淮滨县</w:t>
      </w:r>
      <w:r>
        <w:rPr>
          <w:rFonts w:hint="eastAsia" w:ascii="黑体" w:hAnsi="黑体" w:eastAsia="黑体" w:cs="Times New Roman"/>
          <w:spacing w:val="-5"/>
          <w:sz w:val="32"/>
          <w:szCs w:val="32"/>
          <w:lang w:val="en-US" w:eastAsia="zh-CN"/>
        </w:rPr>
        <w:t>防胡镇初级中学</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val="en-US" w:eastAsia="zh-CN"/>
        </w:rPr>
        <w:t>防胡镇初级中学</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防胡镇初级中学</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410" w:leftChars="0" w:firstLine="640" w:firstLineChars="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val="en-US" w:eastAsia="zh-CN"/>
        </w:rPr>
        <w:t>防胡镇初级中学</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val="en-US" w:eastAsia="zh-CN"/>
        </w:rPr>
        <w:t>防胡镇初级中学</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bCs/>
          <w:szCs w:val="32"/>
          <w:lang w:val="en-US" w:eastAsia="zh-CN"/>
        </w:rPr>
        <w:t>宣传贯彻执行党和国家的教育方针、教育政策、教育法律和法规，贯彻执行上级教育行政部门的各项规章制度。</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bCs/>
          <w:szCs w:val="32"/>
          <w:lang w:val="en-US" w:eastAsia="zh-CN"/>
        </w:rPr>
        <w:t>在政府和上级主管部门的领导下，改善办学条件，为师生的工作和学习提供优美和谐的环境。</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bCs/>
          <w:szCs w:val="32"/>
          <w:lang w:val="en-US" w:eastAsia="zh-CN"/>
        </w:rPr>
        <w:t>根据县级人民政府制定的教育发展规划，结合实际制定并组织实施本镇的教育事业发展规划。</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bCs/>
          <w:szCs w:val="32"/>
          <w:lang w:val="en-US" w:eastAsia="zh-CN"/>
        </w:rPr>
        <w:t>按照上级有关部门的规定，负责本校的财务和项目建设进行管理，负责核算和发放教职工工资。</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ascii="仿宋_GB2312" w:hAnsi="仿宋_GB2312" w:eastAsia="仿宋_GB2312" w:cs="仿宋_GB2312"/>
          <w:bCs/>
          <w:szCs w:val="32"/>
          <w:lang w:val="en-US" w:eastAsia="zh-CN"/>
        </w:rPr>
        <w:t>按照九年义务教育课程计划，开齐课程，开足课时，认真实施中小学的教育教学管理，全面推进素质教育，全面提高教育教学质量。</w:t>
      </w:r>
    </w:p>
    <w:p>
      <w:pPr>
        <w:pStyle w:val="3"/>
        <w:numPr>
          <w:ilvl w:val="0"/>
          <w:numId w:val="3"/>
        </w:numPr>
        <w:tabs>
          <w:tab w:val="left" w:pos="880"/>
        </w:tabs>
        <w:kinsoku w:val="0"/>
        <w:overflowPunct w:val="0"/>
        <w:spacing w:before="0"/>
        <w:ind w:left="410" w:leftChars="0" w:firstLine="64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内设机构设置情况</w:t>
      </w:r>
    </w:p>
    <w:p>
      <w:pPr>
        <w:pStyle w:val="3"/>
        <w:numPr>
          <w:ilvl w:val="0"/>
          <w:numId w:val="0"/>
        </w:numPr>
        <w:tabs>
          <w:tab w:val="left" w:pos="880"/>
        </w:tabs>
        <w:kinsoku w:val="0"/>
        <w:overflowPunct w:val="0"/>
        <w:spacing w:before="0"/>
        <w:ind w:leftChars="200"/>
        <w:jc w:val="left"/>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淮滨县防胡镇初级中学为教育体育局所属全额供给事业单位，共设置3个内设机构，分别是政教处、教导处、后勤处、工会。</w:t>
      </w:r>
    </w:p>
    <w:p>
      <w:pPr>
        <w:pStyle w:val="3"/>
        <w:numPr>
          <w:ilvl w:val="0"/>
          <w:numId w:val="0"/>
        </w:numPr>
        <w:tabs>
          <w:tab w:val="left" w:pos="880"/>
        </w:tabs>
        <w:kinsoku w:val="0"/>
        <w:overflowPunct w:val="0"/>
        <w:spacing w:before="0"/>
        <w:ind w:leftChars="200" w:firstLine="640" w:firstLineChars="200"/>
        <w:jc w:val="left"/>
        <w:rPr>
          <w:rFonts w:hint="default" w:ascii="黑体" w:hAnsi="黑体" w:eastAsia="黑体" w:cs="黑体"/>
          <w:bCs/>
          <w:szCs w:val="32"/>
        </w:rPr>
      </w:pPr>
      <w:r>
        <w:rPr>
          <w:rFonts w:hint="eastAsia" w:ascii="黑体" w:hAnsi="黑体" w:eastAsia="黑体" w:cs="黑体"/>
          <w:bCs/>
          <w:szCs w:val="32"/>
          <w:lang w:val="en-US" w:eastAsia="zh-CN"/>
        </w:rPr>
        <w:t>三、</w:t>
      </w:r>
      <w:r>
        <w:rPr>
          <w:rFonts w:ascii="黑体" w:hAnsi="黑体" w:eastAsia="黑体" w:cs="黑体"/>
          <w:bCs/>
          <w:szCs w:val="32"/>
        </w:rPr>
        <w:t>淮滨县</w:t>
      </w:r>
      <w:r>
        <w:rPr>
          <w:rFonts w:hint="eastAsia" w:ascii="黑体" w:hAnsi="黑体" w:eastAsia="黑体" w:cs="黑体"/>
          <w:bCs/>
          <w:szCs w:val="32"/>
          <w:lang w:val="en-US" w:eastAsia="zh-CN"/>
        </w:rPr>
        <w:t>防胡镇初级中学</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防胡镇初级中学</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w:t>
      </w:r>
      <w:r>
        <w:rPr>
          <w:rFonts w:hint="eastAsia" w:ascii="仿宋_GB2312" w:hAnsi="仿宋_GB2312" w:eastAsia="仿宋_GB2312" w:cs="仿宋_GB2312"/>
          <w:bCs/>
          <w:sz w:val="32"/>
          <w:szCs w:val="32"/>
          <w:lang w:val="en-US" w:eastAsia="zh-CN"/>
        </w:rPr>
        <w:t>是</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p>
    <w:p>
      <w:pPr>
        <w:jc w:val="both"/>
        <w:rPr>
          <w:rFonts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防胡镇初级中学</w:t>
      </w: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防胡镇初级中学</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年收入总计</w:t>
      </w:r>
      <w:r>
        <w:rPr>
          <w:rFonts w:hint="eastAsia" w:ascii="仿宋" w:hAnsi="仿宋" w:eastAsia="仿宋" w:cs="仿宋"/>
          <w:sz w:val="28"/>
          <w:szCs w:val="28"/>
          <w:lang w:val="en-US" w:eastAsia="zh-CN"/>
        </w:rPr>
        <w:t>1111.83</w:t>
      </w:r>
      <w:r>
        <w:rPr>
          <w:rFonts w:hint="eastAsia" w:ascii="仿宋" w:hAnsi="仿宋" w:eastAsia="仿宋" w:cs="仿宋"/>
          <w:sz w:val="32"/>
          <w:szCs w:val="32"/>
        </w:rPr>
        <w:t>万元，支出总计</w:t>
      </w:r>
      <w:r>
        <w:rPr>
          <w:rFonts w:hint="eastAsia" w:ascii="仿宋" w:hAnsi="仿宋" w:eastAsia="仿宋" w:cs="仿宋"/>
          <w:sz w:val="28"/>
          <w:szCs w:val="28"/>
          <w:lang w:val="en-US" w:eastAsia="zh-CN"/>
        </w:rPr>
        <w:t>1111.83</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71.90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6.91</w:t>
      </w:r>
      <w:r>
        <w:rPr>
          <w:rFonts w:hint="eastAsia" w:ascii="仿宋" w:hAnsi="仿宋" w:eastAsia="仿宋" w:cs="仿宋"/>
          <w:sz w:val="32"/>
          <w:szCs w:val="32"/>
        </w:rPr>
        <w:t>%。主要原因</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一是我校新增编制4人，基本支出较上年增加15.04万元；二是教师的正常晋升和职称变动增加56.86万元。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防胡镇初级中学</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年收入合计</w:t>
      </w:r>
      <w:r>
        <w:rPr>
          <w:rFonts w:hint="eastAsia" w:ascii="仿宋" w:hAnsi="仿宋" w:eastAsia="仿宋" w:cs="仿宋"/>
          <w:sz w:val="32"/>
          <w:lang w:val="en-US" w:eastAsia="zh-CN"/>
        </w:rPr>
        <w:t>1111.83</w:t>
      </w:r>
      <w:r>
        <w:rPr>
          <w:rFonts w:hint="eastAsia" w:ascii="仿宋" w:hAnsi="仿宋" w:eastAsia="仿宋" w:cs="仿宋"/>
          <w:sz w:val="32"/>
        </w:rPr>
        <w:t>万元，其中：一般公共预算收入</w:t>
      </w:r>
      <w:r>
        <w:rPr>
          <w:rFonts w:hint="eastAsia" w:ascii="仿宋" w:hAnsi="仿宋" w:eastAsia="仿宋" w:cs="仿宋"/>
          <w:sz w:val="32"/>
          <w:lang w:val="en-US" w:eastAsia="zh-CN"/>
        </w:rPr>
        <w:t>1111.83</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防胡镇初级中学</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年支出合计</w:t>
      </w:r>
      <w:r>
        <w:rPr>
          <w:rFonts w:hint="eastAsia" w:ascii="仿宋" w:hAnsi="仿宋" w:eastAsia="仿宋" w:cs="仿宋"/>
          <w:sz w:val="32"/>
          <w:lang w:val="en-US" w:eastAsia="zh-CN"/>
        </w:rPr>
        <w:t>1111.83</w:t>
      </w:r>
      <w:r>
        <w:rPr>
          <w:rFonts w:hint="eastAsia" w:ascii="仿宋" w:hAnsi="仿宋" w:eastAsia="仿宋" w:cs="仿宋"/>
          <w:sz w:val="32"/>
        </w:rPr>
        <w:t>万元，其中：基本支出</w:t>
      </w:r>
      <w:r>
        <w:rPr>
          <w:rFonts w:hint="eastAsia" w:ascii="仿宋" w:hAnsi="仿宋" w:eastAsia="仿宋" w:cs="仿宋"/>
          <w:sz w:val="32"/>
          <w:lang w:val="en-US" w:eastAsia="zh-CN"/>
        </w:rPr>
        <w:t>991.23</w:t>
      </w:r>
      <w:r>
        <w:rPr>
          <w:rFonts w:hint="eastAsia" w:ascii="仿宋" w:hAnsi="仿宋" w:eastAsia="仿宋" w:cs="仿宋"/>
          <w:sz w:val="32"/>
        </w:rPr>
        <w:t>万元，占</w:t>
      </w:r>
      <w:r>
        <w:rPr>
          <w:rFonts w:hint="eastAsia" w:ascii="仿宋" w:hAnsi="仿宋" w:eastAsia="仿宋" w:cs="仿宋"/>
          <w:sz w:val="32"/>
          <w:lang w:val="en-US" w:eastAsia="zh-CN"/>
        </w:rPr>
        <w:t>89.15</w:t>
      </w:r>
      <w:r>
        <w:rPr>
          <w:rFonts w:hint="eastAsia" w:ascii="仿宋" w:hAnsi="仿宋" w:eastAsia="仿宋" w:cs="仿宋"/>
          <w:sz w:val="32"/>
        </w:rPr>
        <w:t>%；项目支出</w:t>
      </w:r>
      <w:r>
        <w:rPr>
          <w:rFonts w:hint="eastAsia" w:ascii="仿宋" w:hAnsi="仿宋" w:eastAsia="仿宋" w:cs="仿宋"/>
          <w:sz w:val="32"/>
          <w:lang w:val="en-US" w:eastAsia="zh-CN"/>
        </w:rPr>
        <w:t>120.60</w:t>
      </w:r>
      <w:r>
        <w:rPr>
          <w:rFonts w:hint="eastAsia" w:ascii="仿宋" w:hAnsi="仿宋" w:eastAsia="仿宋" w:cs="仿宋"/>
          <w:sz w:val="32"/>
        </w:rPr>
        <w:t>万元，占</w:t>
      </w:r>
      <w:r>
        <w:rPr>
          <w:rFonts w:hint="eastAsia" w:ascii="仿宋" w:hAnsi="仿宋" w:eastAsia="仿宋" w:cs="仿宋"/>
          <w:sz w:val="32"/>
          <w:lang w:val="en-US" w:eastAsia="zh-CN"/>
        </w:rPr>
        <w:t>10.85</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hint="default" w:ascii="仿宋" w:hAnsi="仿宋" w:eastAsia="仿宋" w:cs="仿宋"/>
          <w:sz w:val="32"/>
          <w:lang w:val="en-US"/>
        </w:rPr>
      </w:pPr>
      <w:r>
        <w:rPr>
          <w:rFonts w:hint="eastAsia" w:ascii="仿宋" w:hAnsi="仿宋" w:eastAsia="仿宋" w:cs="仿宋"/>
          <w:sz w:val="32"/>
        </w:rPr>
        <w:t>淮滨县</w:t>
      </w:r>
      <w:r>
        <w:rPr>
          <w:rFonts w:hint="eastAsia" w:ascii="仿宋" w:hAnsi="仿宋" w:eastAsia="仿宋" w:cs="仿宋"/>
          <w:sz w:val="32"/>
          <w:lang w:val="en-US" w:eastAsia="zh-CN"/>
        </w:rPr>
        <w:t>防胡镇初级中学</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年一般公共预算收支预算</w:t>
      </w:r>
      <w:r>
        <w:rPr>
          <w:rFonts w:hint="eastAsia" w:ascii="仿宋" w:hAnsi="仿宋" w:eastAsia="仿宋" w:cs="仿宋"/>
          <w:sz w:val="32"/>
          <w:lang w:val="en-US" w:eastAsia="zh-CN"/>
        </w:rPr>
        <w:t>1111.83</w:t>
      </w:r>
      <w:r>
        <w:rPr>
          <w:rFonts w:hint="eastAsia" w:ascii="仿宋" w:hAnsi="仿宋" w:eastAsia="仿宋" w:cs="仿宋"/>
          <w:sz w:val="32"/>
        </w:rPr>
        <w:t>万元，无政府性基金预算和国有资本经营预算。与202</w:t>
      </w:r>
      <w:r>
        <w:rPr>
          <w:rFonts w:hint="eastAsia" w:ascii="仿宋" w:hAnsi="仿宋" w:eastAsia="仿宋" w:cs="仿宋"/>
          <w:sz w:val="32"/>
          <w:lang w:val="en-US" w:eastAsia="zh-CN"/>
        </w:rPr>
        <w:t>2</w:t>
      </w:r>
      <w:r>
        <w:rPr>
          <w:rFonts w:hint="eastAsia" w:ascii="仿宋" w:hAnsi="仿宋" w:eastAsia="仿宋" w:cs="仿宋"/>
          <w:sz w:val="32"/>
        </w:rPr>
        <w:t>年相比，一般公共预算收支预算增加</w:t>
      </w:r>
      <w:r>
        <w:rPr>
          <w:rFonts w:hint="eastAsia" w:ascii="仿宋" w:hAnsi="仿宋" w:eastAsia="仿宋" w:cs="仿宋"/>
          <w:sz w:val="32"/>
          <w:lang w:val="en-US" w:eastAsia="zh-CN"/>
        </w:rPr>
        <w:t>71.90</w:t>
      </w:r>
      <w:r>
        <w:rPr>
          <w:rFonts w:hint="eastAsia" w:ascii="仿宋" w:hAnsi="仿宋" w:eastAsia="仿宋" w:cs="仿宋"/>
          <w:sz w:val="32"/>
        </w:rPr>
        <w:t>万元，增长</w:t>
      </w:r>
      <w:r>
        <w:rPr>
          <w:rFonts w:hint="eastAsia" w:ascii="仿宋" w:hAnsi="仿宋" w:eastAsia="仿宋" w:cs="仿宋"/>
          <w:sz w:val="32"/>
          <w:lang w:val="en-US" w:eastAsia="zh-CN"/>
        </w:rPr>
        <w:t>6.91</w:t>
      </w:r>
      <w:r>
        <w:rPr>
          <w:rFonts w:hint="eastAsia" w:ascii="仿宋" w:hAnsi="仿宋" w:eastAsia="仿宋" w:cs="仿宋"/>
          <w:sz w:val="32"/>
        </w:rPr>
        <w:t>%，主要原因</w:t>
      </w:r>
      <w:r>
        <w:rPr>
          <w:rFonts w:hint="eastAsia" w:ascii="仿宋" w:hAnsi="仿宋" w:eastAsia="仿宋" w:cs="仿宋"/>
          <w:sz w:val="32"/>
          <w:lang w:eastAsia="zh-CN"/>
        </w:rPr>
        <w:t>：</w:t>
      </w:r>
      <w:r>
        <w:rPr>
          <w:rFonts w:hint="eastAsia" w:ascii="仿宋" w:hAnsi="仿宋" w:eastAsia="仿宋" w:cs="仿宋"/>
          <w:sz w:val="32"/>
          <w:lang w:val="en-US" w:eastAsia="zh-CN"/>
        </w:rPr>
        <w:t>一</w:t>
      </w:r>
      <w:r>
        <w:rPr>
          <w:rFonts w:hint="eastAsia" w:ascii="仿宋" w:hAnsi="仿宋" w:eastAsia="仿宋" w:cs="仿宋"/>
          <w:sz w:val="32"/>
          <w:szCs w:val="32"/>
          <w:lang w:val="en-US" w:eastAsia="zh-CN"/>
        </w:rPr>
        <w:t>是我校新增编制4人，基本支出较上年增加15.04万元；二是教师的正常晋升和职称变动增加56.86万元。</w:t>
      </w: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政府性基金收支预算为0，与2022年预算持平，无增减变动，主要原因是我单位为公共服务性质的事业单位，无此项预算安排。</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国有资本经营预算拨款收支预算为0，与2022年预算持平，无增减变动，主要原因是我单位为公共服务性质的事业单位，无此项预算安排。</w:t>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hint="eastAsia"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防胡镇初级中学</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1111.83</w:t>
      </w:r>
      <w:r>
        <w:rPr>
          <w:rFonts w:hint="eastAsia" w:ascii="仿宋" w:hAnsi="仿宋" w:eastAsia="仿宋" w:cs="仿宋"/>
          <w:sz w:val="32"/>
        </w:rPr>
        <w:t>万元。其中：基本支出</w:t>
      </w:r>
      <w:r>
        <w:rPr>
          <w:rFonts w:hint="eastAsia" w:ascii="仿宋" w:hAnsi="仿宋" w:eastAsia="仿宋" w:cs="仿宋"/>
          <w:sz w:val="32"/>
          <w:lang w:val="en-US" w:eastAsia="zh-CN"/>
        </w:rPr>
        <w:t>991.23</w:t>
      </w:r>
      <w:r>
        <w:rPr>
          <w:rFonts w:hint="eastAsia" w:ascii="仿宋" w:hAnsi="仿宋" w:eastAsia="仿宋" w:cs="仿宋"/>
          <w:sz w:val="32"/>
        </w:rPr>
        <w:t>万元，占</w:t>
      </w:r>
      <w:r>
        <w:rPr>
          <w:rFonts w:hint="eastAsia" w:ascii="仿宋" w:hAnsi="仿宋" w:eastAsia="仿宋" w:cs="仿宋"/>
          <w:sz w:val="32"/>
          <w:lang w:val="en-US" w:eastAsia="zh-CN"/>
        </w:rPr>
        <w:t>89.15</w:t>
      </w:r>
      <w:r>
        <w:rPr>
          <w:rFonts w:hint="eastAsia" w:ascii="仿宋" w:hAnsi="仿宋" w:eastAsia="仿宋" w:cs="仿宋"/>
          <w:sz w:val="32"/>
        </w:rPr>
        <w:t>%;项目支出</w:t>
      </w:r>
      <w:r>
        <w:rPr>
          <w:rFonts w:hint="eastAsia" w:ascii="仿宋" w:hAnsi="仿宋" w:eastAsia="仿宋" w:cs="仿宋"/>
          <w:sz w:val="32"/>
          <w:lang w:val="en-US" w:eastAsia="zh-CN"/>
        </w:rPr>
        <w:t>120.6</w:t>
      </w:r>
      <w:r>
        <w:rPr>
          <w:rFonts w:hint="eastAsia" w:ascii="仿宋" w:hAnsi="仿宋" w:eastAsia="仿宋" w:cs="仿宋"/>
          <w:sz w:val="32"/>
        </w:rPr>
        <w:t>万元，占</w:t>
      </w:r>
      <w:r>
        <w:rPr>
          <w:rFonts w:hint="eastAsia" w:ascii="仿宋" w:hAnsi="仿宋" w:eastAsia="仿宋" w:cs="仿宋"/>
          <w:sz w:val="32"/>
          <w:lang w:val="en-US" w:eastAsia="zh-CN"/>
        </w:rPr>
        <w:t>10.85</w:t>
      </w:r>
      <w:r>
        <w:rPr>
          <w:rFonts w:hint="eastAsia" w:ascii="仿宋" w:hAnsi="仿宋" w:eastAsia="仿宋" w:cs="仿宋"/>
          <w:sz w:val="32"/>
        </w:rPr>
        <w:t>%。</w:t>
      </w: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left"/>
        <w:rPr>
          <w:rFonts w:hint="eastAsia" w:ascii="仿宋" w:hAnsi="仿宋" w:eastAsia="仿宋" w:cs="仿宋"/>
          <w:sz w:val="32"/>
          <w:szCs w:val="32"/>
        </w:rPr>
      </w:pP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color w:val="000000"/>
          <w:sz w:val="32"/>
          <w:szCs w:val="32"/>
          <w:lang w:val="en-US" w:eastAsia="zh-CN"/>
        </w:rPr>
        <w:t>防胡镇初级中学</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991.23</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964.79</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97.33</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26.44</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2.67</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7"/>
        <w:widowControl/>
        <w:spacing w:beforeAutospacing="0" w:afterAutospacing="0" w:line="600" w:lineRule="atLeast"/>
        <w:ind w:firstLine="630"/>
        <w:jc w:val="both"/>
        <w:rPr>
          <w:rFonts w:hint="eastAsia"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防胡镇初级中学</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率为0</w:t>
      </w:r>
      <w:r>
        <w:rPr>
          <w:rFonts w:hint="eastAsia" w:ascii="仿宋" w:hAnsi="仿宋" w:eastAsia="仿宋" w:cs="仿宋"/>
          <w:sz w:val="32"/>
          <w:szCs w:val="32"/>
        </w:rPr>
        <w:t>。</w:t>
      </w:r>
    </w:p>
    <w:p>
      <w:pPr>
        <w:pStyle w:val="7"/>
        <w:widowControl/>
        <w:spacing w:beforeAutospacing="0" w:afterAutospacing="0" w:line="600" w:lineRule="atLeast"/>
        <w:ind w:firstLine="63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具体情况如下：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万元。主要用于按规定开支的各类公务接待支出。预算数比</w:t>
      </w:r>
      <w:r>
        <w:rPr>
          <w:rFonts w:hint="eastAsia" w:ascii="仿宋" w:hAnsi="仿宋" w:eastAsia="仿宋" w:cs="仿宋"/>
          <w:sz w:val="32"/>
          <w:szCs w:val="32"/>
          <w:lang w:eastAsia="zh-CN"/>
        </w:rPr>
        <w:t>2022年</w:t>
      </w:r>
      <w:r>
        <w:rPr>
          <w:rFonts w:hint="eastAsia" w:ascii="仿宋" w:hAnsi="仿宋" w:eastAsia="仿宋" w:cs="仿宋"/>
          <w:sz w:val="32"/>
          <w:szCs w:val="32"/>
        </w:rPr>
        <w:t>增加</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主要原因是我单位为公共服务性质的事业单位，无此项预算安排。</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万元。预算数比</w:t>
      </w:r>
      <w:r>
        <w:rPr>
          <w:rFonts w:hint="eastAsia" w:ascii="仿宋" w:hAnsi="仿宋" w:eastAsia="仿宋" w:cs="仿宋"/>
          <w:sz w:val="32"/>
          <w:szCs w:val="32"/>
          <w:lang w:eastAsia="zh-CN"/>
        </w:rPr>
        <w:t>2022年</w:t>
      </w:r>
      <w:r>
        <w:rPr>
          <w:rFonts w:hint="eastAsia" w:ascii="仿宋" w:hAnsi="仿宋" w:eastAsia="仿宋" w:cs="仿宋"/>
          <w:sz w:val="32"/>
          <w:szCs w:val="32"/>
        </w:rPr>
        <w:t>增加</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主要原因是我单位为公共服务性质的事业单位，无此项预算安排。</w:t>
      </w:r>
      <w:bookmarkStart w:id="0" w:name="_GoBack"/>
      <w:bookmarkEnd w:id="0"/>
    </w:p>
    <w:p>
      <w:pPr>
        <w:pStyle w:val="7"/>
        <w:widowControl/>
        <w:spacing w:beforeAutospacing="0" w:afterAutospacing="0" w:line="600" w:lineRule="atLeast"/>
        <w:ind w:firstLine="630"/>
        <w:jc w:val="both"/>
        <w:rPr>
          <w:rFonts w:hint="default" w:ascii="仿宋" w:hAnsi="仿宋" w:eastAsia="仿宋" w:cs="仿宋"/>
          <w:sz w:val="32"/>
          <w:szCs w:val="32"/>
          <w:lang w:val="en-US" w:eastAsia="zh-CN"/>
        </w:rPr>
      </w:pP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left"/>
        <w:rPr>
          <w:rFonts w:hint="eastAsia" w:ascii="仿宋" w:hAnsi="仿宋" w:eastAsia="仿宋" w:cs="仿宋"/>
          <w:sz w:val="32"/>
          <w:szCs w:val="32"/>
        </w:rPr>
      </w:pP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我单位202</w:t>
      </w:r>
      <w:r>
        <w:rPr>
          <w:rFonts w:hint="eastAsia" w:ascii="仿宋" w:hAnsi="仿宋" w:eastAsia="仿宋" w:cs="仿宋"/>
          <w:sz w:val="32"/>
          <w:lang w:val="en-US" w:eastAsia="zh-CN"/>
        </w:rPr>
        <w:t>3</w:t>
      </w:r>
      <w:r>
        <w:rPr>
          <w:rFonts w:hint="eastAsia" w:ascii="仿宋" w:hAnsi="仿宋" w:eastAsia="仿宋" w:cs="仿宋"/>
          <w:sz w:val="32"/>
        </w:rPr>
        <w:t>年无使用政府性基金预算拨款安排的支出。</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我单位202</w:t>
      </w:r>
      <w:r>
        <w:rPr>
          <w:rFonts w:hint="eastAsia" w:ascii="仿宋" w:hAnsi="仿宋" w:eastAsia="仿宋" w:cs="仿宋"/>
          <w:sz w:val="32"/>
          <w:lang w:val="en-US" w:eastAsia="zh-CN"/>
        </w:rPr>
        <w:t>3</w:t>
      </w:r>
      <w:r>
        <w:rPr>
          <w:rFonts w:hint="eastAsia" w:ascii="仿宋" w:hAnsi="仿宋" w:eastAsia="仿宋" w:cs="仿宋"/>
          <w:sz w:val="32"/>
        </w:rPr>
        <w:t>年</w:t>
      </w:r>
      <w:r>
        <w:rPr>
          <w:rFonts w:hint="eastAsia" w:ascii="仿宋" w:hAnsi="仿宋" w:eastAsia="仿宋" w:cs="仿宋"/>
          <w:sz w:val="32"/>
          <w:lang w:val="en-US" w:eastAsia="zh-CN"/>
        </w:rPr>
        <w:t>其他运转类</w:t>
      </w:r>
      <w:r>
        <w:rPr>
          <w:rFonts w:hint="eastAsia" w:ascii="仿宋" w:hAnsi="仿宋" w:eastAsia="仿宋" w:cs="仿宋"/>
          <w:sz w:val="32"/>
        </w:rPr>
        <w:t>经费支出预算</w:t>
      </w:r>
      <w:r>
        <w:rPr>
          <w:rFonts w:hint="eastAsia" w:ascii="仿宋" w:hAnsi="仿宋" w:eastAsia="仿宋" w:cs="仿宋"/>
          <w:sz w:val="32"/>
          <w:lang w:val="en-US" w:eastAsia="zh-CN"/>
        </w:rPr>
        <w:t>120.6</w:t>
      </w:r>
      <w:r>
        <w:rPr>
          <w:rFonts w:hint="eastAsia" w:ascii="仿宋" w:hAnsi="仿宋" w:eastAsia="仿宋" w:cs="仿宋"/>
          <w:sz w:val="32"/>
        </w:rPr>
        <w:t>万元，主要保障</w:t>
      </w:r>
      <w:r>
        <w:rPr>
          <w:rFonts w:hint="eastAsia" w:ascii="仿宋" w:hAnsi="仿宋" w:eastAsia="仿宋" w:cs="仿宋"/>
          <w:sz w:val="32"/>
          <w:lang w:val="en-US" w:eastAsia="zh-CN"/>
        </w:rPr>
        <w:t>单位</w:t>
      </w:r>
      <w:r>
        <w:rPr>
          <w:rFonts w:hint="eastAsia" w:ascii="仿宋" w:hAnsi="仿宋" w:eastAsia="仿宋" w:cs="仿宋"/>
          <w:sz w:val="32"/>
        </w:rPr>
        <w:t>运转及正常履职需要，用于购买货物和服务的支出。包括办公及印刷费、差旅费、福利费、日常维修费及水电费、办公用房取暖费、</w:t>
      </w:r>
      <w:r>
        <w:rPr>
          <w:rFonts w:hint="eastAsia" w:ascii="仿宋" w:hAnsi="仿宋" w:eastAsia="仿宋" w:cs="仿宋"/>
          <w:sz w:val="32"/>
          <w:lang w:val="en-US" w:eastAsia="zh-CN"/>
        </w:rPr>
        <w:t>专用材料费</w:t>
      </w:r>
      <w:r>
        <w:rPr>
          <w:rFonts w:hint="eastAsia" w:ascii="仿宋" w:hAnsi="仿宋" w:eastAsia="仿宋" w:cs="仿宋"/>
          <w:sz w:val="32"/>
        </w:rPr>
        <w:t>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我单位202</w:t>
      </w:r>
      <w:r>
        <w:rPr>
          <w:rFonts w:hint="eastAsia" w:ascii="仿宋" w:hAnsi="仿宋" w:eastAsia="仿宋" w:cs="仿宋"/>
          <w:sz w:val="32"/>
          <w:lang w:val="en-US" w:eastAsia="zh-CN"/>
        </w:rPr>
        <w:t>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left="-643" w:leftChars="0" w:firstLine="643" w:firstLineChars="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ascii="仿宋" w:hAnsi="仿宋" w:eastAsia="仿宋" w:cs="仿宋"/>
          <w:sz w:val="32"/>
        </w:rPr>
      </w:pPr>
      <w:r>
        <w:rPr>
          <w:rFonts w:hint="eastAsia" w:ascii="仿宋" w:hAnsi="仿宋" w:eastAsia="仿宋" w:cs="仿宋"/>
          <w:sz w:val="32"/>
        </w:rPr>
        <w:t>我单位202</w:t>
      </w:r>
      <w:r>
        <w:rPr>
          <w:rFonts w:hint="eastAsia" w:ascii="仿宋" w:hAnsi="仿宋" w:eastAsia="仿宋" w:cs="仿宋"/>
          <w:sz w:val="32"/>
          <w:lang w:val="en-US" w:eastAsia="zh-CN"/>
        </w:rPr>
        <w:t>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hint="eastAsia" w:ascii="黑体" w:hAnsi="黑体" w:eastAsia="黑体"/>
          <w:b/>
          <w:bCs/>
          <w:sz w:val="36"/>
          <w:szCs w:val="36"/>
        </w:rPr>
      </w:pPr>
    </w:p>
    <w:p>
      <w:pPr>
        <w:ind w:firstLine="3253" w:firstLineChars="900"/>
        <w:jc w:val="left"/>
        <w:rPr>
          <w:rFonts w:ascii="黑体" w:hAnsi="黑体" w:eastAsia="黑体"/>
          <w:b/>
          <w:bCs/>
          <w:sz w:val="36"/>
          <w:szCs w:val="36"/>
        </w:rPr>
      </w:pPr>
      <w:r>
        <w:rPr>
          <w:rFonts w:hint="eastAsia" w:ascii="黑体" w:hAnsi="黑体" w:eastAsia="黑体"/>
          <w:b/>
          <w:bCs/>
          <w:sz w:val="36"/>
          <w:szCs w:val="36"/>
        </w:rPr>
        <w:t>第三部分</w:t>
      </w:r>
    </w:p>
    <w:p>
      <w:pPr>
        <w:ind w:firstLine="3253" w:firstLineChars="900"/>
        <w:jc w:val="left"/>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机关运行经费：是指为保障行政单位（含参照公务员法管理的事业单位）运行用于购买货物和服务的各项资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jc w:val="left"/>
        <w:rPr>
          <w:rFonts w:hint="eastAsia" w:ascii="黑体" w:hAnsi="黑体" w:eastAsia="黑体" w:cs="黑体"/>
          <w:sz w:val="32"/>
        </w:rPr>
      </w:pPr>
    </w:p>
    <w:p>
      <w:pPr>
        <w:tabs>
          <w:tab w:val="left" w:pos="7506"/>
        </w:tabs>
        <w:ind w:firstLine="1600" w:firstLineChars="500"/>
        <w:jc w:val="left"/>
        <w:rPr>
          <w:rFonts w:hint="eastAsia" w:eastAsiaTheme="minorEastAsia"/>
          <w:lang w:eastAsia="zh-CN"/>
        </w:rPr>
      </w:pPr>
      <w:r>
        <w:rPr>
          <w:rFonts w:hint="eastAsia" w:ascii="黑体" w:hAnsi="黑体" w:eastAsia="黑体" w:cs="黑体"/>
          <w:sz w:val="32"/>
        </w:rPr>
        <w:t>附件：淮滨</w:t>
      </w:r>
      <w:r>
        <w:rPr>
          <w:rFonts w:hint="eastAsia" w:ascii="黑体" w:hAnsi="黑体" w:eastAsia="黑体" w:cs="黑体"/>
          <w:sz w:val="32"/>
          <w:lang w:val="en-US" w:eastAsia="zh-CN"/>
        </w:rPr>
        <w:t>县防胡镇初级中学</w:t>
      </w:r>
      <w:r>
        <w:rPr>
          <w:rFonts w:hint="eastAsia" w:ascii="黑体" w:hAnsi="黑体" w:eastAsia="黑体" w:cs="黑体"/>
          <w:sz w:val="32"/>
        </w:rPr>
        <w:t>202</w:t>
      </w:r>
      <w:r>
        <w:rPr>
          <w:rFonts w:hint="eastAsia" w:ascii="黑体" w:hAnsi="黑体" w:eastAsia="黑体" w:cs="黑体"/>
          <w:sz w:val="32"/>
          <w:lang w:val="en-US" w:eastAsia="zh-CN"/>
        </w:rPr>
        <w:t>3</w:t>
      </w:r>
      <w:r>
        <w:rPr>
          <w:rFonts w:hint="eastAsia" w:ascii="黑体" w:hAnsi="黑体" w:eastAsia="黑体" w:cs="黑体"/>
          <w:sz w:val="32"/>
        </w:rPr>
        <w:t>年部门预算表</w:t>
      </w:r>
    </w:p>
    <w:p>
      <w:pPr>
        <w:rPr>
          <w:rFonts w:hint="eastAsia" w:eastAsiaTheme="minorEastAsia"/>
          <w:lang w:eastAsia="zh-CN"/>
        </w:rPr>
      </w:pPr>
    </w:p>
    <w:sectPr>
      <w:footerReference r:id="rId3" w:type="default"/>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pPr>
        <w:ind w:left="290"/>
      </w:pPr>
      <w:rPr>
        <w:rFonts w:hint="eastAsia" w:ascii="黑体" w:hAnsi="黑体" w:eastAsia="黑体" w:cs="黑体"/>
        <w:b/>
        <w:bCs/>
      </w:rPr>
    </w:lvl>
  </w:abstractNum>
  <w:abstractNum w:abstractNumId="6">
    <w:nsid w:val="73A1052D"/>
    <w:multiLevelType w:val="singleLevel"/>
    <w:tmpl w:val="73A1052D"/>
    <w:lvl w:ilvl="0" w:tentative="0">
      <w:start w:val="3"/>
      <w:numFmt w:val="chineseCounting"/>
      <w:suff w:val="nothing"/>
      <w:lvlText w:val="（%1）"/>
      <w:lvlJc w:val="left"/>
      <w:pPr>
        <w:ind w:left="-643"/>
      </w:pPr>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5Zjk4NThiODNhNzY5ZGFlMjY0ZTcwNjJmYzhiMzIifQ=="/>
  </w:docVars>
  <w:rsids>
    <w:rsidRoot w:val="00172A27"/>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D23F78"/>
    <w:rsid w:val="037B79F7"/>
    <w:rsid w:val="041D2A27"/>
    <w:rsid w:val="05377B18"/>
    <w:rsid w:val="06440A7A"/>
    <w:rsid w:val="071D4AEC"/>
    <w:rsid w:val="084542FA"/>
    <w:rsid w:val="0A6251B2"/>
    <w:rsid w:val="0D0F4ED6"/>
    <w:rsid w:val="0D513137"/>
    <w:rsid w:val="10093131"/>
    <w:rsid w:val="10602789"/>
    <w:rsid w:val="123258EF"/>
    <w:rsid w:val="12EF1A32"/>
    <w:rsid w:val="144A1E7D"/>
    <w:rsid w:val="14E65C69"/>
    <w:rsid w:val="15F07B94"/>
    <w:rsid w:val="173B6758"/>
    <w:rsid w:val="191C5F4B"/>
    <w:rsid w:val="1B351FAC"/>
    <w:rsid w:val="1CA53161"/>
    <w:rsid w:val="1D0460DA"/>
    <w:rsid w:val="1D2E3157"/>
    <w:rsid w:val="1D963864"/>
    <w:rsid w:val="1F046865"/>
    <w:rsid w:val="1FE67D19"/>
    <w:rsid w:val="221467F9"/>
    <w:rsid w:val="228003BD"/>
    <w:rsid w:val="228C104B"/>
    <w:rsid w:val="246B28E3"/>
    <w:rsid w:val="24DA1A42"/>
    <w:rsid w:val="25306E95"/>
    <w:rsid w:val="274F7F6E"/>
    <w:rsid w:val="279A1B15"/>
    <w:rsid w:val="27A42993"/>
    <w:rsid w:val="28196722"/>
    <w:rsid w:val="28447CD2"/>
    <w:rsid w:val="2AA67AA4"/>
    <w:rsid w:val="2AA8279A"/>
    <w:rsid w:val="2ACE5F14"/>
    <w:rsid w:val="2C081B10"/>
    <w:rsid w:val="2D1116EB"/>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C1F6635"/>
    <w:rsid w:val="3E5A6C85"/>
    <w:rsid w:val="3F2E1FD7"/>
    <w:rsid w:val="405E7311"/>
    <w:rsid w:val="419D0727"/>
    <w:rsid w:val="41FF59D4"/>
    <w:rsid w:val="43572B58"/>
    <w:rsid w:val="45554E75"/>
    <w:rsid w:val="456A4DC4"/>
    <w:rsid w:val="469D4D26"/>
    <w:rsid w:val="46D01A4F"/>
    <w:rsid w:val="483D40CA"/>
    <w:rsid w:val="48487B8B"/>
    <w:rsid w:val="4B86222C"/>
    <w:rsid w:val="4BBC3BEF"/>
    <w:rsid w:val="4C103372"/>
    <w:rsid w:val="4CC72AFC"/>
    <w:rsid w:val="4E10402F"/>
    <w:rsid w:val="519E1D35"/>
    <w:rsid w:val="52322C8C"/>
    <w:rsid w:val="56CE6835"/>
    <w:rsid w:val="56E7105D"/>
    <w:rsid w:val="58860D9C"/>
    <w:rsid w:val="5DEB7B49"/>
    <w:rsid w:val="619F159C"/>
    <w:rsid w:val="61F061FA"/>
    <w:rsid w:val="62A94392"/>
    <w:rsid w:val="63514A76"/>
    <w:rsid w:val="647F6552"/>
    <w:rsid w:val="64BB489D"/>
    <w:rsid w:val="65921CF6"/>
    <w:rsid w:val="65DB5214"/>
    <w:rsid w:val="66772678"/>
    <w:rsid w:val="66A82BFF"/>
    <w:rsid w:val="67AE693B"/>
    <w:rsid w:val="67F105D6"/>
    <w:rsid w:val="69F65D89"/>
    <w:rsid w:val="6AAD2EDA"/>
    <w:rsid w:val="6C715A72"/>
    <w:rsid w:val="6EEF1D13"/>
    <w:rsid w:val="71BD526D"/>
    <w:rsid w:val="74057F8B"/>
    <w:rsid w:val="746F63D8"/>
    <w:rsid w:val="747B790C"/>
    <w:rsid w:val="75034CD6"/>
    <w:rsid w:val="75755490"/>
    <w:rsid w:val="75A37A3E"/>
    <w:rsid w:val="75E31EA6"/>
    <w:rsid w:val="768A2321"/>
    <w:rsid w:val="76D0242A"/>
    <w:rsid w:val="791401EC"/>
    <w:rsid w:val="792702FB"/>
    <w:rsid w:val="7B6C0247"/>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4"/>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批注文字 字符"/>
    <w:basedOn w:val="11"/>
    <w:link w:val="2"/>
    <w:qFormat/>
    <w:uiPriority w:val="0"/>
    <w:rPr>
      <w:rFonts w:asciiTheme="minorHAnsi" w:hAnsiTheme="minorHAnsi" w:eastAsiaTheme="minorEastAsia" w:cstheme="minorBidi"/>
      <w:kern w:val="2"/>
      <w:sz w:val="21"/>
      <w:szCs w:val="24"/>
    </w:rPr>
  </w:style>
  <w:style w:type="character" w:customStyle="1" w:styleId="14">
    <w:name w:val="批注主题 字符"/>
    <w:basedOn w:val="13"/>
    <w:link w:val="8"/>
    <w:qFormat/>
    <w:uiPriority w:val="0"/>
    <w:rPr>
      <w:rFonts w:asciiTheme="minorHAnsi" w:hAnsiTheme="minorHAnsi" w:eastAsiaTheme="minorEastAsia" w:cstheme="minorBidi"/>
      <w:b/>
      <w:bCs/>
      <w:kern w:val="2"/>
      <w:sz w:val="21"/>
      <w:szCs w:val="24"/>
    </w:rPr>
  </w:style>
  <w:style w:type="character" w:customStyle="1" w:styleId="15">
    <w:name w:val="批注框文本 字符"/>
    <w:basedOn w:val="11"/>
    <w:link w:val="4"/>
    <w:qFormat/>
    <w:uiPriority w:val="0"/>
    <w:rPr>
      <w:rFonts w:asciiTheme="minorHAnsi" w:hAnsiTheme="minorHAnsi" w:eastAsiaTheme="minorEastAsia" w:cstheme="minorBidi"/>
      <w:kern w:val="2"/>
      <w:sz w:val="18"/>
      <w:szCs w:val="18"/>
    </w:rPr>
  </w:style>
  <w:style w:type="character" w:customStyle="1" w:styleId="16">
    <w:name w:val="font31"/>
    <w:basedOn w:val="11"/>
    <w:qFormat/>
    <w:uiPriority w:val="0"/>
    <w:rPr>
      <w:rFonts w:hint="default" w:ascii="Calibri" w:hAnsi="Calibri" w:cs="Calibri"/>
      <w:color w:val="000000"/>
      <w:sz w:val="20"/>
      <w:szCs w:val="20"/>
      <w:u w:val="none"/>
    </w:rPr>
  </w:style>
  <w:style w:type="character" w:customStyle="1" w:styleId="17">
    <w:name w:val="font9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1039.93</c:v>
                </c:pt>
                <c:pt idx="1">
                  <c:v>1111.83</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1039.93</c:v>
                </c:pt>
                <c:pt idx="1">
                  <c:v>1111.83</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manualLayout>
          <c:layoutTarget val="inner"/>
          <c:xMode val="edge"/>
          <c:yMode val="edge"/>
          <c:x val="0.270616113744076"/>
          <c:y val="0.151778496362167"/>
          <c:w val="0.699585308056872"/>
          <c:h val="0.739692805173808"/>
        </c:manualLayout>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1111.83</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991.23</c:v>
                </c:pt>
                <c:pt idx="1">
                  <c:v>120.6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1039.93</c:v>
                </c:pt>
                <c:pt idx="1">
                  <c:v>1111.83</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1039.93</c:v>
                </c:pt>
                <c:pt idx="1">
                  <c:v>1111.83</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991.23</c:v>
                </c:pt>
                <c:pt idx="1">
                  <c:v>120.6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866.4</c:v>
                </c:pt>
                <c:pt idx="1">
                  <c:v>23.53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2546</Words>
  <Characters>2795</Characters>
  <Lines>20</Lines>
  <Paragraphs>5</Paragraphs>
  <TotalTime>1</TotalTime>
  <ScaleCrop>false</ScaleCrop>
  <LinksUpToDate>false</LinksUpToDate>
  <CharactersWithSpaces>2826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2023-03-10T03:34:11Z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