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rPr>
        <w:t>2023年淮滨县王家岗乡第一初级中学部门预算说明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淮滨县王家岗乡第一初级中学</w:t>
      </w:r>
      <w:r>
        <w:rPr>
          <w:rFonts w:hint="eastAsia" w:ascii="黑体" w:hAnsi="黑体" w:eastAsia="黑体" w:cs="黑体"/>
          <w:sz w:val="32"/>
          <w:szCs w:val="32"/>
        </w:rPr>
        <w:t>概况</w:t>
      </w:r>
    </w:p>
    <w:p>
      <w:pPr>
        <w:kinsoku w:val="0"/>
        <w:overflowPunct w:val="0"/>
        <w:autoSpaceDE w:val="0"/>
        <w:autoSpaceDN w:val="0"/>
        <w:adjustRightInd w:val="0"/>
        <w:spacing w:line="560" w:lineRule="exact"/>
        <w:ind w:firstLine="320" w:firstLineChars="100"/>
        <w:rPr>
          <w:rFonts w:hint="eastAsia" w:ascii="仿宋" w:hAnsi="仿宋" w:eastAsia="仿宋" w:cs="Times New Roman"/>
          <w:w w:val="99"/>
          <w:sz w:val="32"/>
          <w:szCs w:val="32"/>
        </w:rPr>
      </w:pPr>
      <w:r>
        <w:rPr>
          <w:rFonts w:hint="eastAsia" w:ascii="仿宋" w:hAnsi="仿宋" w:eastAsia="仿宋" w:cs="Times New Roman"/>
          <w:sz w:val="32"/>
          <w:szCs w:val="32"/>
        </w:rPr>
        <w:t>一、主要职责</w:t>
      </w:r>
      <w:r>
        <w:rPr>
          <w:rFonts w:hint="eastAsia" w:ascii="仿宋" w:hAnsi="仿宋" w:eastAsia="仿宋" w:cs="Times New Roman"/>
          <w:w w:val="99"/>
          <w:sz w:val="32"/>
          <w:szCs w:val="32"/>
        </w:rPr>
        <w:t xml:space="preserve"> </w:t>
      </w:r>
    </w:p>
    <w:p>
      <w:pPr>
        <w:kinsoku w:val="0"/>
        <w:overflowPunct w:val="0"/>
        <w:autoSpaceDE w:val="0"/>
        <w:autoSpaceDN w:val="0"/>
        <w:adjustRightInd w:val="0"/>
        <w:spacing w:line="560" w:lineRule="exact"/>
        <w:ind w:firstLine="316" w:firstLineChars="100"/>
        <w:rPr>
          <w:rFonts w:hint="default" w:ascii="仿宋" w:hAnsi="仿宋" w:eastAsia="仿宋" w:cs="Times New Roman"/>
          <w:w w:val="99"/>
          <w:sz w:val="32"/>
          <w:szCs w:val="32"/>
          <w:lang w:val="en-US" w:eastAsia="zh-CN"/>
        </w:rPr>
      </w:pPr>
      <w:r>
        <w:rPr>
          <w:rFonts w:hint="eastAsia" w:ascii="仿宋" w:hAnsi="仿宋" w:eastAsia="仿宋" w:cs="Times New Roman"/>
          <w:w w:val="99"/>
          <w:sz w:val="32"/>
          <w:szCs w:val="32"/>
          <w:lang w:val="en-US" w:eastAsia="zh-CN"/>
        </w:rPr>
        <w:t>二、内设机构设置情况</w:t>
      </w:r>
    </w:p>
    <w:p>
      <w:pPr>
        <w:kinsoku w:val="0"/>
        <w:overflowPunct w:val="0"/>
        <w:autoSpaceDE w:val="0"/>
        <w:autoSpaceDN w:val="0"/>
        <w:adjustRightIn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lang w:val="en-US" w:eastAsia="zh-CN"/>
        </w:rPr>
        <w:t>三</w:t>
      </w: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淮滨县王家岗乡第一初级中学</w:t>
      </w:r>
      <w:r>
        <w:rPr>
          <w:rFonts w:hint="eastAsia" w:ascii="黑体" w:hAnsi="黑体" w:eastAsia="黑体" w:cs="Times New Roman"/>
          <w:spacing w:val="-84"/>
          <w:sz w:val="32"/>
          <w:szCs w:val="32"/>
        </w:rPr>
        <w:t xml:space="preserve"> </w:t>
      </w:r>
      <w:r>
        <w:rPr>
          <w:rFonts w:hint="eastAsia" w:ascii="黑体" w:hAnsi="黑体" w:eastAsia="黑体" w:cs="Times New Roman"/>
          <w:sz w:val="32"/>
          <w:szCs w:val="32"/>
        </w:rPr>
        <w:t>2023年度部门预算情况说明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附件：淮滨县王家岗乡第一初级中学2023年度部门预算表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rPr>
        <w:t>2023年国有资本经营支出预算表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rPr>
        <w:t>2023年部门(单位)预算项目绩效目标表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ind w:left="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ascii="黑体" w:hAnsi="黑体" w:eastAsia="黑体" w:cs="黑体"/>
          <w:b/>
          <w:sz w:val="36"/>
          <w:szCs w:val="36"/>
        </w:rPr>
        <w:t>淮滨县王家岗乡第一初级中学概况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ascii="黑体" w:hAnsi="黑体" w:eastAsia="黑体" w:cs="黑体"/>
          <w:bCs/>
          <w:szCs w:val="32"/>
        </w:rPr>
        <w:t>淮滨县王家岗乡第一初级中学主要职责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淮滨县王家岗乡第一初级中学主要职责是：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正确贯彻执行党和国家的教育方针、政策、法规，使本学区适龄儿童顺利完成本年度义务教育。</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维护学校的教学秩序，为学生创造良好的学习环境，</w:t>
      </w:r>
      <w:r>
        <w:rPr>
          <w:rFonts w:hint="default" w:ascii="仿宋_GB2312" w:hAnsi="仿宋_GB2312" w:eastAsia="仿宋_GB2312" w:cs="仿宋_GB2312"/>
          <w:bCs/>
          <w:szCs w:val="32"/>
        </w:rPr>
        <w:t>改善学校办学条件。</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积极稳妥地推进教育改革，按教育规律办事，不断提高教育质量</w:t>
      </w:r>
      <w:r>
        <w:rPr>
          <w:rFonts w:hint="default" w:ascii="仿宋_GB2312" w:hAnsi="仿宋_GB2312" w:eastAsia="仿宋_GB2312" w:cs="仿宋_GB2312"/>
          <w:bCs/>
          <w:szCs w:val="32"/>
        </w:rPr>
        <w:t>。</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根据学校规模，设置学校管理机构，建立健全各项规章制度和岗位责任制。</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ascii="仿宋_GB2312" w:hAnsi="仿宋_GB2312" w:eastAsia="仿宋_GB2312" w:cs="仿宋_GB2312"/>
          <w:bCs/>
          <w:szCs w:val="32"/>
        </w:rPr>
        <w:t>坚持教书育人，服务育人，环境育人方针，加强对学生的思想品德教育，使学生的德智体全面发展。</w:t>
      </w:r>
    </w:p>
    <w:p>
      <w:pPr>
        <w:pStyle w:val="3"/>
        <w:numPr>
          <w:ilvl w:val="0"/>
          <w:numId w:val="4"/>
        </w:numPr>
        <w:tabs>
          <w:tab w:val="left" w:pos="880"/>
        </w:tabs>
        <w:kinsoku w:val="0"/>
        <w:overflowPunct w:val="0"/>
        <w:spacing w:before="0"/>
        <w:ind w:left="420" w:leftChars="200" w:firstLine="320" w:firstLineChars="100"/>
        <w:jc w:val="both"/>
        <w:rPr>
          <w:rFonts w:hint="default" w:ascii="仿宋_GB2312" w:hAnsi="仿宋_GB2312" w:eastAsia="仿宋_GB2312" w:cs="仿宋_GB2312"/>
          <w:bCs/>
          <w:szCs w:val="32"/>
        </w:rPr>
      </w:pPr>
      <w:r>
        <w:rPr>
          <w:rFonts w:ascii="仿宋_GB2312" w:hAnsi="仿宋_GB2312" w:eastAsia="仿宋_GB2312" w:cs="仿宋_GB2312"/>
          <w:bCs/>
          <w:szCs w:val="32"/>
        </w:rPr>
        <w:t>抓好教师队伍建设，完成教师培训工作，使每个教师都热心于教育事业。</w:t>
      </w:r>
    </w:p>
    <w:p>
      <w:pPr>
        <w:pStyle w:val="3"/>
        <w:numPr>
          <w:ilvl w:val="0"/>
          <w:numId w:val="4"/>
        </w:numPr>
        <w:tabs>
          <w:tab w:val="left" w:pos="880"/>
        </w:tabs>
        <w:kinsoku w:val="0"/>
        <w:overflowPunct w:val="0"/>
        <w:spacing w:before="0"/>
        <w:ind w:left="420" w:leftChars="200" w:firstLine="320" w:firstLineChars="100"/>
        <w:jc w:val="both"/>
        <w:rPr>
          <w:rFonts w:hint="default" w:ascii="仿宋_GB2312" w:hAnsi="仿宋_GB2312" w:eastAsia="仿宋_GB2312" w:cs="仿宋_GB2312"/>
          <w:bCs/>
          <w:szCs w:val="32"/>
        </w:rPr>
      </w:pPr>
      <w:r>
        <w:rPr>
          <w:rFonts w:ascii="仿宋_GB2312" w:hAnsi="仿宋_GB2312" w:eastAsia="仿宋_GB2312" w:cs="仿宋_GB2312"/>
          <w:bCs/>
          <w:szCs w:val="32"/>
        </w:rPr>
        <w:t>做好安全防范，保证学生的人身安全。</w:t>
      </w:r>
    </w:p>
    <w:p>
      <w:pPr>
        <w:numPr>
          <w:ilvl w:val="0"/>
          <w:numId w:val="3"/>
        </w:numPr>
        <w:kinsoku w:val="0"/>
        <w:overflowPunct w:val="0"/>
        <w:autoSpaceDE w:val="0"/>
        <w:autoSpaceDN w:val="0"/>
        <w:adjustRightInd w:val="0"/>
        <w:spacing w:line="560" w:lineRule="exact"/>
        <w:ind w:left="120" w:leftChars="0" w:firstLine="632" w:firstLineChars="200"/>
        <w:jc w:val="both"/>
        <w:rPr>
          <w:rFonts w:hint="eastAsia" w:ascii="黑体" w:hAnsi="黑体" w:eastAsia="黑体" w:cs="黑体"/>
          <w:w w:val="99"/>
          <w:sz w:val="32"/>
          <w:szCs w:val="32"/>
          <w:lang w:val="en-US" w:eastAsia="zh-CN"/>
        </w:rPr>
      </w:pPr>
      <w:r>
        <w:rPr>
          <w:rFonts w:hint="eastAsia" w:ascii="黑体" w:hAnsi="黑体" w:eastAsia="黑体" w:cs="黑体"/>
          <w:w w:val="99"/>
          <w:sz w:val="32"/>
          <w:szCs w:val="32"/>
          <w:lang w:val="en-US" w:eastAsia="zh-CN"/>
        </w:rPr>
        <w:t>内设机构设置情况</w:t>
      </w:r>
    </w:p>
    <w:p>
      <w:pPr>
        <w:numPr>
          <w:ilvl w:val="0"/>
          <w:numId w:val="0"/>
        </w:numPr>
        <w:kinsoku w:val="0"/>
        <w:overflowPunct w:val="0"/>
        <w:autoSpaceDE w:val="0"/>
        <w:autoSpaceDN w:val="0"/>
        <w:adjustRightInd w:val="0"/>
        <w:spacing w:line="560" w:lineRule="exact"/>
        <w:ind w:leftChars="200" w:firstLine="316" w:firstLineChars="100"/>
        <w:jc w:val="both"/>
        <w:rPr>
          <w:rFonts w:hint="eastAsia" w:ascii="仿宋" w:hAnsi="仿宋" w:eastAsia="仿宋" w:cs="仿宋"/>
          <w:w w:val="99"/>
          <w:sz w:val="32"/>
          <w:szCs w:val="32"/>
          <w:lang w:val="en-US" w:eastAsia="zh-CN"/>
        </w:rPr>
      </w:pPr>
      <w:r>
        <w:rPr>
          <w:rFonts w:hint="eastAsia" w:ascii="仿宋" w:hAnsi="仿宋" w:eastAsia="仿宋" w:cs="仿宋"/>
          <w:w w:val="99"/>
          <w:sz w:val="32"/>
          <w:szCs w:val="32"/>
          <w:lang w:val="en-US" w:eastAsia="zh-CN"/>
        </w:rPr>
        <w:t>1.教导处。负责日常教学管理工作、校本课程开发、课堂教学改革、组织校本教研、教师培训，负责教师师德建设、教师职称评聘、教师量化和绩效发放、创新教育工作、学籍管理。负责教材征订、学生学业质量检测、学生综合素养检测等与教学有关的所有工作。</w:t>
      </w:r>
    </w:p>
    <w:p>
      <w:pPr>
        <w:pStyle w:val="3"/>
        <w:numPr>
          <w:ilvl w:val="0"/>
          <w:numId w:val="0"/>
        </w:numPr>
        <w:tabs>
          <w:tab w:val="left" w:pos="880"/>
        </w:tabs>
        <w:kinsoku w:val="0"/>
        <w:overflowPunct w:val="0"/>
        <w:spacing w:before="0"/>
        <w:ind w:firstLine="640" w:firstLineChars="200"/>
        <w:jc w:val="both"/>
        <w:rPr>
          <w:rFonts w:hint="default" w:ascii="仿宋_GB2312" w:hAnsi="仿宋_GB2312" w:eastAsia="仿宋_GB2312" w:cs="仿宋_GB2312"/>
          <w:bCs/>
          <w:szCs w:val="32"/>
        </w:rPr>
      </w:pPr>
      <w:r>
        <w:rPr>
          <w:rFonts w:hint="default" w:ascii="仿宋_GB2312" w:hAnsi="仿宋_GB2312" w:eastAsia="仿宋_GB2312" w:cs="仿宋_GB2312"/>
          <w:bCs/>
          <w:szCs w:val="32"/>
        </w:rPr>
        <w:t>2.政教处。负责学生日常行为规范管理、德育教育工作、班主任队伍建设、少先队工作、学生活动、学生安全教育及演练、升旗仪式、家委会建设、困难学生关爱、学生评优等与学生管理有关的所有工作，负责广播系统器材的保管、使用和维修。</w:t>
      </w:r>
    </w:p>
    <w:p>
      <w:pPr>
        <w:pStyle w:val="3"/>
        <w:numPr>
          <w:ilvl w:val="0"/>
          <w:numId w:val="0"/>
        </w:numPr>
        <w:tabs>
          <w:tab w:val="left" w:pos="880"/>
        </w:tabs>
        <w:kinsoku w:val="0"/>
        <w:overflowPunct w:val="0"/>
        <w:spacing w:before="0"/>
        <w:ind w:leftChars="300"/>
        <w:jc w:val="both"/>
        <w:rPr>
          <w:rFonts w:hint="default" w:ascii="仿宋_GB2312" w:hAnsi="仿宋_GB2312" w:eastAsia="仿宋_GB2312" w:cs="仿宋_GB2312"/>
          <w:bCs/>
          <w:szCs w:val="32"/>
        </w:rPr>
      </w:pPr>
      <w:r>
        <w:rPr>
          <w:rFonts w:hint="default" w:ascii="仿宋_GB2312" w:hAnsi="仿宋_GB2312" w:eastAsia="仿宋_GB2312" w:cs="仿宋_GB2312"/>
          <w:bCs/>
          <w:szCs w:val="32"/>
        </w:rPr>
        <w:t>3.总务处。负责做好校舍、财产、卫生、水电安全及</w:t>
      </w:r>
      <w:r>
        <w:rPr>
          <w:rFonts w:hint="eastAsia" w:ascii="仿宋_GB2312" w:hAnsi="仿宋_GB2312" w:eastAsia="仿宋_GB2312" w:cs="仿宋_GB2312"/>
          <w:bCs/>
          <w:szCs w:val="32"/>
          <w:lang w:val="en-US" w:eastAsia="zh-CN"/>
        </w:rPr>
        <w:t>学</w:t>
      </w:r>
      <w:r>
        <w:rPr>
          <w:rFonts w:hint="default" w:ascii="仿宋_GB2312" w:hAnsi="仿宋_GB2312" w:eastAsia="仿宋_GB2312" w:cs="仿宋_GB2312"/>
          <w:bCs/>
          <w:szCs w:val="32"/>
        </w:rPr>
        <w:t>校内外交通安全等后勒保障工作</w:t>
      </w:r>
      <w:r>
        <w:rPr>
          <w:rFonts w:hint="eastAsia" w:ascii="仿宋_GB2312" w:hAnsi="仿宋_GB2312" w:eastAsia="仿宋_GB2312" w:cs="仿宋_GB2312"/>
          <w:bCs/>
          <w:szCs w:val="32"/>
          <w:lang w:eastAsia="zh-CN"/>
        </w:rPr>
        <w:t>、</w:t>
      </w:r>
      <w:r>
        <w:rPr>
          <w:rFonts w:hint="default" w:ascii="仿宋_GB2312" w:hAnsi="仿宋_GB2312" w:eastAsia="仿宋_GB2312" w:cs="仿宋_GB2312"/>
          <w:bCs/>
          <w:szCs w:val="32"/>
        </w:rPr>
        <w:t>负责学校功能室的</w:t>
      </w:r>
      <w:r>
        <w:rPr>
          <w:rFonts w:hint="eastAsia" w:ascii="仿宋_GB2312" w:hAnsi="仿宋_GB2312" w:eastAsia="仿宋_GB2312" w:cs="仿宋_GB2312"/>
          <w:bCs/>
          <w:szCs w:val="32"/>
          <w:lang w:val="en-US" w:eastAsia="zh-CN"/>
        </w:rPr>
        <w:t>管</w:t>
      </w:r>
      <w:r>
        <w:rPr>
          <w:rFonts w:hint="default" w:ascii="仿宋_GB2312" w:hAnsi="仿宋_GB2312" w:eastAsia="仿宋_GB2312" w:cs="仿宋_GB2312"/>
          <w:bCs/>
          <w:szCs w:val="32"/>
        </w:rPr>
        <w:t>理护。</w:t>
      </w:r>
    </w:p>
    <w:p>
      <w:pPr>
        <w:pStyle w:val="3"/>
        <w:numPr>
          <w:ilvl w:val="0"/>
          <w:numId w:val="0"/>
        </w:numPr>
        <w:tabs>
          <w:tab w:val="left" w:pos="880"/>
        </w:tabs>
        <w:kinsoku w:val="0"/>
        <w:overflowPunct w:val="0"/>
        <w:spacing w:before="0"/>
        <w:ind w:leftChars="200"/>
        <w:jc w:val="left"/>
        <w:rPr>
          <w:rFonts w:hint="default" w:ascii="黑体" w:hAnsi="黑体" w:eastAsia="黑体" w:cs="黑体"/>
          <w:bCs/>
          <w:szCs w:val="32"/>
        </w:rPr>
      </w:pPr>
      <w:r>
        <w:rPr>
          <w:rFonts w:hint="eastAsia" w:ascii="黑体" w:hAnsi="黑体" w:eastAsia="黑体" w:cs="黑体"/>
          <w:bCs/>
          <w:szCs w:val="32"/>
          <w:lang w:val="en-US" w:eastAsia="zh-CN"/>
        </w:rPr>
        <w:t>三、</w:t>
      </w:r>
      <w:r>
        <w:rPr>
          <w:rFonts w:ascii="黑体" w:hAnsi="黑体" w:eastAsia="黑体" w:cs="黑体"/>
          <w:bCs/>
          <w:szCs w:val="32"/>
        </w:rPr>
        <w:t>淮滨县王家岗乡第一初级中学预算单位构成情况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淮滨县王家岗乡第一初级中学2023年部门预算为校本级预算机构。</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淮滨县王家岗乡第一初级中学校本级预算包括：教务处、政教处、总务处等部门的预算。</w:t>
      </w:r>
    </w:p>
    <w:p>
      <w:pPr>
        <w:ind w:firstLine="640" w:firstLineChars="200"/>
        <w:jc w:val="left"/>
        <w:rPr>
          <w:rFonts w:ascii="仿宋_GB2312" w:hAnsi="仿宋_GB2312" w:eastAsia="仿宋_GB2312" w:cs="仿宋_GB2312"/>
          <w:bCs/>
          <w:sz w:val="32"/>
          <w:szCs w:val="32"/>
        </w:rPr>
      </w:pPr>
    </w:p>
    <w:p>
      <w:pPr>
        <w:ind w:firstLine="3253" w:firstLineChars="900"/>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淮滨县王家岗乡第一初级中学2023年度部门预算</w:t>
      </w:r>
    </w:p>
    <w:p>
      <w:pPr>
        <w:jc w:val="center"/>
        <w:rPr>
          <w:rFonts w:ascii="黑体" w:hAnsi="黑体" w:eastAsia="黑体" w:cs="黑体"/>
          <w:b/>
          <w:bCs/>
          <w:sz w:val="36"/>
          <w:szCs w:val="36"/>
        </w:rPr>
      </w:pPr>
      <w:r>
        <w:rPr>
          <w:rFonts w:hint="eastAsia" w:ascii="黑体" w:hAnsi="黑体" w:eastAsia="黑体" w:cs="黑体"/>
          <w:b/>
          <w:bCs/>
          <w:sz w:val="36"/>
          <w:szCs w:val="36"/>
        </w:rPr>
        <w:t>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淮滨县王家岗乡第一初级中学2023年收入总计631.27万元，支出总计631.27万元,与2022年相比，收、支总计各增加83.28万元，增长15.2%。主要原因本年度教职工人员经费收支预算有所增加。</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0" t="0" r="12700" b="1397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淮滨县王家岗乡第一初级中学2023年收入合计631.27万元，其中：一般公共预算收入631.27万元，上年结转结余0万元。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0" t="0" r="12700" b="127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淮滨县王家岗乡第一初级中学2023年支出合计631.27万元，其中：基本支出606.27万元，占96%；项目支出25万元，占4%。</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196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rPr>
        <w:t>淮滨县王家岗乡第一初级中学2023年一般公共预算收支预算631.27万元，无政府性基金预算和国有资本经营预算。与2022年相比，一般公共预算收支预算增加</w:t>
      </w:r>
      <w:r>
        <w:rPr>
          <w:rFonts w:hint="eastAsia" w:ascii="仿宋" w:hAnsi="仿宋" w:eastAsia="仿宋" w:cs="仿宋"/>
          <w:sz w:val="32"/>
          <w:szCs w:val="32"/>
        </w:rPr>
        <w:t>83.28万元，增长15.2%。主要原因本年度教职工人员经费收支预算有所增加。</w:t>
      </w:r>
    </w:p>
    <w:p>
      <w:pPr>
        <w:ind w:firstLine="640" w:firstLineChars="200"/>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0" t="0" r="2540" b="1651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淮滨县王家岗乡第一初级中学2023年一般公共预算支出年初预算为631.27万元。其中：基本支出606.27万元，占96%;项目支出25万元，占4%。</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0" t="0" r="254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淮滨县王家岗乡第一初级中学2023年一般公共预算基本支出年初预算为606.27万元。其中：人员经费支出590.11万元，占97%；公用经费支出16.15万元，占3%。</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淮滨县王家岗乡第一初级中学2023年“三公”经费支出预算为0万元,比2022年增加(减少)0万元，增长（下降）0%。</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0万元，预算数与2022年保持一致。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（二）公务接待费0</w:t>
      </w:r>
      <w:r>
        <w:rPr>
          <w:rFonts w:hint="eastAsia" w:ascii="仿宋" w:hAnsi="仿宋" w:eastAsia="仿宋" w:cs="仿宋"/>
          <w:sz w:val="32"/>
          <w:szCs w:val="32"/>
        </w:rPr>
        <w:t>万元。预算数与2022年保持一致。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（三）公务用车购置及运行费0</w:t>
      </w:r>
      <w:r>
        <w:rPr>
          <w:rFonts w:hint="eastAsia" w:ascii="仿宋" w:hAnsi="仿宋" w:eastAsia="仿宋" w:cs="仿宋"/>
          <w:sz w:val="32"/>
          <w:szCs w:val="32"/>
        </w:rPr>
        <w:t>万元，预算数与2022年保持一致。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我单位2023年无使用政府性基金预算拨款安排的支出。</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我单位2023年事业运行经费支出预算25万元，主要保障机构正常运转及正常履职需要，用于购买货物和服务的支出。包括办公费、印刷费、邮电费、办公用房水电费、差旅费、培训费、专用材料费、日常维修费及一般设备购置费、办公用房物业管理费、劳务费以及其他商品服务费用。</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我单位2023年政府采购预算安排0万元，其中：货物类采购预算0万元，工程类采购预算0万元，服务类采购预算0万元。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我单位2023年预算项目均按要求编制了绩效目标，从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default" w:ascii="仿宋" w:hAnsi="仿宋" w:eastAsia="仿宋" w:cs="仿宋"/>
          <w:sz w:val="32"/>
          <w:lang w:val="en-US" w:eastAsia="zh-CN"/>
        </w:rPr>
      </w:pPr>
      <w:r>
        <w:rPr>
          <w:rFonts w:hint="eastAsia" w:ascii="仿宋" w:hAnsi="仿宋" w:eastAsia="仿宋" w:cs="仿宋"/>
          <w:sz w:val="32"/>
          <w:lang w:val="en-US" w:eastAsia="zh-CN"/>
        </w:rPr>
        <w:t>2023年部门预算金额共计631.27万元，其中项目共12个，金额为25万元。</w:t>
      </w:r>
      <w:bookmarkStart w:id="0" w:name="_GoBack"/>
      <w:bookmarkEnd w:id="0"/>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rPr>
        <w:t>2022年期末，我单位资产总值524.9万元，其中：房屋及构筑物432.5万元；通用设备16.7万元；专用设备2.5万元；图书13万元；家具用具4.6万元；无形资产55.6万元。</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我单位无专项转移支付项目。</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p>
    <w:p>
      <w:pPr>
        <w:ind w:firstLine="3614" w:firstLineChars="1000"/>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jc w:val="left"/>
        <w:rPr>
          <w:rFonts w:ascii="黑体" w:hAnsi="黑体" w:eastAsia="黑体" w:cs="黑体"/>
          <w:sz w:val="32"/>
        </w:rPr>
      </w:pPr>
      <w:r>
        <w:rPr>
          <w:rFonts w:hint="eastAsia" w:ascii="黑体" w:hAnsi="黑体" w:eastAsia="黑体" w:cs="黑体"/>
          <w:sz w:val="32"/>
        </w:rPr>
        <w:t>附件：淮滨县王家岗乡第一初级中学2023年部门预算表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Q0OTMyMmUyNzgxNGE4YTc0Yjc5NWQwZTM2OGVlNTgifQ=="/>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30038"/>
    <w:rsid w:val="00647F85"/>
    <w:rsid w:val="00654E6A"/>
    <w:rsid w:val="006D14AB"/>
    <w:rsid w:val="00803DAC"/>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27806"/>
    <w:rsid w:val="00D67A39"/>
    <w:rsid w:val="00D84F17"/>
    <w:rsid w:val="00EA37A7"/>
    <w:rsid w:val="00FB5B8C"/>
    <w:rsid w:val="00FF51DB"/>
    <w:rsid w:val="014B6590"/>
    <w:rsid w:val="030F34CD"/>
    <w:rsid w:val="037B79F7"/>
    <w:rsid w:val="041D2A27"/>
    <w:rsid w:val="04ED23F9"/>
    <w:rsid w:val="05377B18"/>
    <w:rsid w:val="06440A7A"/>
    <w:rsid w:val="071D4AEC"/>
    <w:rsid w:val="084542FA"/>
    <w:rsid w:val="0A6251B2"/>
    <w:rsid w:val="0D0F4ED6"/>
    <w:rsid w:val="0D513137"/>
    <w:rsid w:val="10602789"/>
    <w:rsid w:val="123258EF"/>
    <w:rsid w:val="12EF1A32"/>
    <w:rsid w:val="134F60D3"/>
    <w:rsid w:val="144A1E7D"/>
    <w:rsid w:val="15F07B94"/>
    <w:rsid w:val="168045E0"/>
    <w:rsid w:val="173B6758"/>
    <w:rsid w:val="191C5F4B"/>
    <w:rsid w:val="1B351FAC"/>
    <w:rsid w:val="1CA53161"/>
    <w:rsid w:val="1D0460DA"/>
    <w:rsid w:val="1D2E3157"/>
    <w:rsid w:val="1F046865"/>
    <w:rsid w:val="1FE67D19"/>
    <w:rsid w:val="228003BD"/>
    <w:rsid w:val="228C104B"/>
    <w:rsid w:val="246B28E3"/>
    <w:rsid w:val="24DA1A42"/>
    <w:rsid w:val="274F7F6E"/>
    <w:rsid w:val="279A1B15"/>
    <w:rsid w:val="27A42993"/>
    <w:rsid w:val="28196722"/>
    <w:rsid w:val="28447CD2"/>
    <w:rsid w:val="2AA67AA4"/>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D066F01"/>
    <w:rsid w:val="3E5A6C85"/>
    <w:rsid w:val="3EEF6D7C"/>
    <w:rsid w:val="419D0727"/>
    <w:rsid w:val="41FF59D4"/>
    <w:rsid w:val="43572B58"/>
    <w:rsid w:val="45554E75"/>
    <w:rsid w:val="456A4DC4"/>
    <w:rsid w:val="469D4D26"/>
    <w:rsid w:val="46D01A4F"/>
    <w:rsid w:val="4779426A"/>
    <w:rsid w:val="483D40CA"/>
    <w:rsid w:val="4B86222C"/>
    <w:rsid w:val="4BBC3BEF"/>
    <w:rsid w:val="4CC72AFC"/>
    <w:rsid w:val="4E10402F"/>
    <w:rsid w:val="51320B19"/>
    <w:rsid w:val="519E1D35"/>
    <w:rsid w:val="53A235F7"/>
    <w:rsid w:val="56CE6835"/>
    <w:rsid w:val="56E7105D"/>
    <w:rsid w:val="5AEC2631"/>
    <w:rsid w:val="5B2E670C"/>
    <w:rsid w:val="61F061FA"/>
    <w:rsid w:val="631F6D97"/>
    <w:rsid w:val="63514A76"/>
    <w:rsid w:val="647F6552"/>
    <w:rsid w:val="64BB489D"/>
    <w:rsid w:val="64E0754A"/>
    <w:rsid w:val="65336908"/>
    <w:rsid w:val="65921CF6"/>
    <w:rsid w:val="65DB5214"/>
    <w:rsid w:val="66A82BFF"/>
    <w:rsid w:val="67AE693B"/>
    <w:rsid w:val="67F105D6"/>
    <w:rsid w:val="69F65D89"/>
    <w:rsid w:val="6AAD2EDA"/>
    <w:rsid w:val="6C715A72"/>
    <w:rsid w:val="6EEF1D13"/>
    <w:rsid w:val="6F5D6036"/>
    <w:rsid w:val="71BD526D"/>
    <w:rsid w:val="746F63D8"/>
    <w:rsid w:val="747B790C"/>
    <w:rsid w:val="75A37A3E"/>
    <w:rsid w:val="75E31EA6"/>
    <w:rsid w:val="768A2321"/>
    <w:rsid w:val="76D0242A"/>
    <w:rsid w:val="791401EC"/>
    <w:rsid w:val="792702FB"/>
    <w:rsid w:val="7B6C0247"/>
    <w:rsid w:val="7C1C527A"/>
    <w:rsid w:val="7E0E5C2E"/>
    <w:rsid w:val="7EE527EB"/>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3"/>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2"/>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character" w:customStyle="1" w:styleId="11">
    <w:name w:val="批注文字 Char"/>
    <w:basedOn w:val="9"/>
    <w:link w:val="2"/>
    <w:qFormat/>
    <w:uiPriority w:val="0"/>
    <w:rPr>
      <w:rFonts w:asciiTheme="minorHAnsi" w:hAnsiTheme="minorHAnsi" w:eastAsiaTheme="minorEastAsia" w:cstheme="minorBidi"/>
      <w:kern w:val="2"/>
      <w:sz w:val="21"/>
      <w:szCs w:val="24"/>
    </w:rPr>
  </w:style>
  <w:style w:type="character" w:customStyle="1" w:styleId="12">
    <w:name w:val="批注主题 Char"/>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Char"/>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547.99</c:v>
                </c:pt>
                <c:pt idx="1">
                  <c:v>631.27</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547.99</c:v>
                </c:pt>
                <c:pt idx="1">
                  <c:v>631.27</c:v>
                </c:pt>
              </c:numCache>
            </c:numRef>
          </c:val>
        </c:ser>
        <c:dLbls>
          <c:showLegendKey val="0"/>
          <c:showVal val="1"/>
          <c:showCatName val="0"/>
          <c:showSerName val="0"/>
          <c:showPercent val="0"/>
          <c:showBubbleSize val="0"/>
        </c:dLbls>
        <c:gapWidth val="182"/>
        <c:axId val="102068224"/>
        <c:axId val="102073088"/>
      </c:barChart>
      <c:catAx>
        <c:axId val="102068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2073088"/>
        <c:crosses val="autoZero"/>
        <c:auto val="1"/>
        <c:lblAlgn val="ctr"/>
        <c:lblOffset val="100"/>
        <c:noMultiLvlLbl val="0"/>
      </c:catAx>
      <c:valAx>
        <c:axId val="102073088"/>
        <c:scaling>
          <c:orientation val="minMax"/>
          <c:min val="50"/>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02068224"/>
        <c:crosses val="autoZero"/>
        <c:crossBetween val="between"/>
      </c:valAx>
      <c:dTable>
        <c:showHorzBorder val="1"/>
        <c:showVertBorder val="1"/>
        <c:showOutline val="1"/>
        <c:showKeys val="1"/>
        <c:spPr>
          <a:noFill/>
          <a:ln w="9525" cap="flat" cmpd="sng" algn="ctr">
            <a:solidFill>
              <a:schemeClr val="tx1">
                <a:lumMod val="15000"/>
                <a:lumOff val="85000"/>
              </a:schemeClr>
            </a:solidFill>
            <a:prstDash val="solid"/>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chemeClr val="accent1"/>
              </a:solidFill>
              <a:ln w="19050">
                <a:solidFill>
                  <a:schemeClr val="lt1"/>
                </a:solidFill>
              </a:ln>
              <a:effectLst/>
            </c:spPr>
          </c:dPt>
          <c:dPt>
            <c:idx val="1"/>
            <c:invertIfNegative val="0"/>
            <c:bubble3D val="0"/>
            <c:spPr>
              <a:solidFill>
                <a:schemeClr val="accent2"/>
              </a:solidFill>
              <a:ln w="19050">
                <a:solidFill>
                  <a:schemeClr val="lt1"/>
                </a:solidFill>
              </a:ln>
              <a:effectLst/>
            </c:spPr>
          </c:dPt>
          <c:dPt>
            <c:idx val="2"/>
            <c:invertIfNegative val="0"/>
            <c:bubble3D val="0"/>
            <c:spPr>
              <a:solidFill>
                <a:schemeClr val="accent3"/>
              </a:solidFill>
              <a:ln w="19050">
                <a:solidFill>
                  <a:schemeClr val="lt1"/>
                </a:solidFill>
              </a:ln>
              <a:effectLst/>
            </c:spPr>
          </c:dPt>
          <c:dPt>
            <c:idx val="3"/>
            <c:invertIfNegative val="0"/>
            <c:bubble3D val="0"/>
            <c:spPr>
              <a:solidFill>
                <a:schemeClr val="accent4"/>
              </a:solidFill>
              <a:ln w="19050">
                <a:solidFill>
                  <a:schemeClr val="lt1"/>
                </a:solidFill>
              </a:ln>
              <a:effectLst/>
            </c:spPr>
          </c:dPt>
          <c:dPt>
            <c:idx val="4"/>
            <c:invertIfNegative val="0"/>
            <c:bubble3D val="0"/>
            <c:spPr>
              <a:solidFill>
                <a:schemeClr val="accent5"/>
              </a:solidFill>
              <a:ln w="19050">
                <a:solidFill>
                  <a:schemeClr val="lt1"/>
                </a:solidFill>
              </a:ln>
              <a:effectLst/>
            </c:spPr>
          </c:dPt>
          <c:dPt>
            <c:idx val="5"/>
            <c:invertIfNegative val="0"/>
            <c:bubble3D val="0"/>
            <c:spPr>
              <a:solidFill>
                <a:schemeClr val="accent6"/>
              </a:solidFill>
              <a:ln w="19050">
                <a:solidFill>
                  <a:schemeClr val="lt1"/>
                </a:solidFill>
              </a:ln>
              <a:effectLst/>
            </c:spPr>
          </c:dPt>
          <c:dPt>
            <c:idx val="6"/>
            <c:invertIfNegative val="0"/>
            <c:bubble3D val="0"/>
            <c:spPr>
              <a:solidFill>
                <a:schemeClr val="accent1">
                  <a:lumMod val="60000"/>
                </a:schemeClr>
              </a:solidFill>
              <a:ln w="19050">
                <a:solidFill>
                  <a:schemeClr val="lt1"/>
                </a:solidFill>
              </a:ln>
              <a:effectLst/>
            </c:spPr>
          </c:dPt>
          <c:dPt>
            <c:idx val="7"/>
            <c:invertIfNegative val="0"/>
            <c:bubble3D val="0"/>
            <c:spPr>
              <a:solidFill>
                <a:schemeClr val="accent2">
                  <a:lumMod val="60000"/>
                </a:schemeClr>
              </a:solidFill>
              <a:ln w="19050">
                <a:solidFill>
                  <a:schemeClr val="lt1"/>
                </a:solidFill>
              </a:ln>
              <a:effectLst/>
            </c:spPr>
          </c:dPt>
          <c:dPt>
            <c:idx val="8"/>
            <c:invertIfNegative val="0"/>
            <c:bubble3D val="0"/>
            <c:spPr>
              <a:solidFill>
                <a:schemeClr val="accent3">
                  <a:lumMod val="60000"/>
                </a:schemeClr>
              </a:solidFill>
              <a:ln w="19050">
                <a:solidFill>
                  <a:schemeClr val="lt1"/>
                </a:solidFill>
              </a:ln>
              <a:effectLst/>
            </c:spPr>
          </c:dPt>
          <c:dPt>
            <c:idx val="9"/>
            <c:invertIfNegative val="0"/>
            <c:bubble3D val="0"/>
            <c:spPr>
              <a:solidFill>
                <a:schemeClr val="accent4">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631.27</c:v>
                </c:pt>
              </c:numCache>
            </c:numRef>
          </c:val>
        </c:ser>
        <c:dLbls>
          <c:showLegendKey val="0"/>
          <c:showVal val="1"/>
          <c:showCatName val="0"/>
          <c:showSerName val="0"/>
          <c:showPercent val="0"/>
          <c:showBubbleSize val="0"/>
        </c:dLbls>
        <c:gapWidth val="100"/>
        <c:axId val="102427648"/>
        <c:axId val="104446208"/>
      </c:barChart>
      <c:catAx>
        <c:axId val="102427648"/>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4446208"/>
        <c:crosses val="autoZero"/>
        <c:auto val="1"/>
        <c:lblAlgn val="ctr"/>
        <c:lblOffset val="100"/>
        <c:noMultiLvlLbl val="0"/>
      </c:catAx>
      <c:valAx>
        <c:axId val="104446208"/>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242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96</c:v>
                </c:pt>
                <c:pt idx="1">
                  <c:v>4</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lang="zh-CN" sz="1400" b="1" i="0" u="none" strike="noStrike" kern="1200" spc="0" baseline="0">
                <a:solidFill>
                  <a:schemeClr val="tx1">
                    <a:lumMod val="65000"/>
                    <a:lumOff val="35000"/>
                  </a:scheme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manualLayout>
          <c:layoutTarget val="inner"/>
          <c:xMode val="edge"/>
          <c:yMode val="edge"/>
          <c:x val="0.0650854803756321"/>
          <c:y val="0.137198415556356"/>
          <c:w val="0.908427642667951"/>
          <c:h val="0.741699675909255"/>
        </c:manualLayout>
      </c:layout>
      <c:barChart>
        <c:barDir val="col"/>
        <c:grouping val="clustered"/>
        <c:varyColors val="0"/>
        <c:ser>
          <c:idx val="0"/>
          <c:order val="0"/>
          <c:tx>
            <c:strRef>
              <c:f>'2022年部门收支预算表'!$B$1</c:f>
              <c:strCache>
                <c:ptCount val="1"/>
                <c:pt idx="0">
                  <c:v>收入</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547.99</c:v>
                </c:pt>
                <c:pt idx="1">
                  <c:v>631.27</c:v>
                </c:pt>
              </c:numCache>
            </c:numRef>
          </c:val>
        </c:ser>
        <c:ser>
          <c:idx val="1"/>
          <c:order val="1"/>
          <c:tx>
            <c:strRef>
              <c:f>'2022年部门收支预算表'!$C$1</c:f>
              <c:strCache>
                <c:ptCount val="1"/>
                <c:pt idx="0">
                  <c:v>支出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547.99</c:v>
                </c:pt>
                <c:pt idx="1">
                  <c:v>631.27</c:v>
                </c:pt>
              </c:numCache>
            </c:numRef>
          </c:val>
        </c:ser>
        <c:dLbls>
          <c:showLegendKey val="0"/>
          <c:showVal val="1"/>
          <c:showCatName val="0"/>
          <c:showSerName val="0"/>
          <c:showPercent val="0"/>
          <c:showBubbleSize val="0"/>
        </c:dLbls>
        <c:gapWidth val="182"/>
        <c:axId val="59150720"/>
        <c:axId val="59152256"/>
      </c:barChart>
      <c:catAx>
        <c:axId val="59150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152256"/>
        <c:crosses val="autoZero"/>
        <c:auto val="1"/>
        <c:lblAlgn val="ctr"/>
        <c:lblOffset val="100"/>
        <c:noMultiLvlLbl val="0"/>
      </c:catAx>
      <c:valAx>
        <c:axId val="59152256"/>
        <c:scaling>
          <c:orientation val="minMax"/>
          <c:min val="50"/>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150720"/>
        <c:crosses val="autoZero"/>
        <c:crossBetween val="between"/>
      </c:valAx>
      <c:dTable>
        <c:showHorzBorder val="1"/>
        <c:showVertBorder val="1"/>
        <c:showOutline val="1"/>
        <c:showKeys val="0"/>
        <c:spPr>
          <a:noFill/>
          <a:ln w="9525" cap="flat" cmpd="sng" algn="ctr">
            <a:solidFill>
              <a:schemeClr val="tx1">
                <a:lumMod val="15000"/>
                <a:lumOff val="85000"/>
              </a:schemeClr>
            </a:solidFill>
            <a:prstDash val="solid"/>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defTabSz="914400">
              <a:defRPr lang="zh-CN" sz="1400" b="1" i="0" u="none" strike="noStrike" kern="1200" spc="0" baseline="0">
                <a:solidFill>
                  <a:schemeClr val="tx1">
                    <a:lumMod val="65000"/>
                    <a:lumOff val="35000"/>
                  </a:scheme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96</c:v>
                </c:pt>
                <c:pt idx="1">
                  <c:v>4</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1" i="0" u="none" strike="noStrike" kern="1200" spc="0" baseline="0">
                <a:solidFill>
                  <a:schemeClr val="tx1">
                    <a:lumMod val="65000"/>
                    <a:lumOff val="35000"/>
                  </a:scheme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97</c:v>
                </c:pt>
                <c:pt idx="1">
                  <c:v>3</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lang="zh-CN" sz="1400" b="0" i="0" u="none" strike="noStrike" kern="1200" spc="0" baseline="0">
                <a:solidFill>
                  <a:schemeClr val="tx1">
                    <a:lumMod val="65000"/>
                    <a:lumOff val="35000"/>
                  </a:scheme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4179566563467"/>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chemeClr val="accent3"/>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61468032"/>
        <c:axId val="61494400"/>
      </c:barChart>
      <c:catAx>
        <c:axId val="614680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1494400"/>
        <c:crosses val="autoZero"/>
        <c:auto val="1"/>
        <c:lblAlgn val="ctr"/>
        <c:lblOffset val="100"/>
        <c:noMultiLvlLbl val="0"/>
      </c:catAx>
      <c:valAx>
        <c:axId val="61494400"/>
        <c:scaling>
          <c:orientation val="minMax"/>
        </c:scaling>
        <c:delete val="0"/>
        <c:axPos val="b"/>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14680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2924</Words>
  <Characters>3156</Characters>
  <Lines>21</Lines>
  <Paragraphs>5</Paragraphs>
  <TotalTime>6</TotalTime>
  <ScaleCrop>false</ScaleCrop>
  <LinksUpToDate>false</LinksUpToDate>
  <CharactersWithSpaces>3186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YW</cp:lastModifiedBy>
  <dcterms:modified xsi:type="dcterms:W3CDTF">2023-03-08T09:26:20Z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2F606E965C3F47A2A23C8CF82E347772</vt:lpwstr>
  </property>
</Properties>
</file>