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简体" w:hAnsi="Tahoma" w:eastAsia="方正小标宋简体"/>
          <w:b/>
          <w:bCs/>
          <w:color w:val="FF0000"/>
          <w:spacing w:val="-46"/>
          <w:w w:val="80"/>
          <w:kern w:val="0"/>
          <w:sz w:val="84"/>
          <w:szCs w:val="84"/>
        </w:rPr>
      </w:pPr>
      <w:r>
        <w:rPr>
          <w:b/>
          <w:bCs/>
          <w:sz w:val="90"/>
          <w:szCs w:val="90"/>
        </w:rPr>
        <w:pict>
          <v:shape id="_x0000_s1026" o:spid="_x0000_s1026" o:spt="202" type="#_x0000_t202" style="position:absolute;left:0pt;margin-left:355.15pt;margin-top:16.1pt;height:87.85pt;width:101.9pt;z-index:251660288;mso-width-relative:page;mso-height-relative:page;" stroked="t" coordsize="21600,21600" o:gfxdata="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z6Yx2AAAAAoBAAAPAAAAAAAAAAEAIAAAACIAAABk&#10;cnMvZG93bnJldi54bWxQSwECFAAUAAAACACHTuJAE480/AYCAAA3BAAADgAAAAAAAAABACAAAAAn&#10;AQAAZHJzL2Uyb0RvYy54bWxQSwUGAAAAAAYABgBZAQAAnwUAAAAA&#10;">
            <v:path/>
            <v:fill focussize="0,0"/>
            <v:stroke color="#FFFFFF" joinstyle="miter"/>
            <v:imagedata o:title=""/>
            <o:lock v:ext="edit"/>
            <v:textbox>
              <w:txbxContent>
                <w:p>
                  <w:pPr>
                    <w:rPr>
                      <w:rFonts w:ascii="方正小标宋简体" w:hAnsi="Tahoma" w:eastAsia="方正小标宋简体"/>
                      <w:color w:val="FF0000"/>
                      <w:spacing w:val="-46"/>
                      <w:w w:val="80"/>
                      <w:kern w:val="0"/>
                      <w:sz w:val="104"/>
                      <w:szCs w:val="104"/>
                    </w:rPr>
                  </w:pPr>
                  <w:r>
                    <w:rPr>
                      <w:rFonts w:hint="eastAsia" w:ascii="方正小标宋简体" w:hAnsi="Tahoma" w:eastAsia="方正小标宋简体"/>
                      <w:b/>
                      <w:bCs/>
                      <w:color w:val="FF0000"/>
                      <w:spacing w:val="-46"/>
                      <w:w w:val="80"/>
                      <w:kern w:val="0"/>
                      <w:sz w:val="104"/>
                      <w:szCs w:val="104"/>
                    </w:rPr>
                    <w:t>文件</w:t>
                  </w:r>
                </w:p>
              </w:txbxContent>
            </v:textbox>
          </v:shape>
        </w:pict>
      </w:r>
      <w:r>
        <w:rPr>
          <w:rFonts w:hint="eastAsia" w:ascii="方正小标宋简体" w:hAnsi="Tahoma" w:eastAsia="方正小标宋简体"/>
          <w:b/>
          <w:bCs/>
          <w:color w:val="FF0000"/>
          <w:spacing w:val="-46"/>
          <w:w w:val="80"/>
          <w:kern w:val="0"/>
          <w:sz w:val="90"/>
          <w:szCs w:val="90"/>
        </w:rPr>
        <w:t>信阳市粮食和物资储备局</w:t>
      </w:r>
      <w:r>
        <w:rPr>
          <w:rFonts w:hint="eastAsia" w:ascii="方正小标宋简体" w:hAnsi="Tahoma" w:eastAsia="方正小标宋简体"/>
          <w:b/>
          <w:bCs/>
          <w:color w:val="FF0000"/>
          <w:spacing w:val="-46"/>
          <w:w w:val="80"/>
          <w:kern w:val="0"/>
          <w:sz w:val="84"/>
          <w:szCs w:val="84"/>
        </w:rPr>
        <w:t xml:space="preserve">               </w:t>
      </w:r>
    </w:p>
    <w:p>
      <w:pPr>
        <w:spacing w:line="360" w:lineRule="auto"/>
        <w:ind w:right="15" w:rightChars="7"/>
        <w:rPr>
          <w:rFonts w:ascii="方正小标宋简体" w:eastAsia="方正小标宋简体"/>
          <w:b/>
          <w:bCs/>
          <w:snapToGrid w:val="0"/>
          <w:color w:val="FF0000"/>
          <w:spacing w:val="64"/>
          <w:w w:val="90"/>
          <w:sz w:val="70"/>
          <w:szCs w:val="70"/>
        </w:rPr>
      </w:pPr>
      <w:r>
        <w:rPr>
          <w:rFonts w:hint="eastAsia" w:ascii="方正小标宋简体" w:hAnsi="Tahoma" w:eastAsia="方正小标宋简体"/>
          <w:b/>
          <w:bCs/>
          <w:color w:val="FF0000"/>
          <w:spacing w:val="-46"/>
          <w:w w:val="80"/>
          <w:kern w:val="0"/>
          <w:sz w:val="90"/>
          <w:szCs w:val="90"/>
        </w:rPr>
        <w:t>信阳市发展和改革委员会</w:t>
      </w:r>
    </w:p>
    <w:p>
      <w:pPr>
        <w:spacing w:line="560" w:lineRule="exact"/>
        <w:jc w:val="center"/>
        <w:rPr>
          <w:rFonts w:ascii="仿宋_GB2312" w:eastAsia="仿宋_GB2312"/>
          <w:sz w:val="32"/>
          <w:szCs w:val="32"/>
        </w:rPr>
      </w:pPr>
    </w:p>
    <w:p>
      <w:pPr>
        <w:spacing w:line="560" w:lineRule="exact"/>
        <w:jc w:val="center"/>
        <w:rPr>
          <w:rFonts w:ascii="黑体" w:eastAsia="黑体"/>
          <w:sz w:val="32"/>
          <w:szCs w:val="32"/>
        </w:rPr>
      </w:pPr>
      <w:r>
        <w:rPr>
          <w:rFonts w:hint="eastAsia" w:ascii="仿宋_GB2312" w:eastAsia="仿宋_GB2312"/>
          <w:sz w:val="32"/>
          <w:szCs w:val="32"/>
        </w:rPr>
        <w:t>信粮文〔2022〕27号</w:t>
      </w:r>
    </w:p>
    <w:p>
      <w:pPr>
        <w:spacing w:line="560" w:lineRule="exact"/>
        <w:rPr>
          <w:rFonts w:eastAsia="仿宋_GB2312"/>
          <w:color w:val="FF0000"/>
          <w:spacing w:val="90"/>
          <w:sz w:val="96"/>
        </w:rPr>
      </w:pPr>
      <w:r>
        <w:rPr>
          <w:rFonts w:ascii="仿宋_GB2312" w:eastAsia="仿宋_GB2312"/>
          <w:sz w:val="20"/>
          <w:szCs w:val="32"/>
        </w:rPr>
        <w:pict>
          <v:line id="_x0000_s1029" o:spid="_x0000_s1029" o:spt="20" style="position:absolute;left:0pt;margin-left:-9pt;margin-top:17.6pt;height:0pt;width:442.2pt;z-index:251659264;mso-width-relative:page;mso-height-relative:page;" stroked="t" coordsize="21600,21600" o:gfxdata="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pAU2AAAAAkBAAAPAAAAAAAAAAEAIAAAACIAAABkcnMvZG93bnJldi54bWxQ&#10;SwECFAAUAAAACACHTuJAhtaJbvcBAADlAwAADgAAAAAAAAABACAAAAAnAQAAZHJzL2Uyb0RvYy54&#10;bWxQSwUGAAAAAAYABgBZAQAAkAUAAAAA&#10;">
            <v:path arrowok="t"/>
            <v:fill focussize="0,0"/>
            <v:stroke weight="1pt" color="#FF0000"/>
            <v:imagedata o:title=""/>
            <o:lock v:ext="edit"/>
          </v:line>
        </w:pict>
      </w:r>
    </w:p>
    <w:p>
      <w:pPr>
        <w:spacing w:line="560" w:lineRule="exact"/>
        <w:jc w:val="center"/>
        <w:rPr>
          <w:rFonts w:ascii="微软雅黑" w:hAnsi="微软雅黑" w:eastAsia="微软雅黑" w:cs="微软雅黑"/>
          <w:color w:val="000000" w:themeColor="text1"/>
          <w:kern w:val="0"/>
          <w:sz w:val="36"/>
          <w:szCs w:val="36"/>
        </w:rPr>
      </w:pPr>
    </w:p>
    <w:p>
      <w:pPr>
        <w:spacing w:line="560" w:lineRule="exact"/>
        <w:jc w:val="center"/>
        <w:rPr>
          <w:rFonts w:ascii="微软雅黑" w:hAnsi="微软雅黑" w:eastAsia="微软雅黑" w:cs="微软雅黑"/>
          <w:color w:val="000000" w:themeColor="text1"/>
          <w:kern w:val="0"/>
          <w:sz w:val="36"/>
          <w:szCs w:val="36"/>
        </w:rPr>
      </w:pPr>
      <w:r>
        <w:rPr>
          <w:rFonts w:hint="eastAsia" w:ascii="微软雅黑" w:hAnsi="微软雅黑" w:eastAsia="微软雅黑" w:cs="微软雅黑"/>
          <w:color w:val="000000" w:themeColor="text1"/>
          <w:kern w:val="0"/>
          <w:sz w:val="36"/>
          <w:szCs w:val="36"/>
        </w:rPr>
        <w:t>信阳市粮食和物资储备局 信阳市发展和改革委员会</w:t>
      </w:r>
    </w:p>
    <w:p>
      <w:pPr>
        <w:spacing w:line="560" w:lineRule="exact"/>
        <w:jc w:val="center"/>
        <w:rPr>
          <w:rFonts w:ascii="微软雅黑" w:hAnsi="微软雅黑" w:eastAsia="微软雅黑" w:cs="微软雅黑"/>
          <w:color w:val="000000" w:themeColor="text1"/>
          <w:kern w:val="0"/>
          <w:sz w:val="36"/>
          <w:szCs w:val="36"/>
        </w:rPr>
      </w:pPr>
      <w:r>
        <w:rPr>
          <w:rFonts w:hint="eastAsia" w:ascii="微软雅黑" w:hAnsi="微软雅黑" w:eastAsia="微软雅黑" w:cs="微软雅黑"/>
          <w:color w:val="000000" w:themeColor="text1"/>
          <w:kern w:val="0"/>
          <w:sz w:val="36"/>
          <w:szCs w:val="36"/>
        </w:rPr>
        <w:t>关于印发《信阳市“十四五”粮食和物资储备发展规划》的通知</w:t>
      </w:r>
    </w:p>
    <w:p>
      <w:pPr>
        <w:spacing w:line="560" w:lineRule="exact"/>
        <w:jc w:val="left"/>
        <w:rPr>
          <w:rFonts w:ascii="微软雅黑" w:hAnsi="微软雅黑" w:eastAsia="微软雅黑" w:cs="微软雅黑"/>
          <w:b/>
          <w:bCs/>
          <w:color w:val="000000" w:themeColor="text1"/>
          <w:kern w:val="0"/>
          <w:sz w:val="36"/>
          <w:szCs w:val="36"/>
        </w:rPr>
      </w:pPr>
    </w:p>
    <w:p>
      <w:pPr>
        <w:spacing w:line="560" w:lineRule="exac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各县区发展改革委员会、粮食和物资储备局（中心）：</w:t>
      </w:r>
    </w:p>
    <w:p>
      <w:pPr>
        <w:spacing w:line="560" w:lineRule="exact"/>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现将《信阳市“十四五”粮食和物资储备发展规划》印发给你们，请认真贯彻执行。</w:t>
      </w:r>
    </w:p>
    <w:p>
      <w:pPr>
        <w:spacing w:line="560" w:lineRule="exact"/>
        <w:ind w:firstLine="640"/>
        <w:rPr>
          <w:rFonts w:ascii="仿宋" w:hAnsi="仿宋" w:eastAsia="仿宋" w:cs="仿宋"/>
          <w:color w:val="000000" w:themeColor="text1"/>
          <w:kern w:val="0"/>
          <w:sz w:val="32"/>
          <w:szCs w:val="32"/>
        </w:rPr>
      </w:pPr>
    </w:p>
    <w:p>
      <w:pPr>
        <w:spacing w:line="560" w:lineRule="exact"/>
        <w:ind w:firstLine="640"/>
        <w:rPr>
          <w:rFonts w:ascii="仿宋" w:hAnsi="仿宋" w:eastAsia="仿宋" w:cs="仿宋"/>
          <w:color w:val="000000" w:themeColor="text1"/>
          <w:kern w:val="0"/>
          <w:sz w:val="32"/>
          <w:szCs w:val="32"/>
        </w:rPr>
      </w:pPr>
    </w:p>
    <w:p>
      <w:pPr>
        <w:spacing w:line="560" w:lineRule="exact"/>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信阳市粮食和物资储备局    信阳市发展和改革委员会</w:t>
      </w:r>
    </w:p>
    <w:p>
      <w:pPr>
        <w:spacing w:line="560" w:lineRule="exact"/>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2022年4月15日</w:t>
      </w:r>
    </w:p>
    <w:p>
      <w:pPr>
        <w:spacing w:line="560" w:lineRule="exact"/>
        <w:rPr>
          <w:rFonts w:ascii="仿宋" w:hAnsi="仿宋" w:eastAsia="仿宋" w:cs="仿宋"/>
          <w:color w:val="000000" w:themeColor="text1"/>
          <w:kern w:val="0"/>
          <w:sz w:val="32"/>
          <w:szCs w:val="32"/>
        </w:rPr>
      </w:pPr>
    </w:p>
    <w:p>
      <w:pPr>
        <w:spacing w:line="560" w:lineRule="exact"/>
        <w:jc w:val="center"/>
        <w:rPr>
          <w:rFonts w:ascii="微软雅黑" w:hAnsi="微软雅黑" w:eastAsia="微软雅黑" w:cs="微软雅黑"/>
          <w:color w:val="000000" w:themeColor="text1"/>
          <w:kern w:val="0"/>
          <w:sz w:val="44"/>
          <w:szCs w:val="44"/>
        </w:rPr>
      </w:pPr>
      <w:r>
        <w:rPr>
          <w:rFonts w:hint="eastAsia" w:ascii="微软雅黑" w:hAnsi="微软雅黑" w:eastAsia="微软雅黑" w:cs="微软雅黑"/>
          <w:color w:val="000000" w:themeColor="text1"/>
          <w:kern w:val="0"/>
          <w:sz w:val="44"/>
          <w:szCs w:val="44"/>
        </w:rPr>
        <w:t>信阳市“十四五”粮食和物资储备发展规划</w:t>
      </w:r>
    </w:p>
    <w:p>
      <w:pPr>
        <w:spacing w:line="560" w:lineRule="exact"/>
        <w:jc w:val="center"/>
        <w:rPr>
          <w:rFonts w:ascii="仿宋" w:hAnsi="仿宋" w:eastAsia="仿宋" w:cs="仿宋"/>
          <w:color w:val="000000" w:themeColor="text1"/>
          <w:kern w:val="0"/>
          <w:sz w:val="32"/>
          <w:szCs w:val="32"/>
        </w:rPr>
      </w:pP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十四五”时期，是开启全面建设社会主义现代化国家新征程、向第二个百年奋斗目标进军的第一个五年，也是进入具有新的历史特点的重要战略机遇期。粮食安全和应急物资保障工作任务艰巨，科学谋划未来五年全市粮食安全和应急物资保障工作意义重大。根据《信阳市国民经济和社会发展第十四个五年规划和二〇三五年远景目标纲要》要求，与国家、河南省相关发展规划紧密衔接，结合我市粮食和物资储备发展实际,编制本规划。 </w:t>
      </w:r>
    </w:p>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第一章 规划背景</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“十三五”发展成就回顾</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“十三五”时期,全市粮食和物资储备系统在市委、市政府的坚强领导下,以习近平新时代中国特色社会主义思想为指导, 认真贯彻落实总体国家安全观和国家粮食安全战略,加快推进粮食储备管理体制机制改革,着力促进粮食产业高质量发展,不断完善粮食和物资储备安全保障体系,总体完成 “十三五”规划目标任务,为促进全市经济社会发展,支撑国家粮食安全作出了应有贡献。</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——收储调控能力显著提升。</w:t>
      </w:r>
      <w:r>
        <w:rPr>
          <w:rFonts w:hint="eastAsia" w:ascii="仿宋" w:hAnsi="仿宋" w:eastAsia="仿宋" w:cs="仿宋"/>
          <w:color w:val="000000" w:themeColor="text1"/>
          <w:kern w:val="0"/>
          <w:sz w:val="32"/>
          <w:szCs w:val="32"/>
        </w:rPr>
        <w:t>“十三五”时期,全市粮食和物资储备系统认真执行国家粮食收购 政 策,累 计 收 购 粮 食 约 2000万吨,其中最低收购价粮食约560万吨（稻谷480、小麦80万吨）,守住了农民 “种粮卖得出”底线。市县两级粮食储备体系更加完善,完成省下达的粮食储备任务。粮食应急保障体系不断完善,全</w:t>
      </w:r>
      <w:r>
        <w:rPr>
          <w:rFonts w:ascii="仿宋" w:hAnsi="仿宋" w:eastAsia="仿宋" w:cs="仿宋"/>
          <w:color w:val="000000" w:themeColor="text1"/>
          <w:kern w:val="0"/>
          <w:sz w:val="32"/>
          <w:szCs w:val="32"/>
        </w:rPr>
        <w:t>市</w:t>
      </w:r>
      <w:r>
        <w:rPr>
          <w:rFonts w:hint="eastAsia" w:ascii="仿宋" w:hAnsi="仿宋" w:eastAsia="仿宋" w:cs="仿宋"/>
          <w:color w:val="000000" w:themeColor="text1"/>
          <w:kern w:val="0"/>
          <w:sz w:val="32"/>
          <w:szCs w:val="32"/>
        </w:rPr>
        <w:t>入统应急供应网点183个,应急加工企业30个,应急储运企业23个,应急配送中心 18个,有效应对了新冠肺炎疫情考验。扎实做好军粮供应和保障服务工作。坚持“优势互补、互惠互利”的原则，与厦门、惠州、安顺等销区建立粮食产销合作伙伴关系，年粮食外销量约100万吨，形成了健康发展的粮食产销合作格局。</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——产业实力明显提升</w:t>
      </w:r>
      <w:r>
        <w:rPr>
          <w:rFonts w:hint="eastAsia" w:ascii="仿宋" w:hAnsi="仿宋" w:eastAsia="仿宋" w:cs="仿宋"/>
          <w:color w:val="000000" w:themeColor="text1"/>
          <w:kern w:val="0"/>
          <w:sz w:val="32"/>
          <w:szCs w:val="32"/>
        </w:rPr>
        <w:t xml:space="preserve">。坚持以建设粮食产业强市为目标，以项目建设为抓手，加快“三链同构”“五优联动”，粮食产业实现高质量发展，全市粮油加工企业达到205家，年粮油加工能力达到1872万吨。2020年全市粮油加工业总产值达到180亿元。深入推进优质粮食工程,建成粮食产后服务中心130个,粮食质检中心9个,“好粮油”示范县3个, “河南好粮油”产品15个。 </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——依法管粮管储水平提高。</w:t>
      </w:r>
      <w:r>
        <w:rPr>
          <w:rFonts w:hint="eastAsia" w:ascii="仿宋" w:hAnsi="仿宋" w:eastAsia="仿宋" w:cs="仿宋"/>
          <w:color w:val="000000" w:themeColor="text1"/>
          <w:kern w:val="0"/>
          <w:sz w:val="32"/>
          <w:szCs w:val="32"/>
        </w:rPr>
        <w:t>积极转变行政职能，加强制度建设，严格依法行政，强化依法管粮，圆满完成了粮食安全隐患大排查快整治严执法集中行动、全国性政策性粮食库存数量和质量大清查等工作，整改涉粮问题495个，查处涉粮案件2例，给予行政处罚2例，确保政策性粮食数量真实、质量良好、储存安全。</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——粮食安全责任制全面建立。</w:t>
      </w:r>
      <w:r>
        <w:rPr>
          <w:rFonts w:hint="eastAsia" w:ascii="仿宋" w:hAnsi="仿宋" w:eastAsia="仿宋" w:cs="仿宋"/>
          <w:color w:val="000000" w:themeColor="text1"/>
          <w:kern w:val="0"/>
          <w:sz w:val="32"/>
          <w:szCs w:val="32"/>
        </w:rPr>
        <w:t>建立健全粮食安全市长责任制考核机制，粮食安全考核任务层层落实，推动形成上下贯通、横向紧密的工作落实合力。创新考核方式，优化考核体系，在省政府组织的粮食安全责任制考核中，我市连续三年考核均为“优秀”等次，其中2016年获得全省第二名、2018年获得全省第四名的成绩，受到省政府通报表扬。</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新阶段面临新机遇新挑战</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“十四五”时期,国内外发展环境更加错综复杂,我市粮食和物资储备发展仍处于重要的战略机遇期,但机遇和挑战都有新的变化。</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全市粮食和物资储备发展面临难得的机遇。国家把粮食安全摆在更加突出位置，明确粮食安全实行党政同责，出台保障粮食安全的系列支持政策，有利于发挥我市粮食综合优势，增强粮食安全保障能力;深入实施优质粮食工程，有利于促进我市粮食产业转型升级，加快粮食产业高质量发展;国家加大高标准粮仓、绿色仓储设施、现代粮食物流骨干网络和应急能力建设力度，有利于我市争取更多国家支持，改善仓储物流条件。</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全市粮食和物资储备工作面临严峻的挑战。我市作为产粮大市和粮食调出大市，保障粮食安全的任务越来越繁重;粮食流通基础设施布局不合理，区域性收储能力不足，储粮条件落后的状况尚未彻底改变；粮食物流通道不畅，粮食流通效率低；粮油加工企业结构“小而散”，科技创新能力不强，精深加工滞后等问题突出。新冠肺炎疫情影响广泛深远，自然灾害和公共卫生突发事件频发，对粮食和物资安全保障能力建设提出更高要求。</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面对新机遇新挑战,全市粮食和物资储备系统要切实增强机遇意识和风险意识,必须准确把握战略机遇，增强忧患意识、责任意识，强化底线思维，尊重客观规律与市情粮情，坚持社会主义市场经济改革方向，调动各方面积极性，着力在优化结构、增强动力、化解矛盾、补齐短板上取得突破，切实转变发展方式，提高产业发展质量效益，全面增强粮食安全和应急物资保障能力。</w:t>
      </w:r>
    </w:p>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第二章 总体要求</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指导思想</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坚持以习近平新时代中国特色社会主义思想为指导，立足新发展阶段，贯彻新发展理念，建新发展格局，认真落实总体国家安全观和国家粮食安全战略、乡村振兴战略，主动对接大别山革命老区振兴发展规划、中部地区崛起战略、黄河流域生态保护和高质量发展战略，聚焦粮食和物资储备安全核心职能，以深化供给侧结构性改革为主线，以改革创新为动力，以满足人民日益增长的美好生活需要为根本目的，着力提升粮食收储调控能力，着力提升粮食产业质量效益和竞争力，着力提升粮食和物资储备基础设施支撑能力，着力提升现代化治理能力和治理水平，加快构建更高层次、更高质量、更有效率、更可持续的粮食和物资储备安全保障体系。</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基本原则</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——坚持系统观念。</w:t>
      </w:r>
      <w:r>
        <w:rPr>
          <w:rFonts w:hint="eastAsia" w:ascii="仿宋" w:hAnsi="仿宋" w:eastAsia="仿宋" w:cs="仿宋"/>
          <w:color w:val="000000" w:themeColor="text1"/>
          <w:kern w:val="0"/>
          <w:sz w:val="32"/>
          <w:szCs w:val="32"/>
        </w:rPr>
        <w:t xml:space="preserve">着眼于全面提高粮食和物资储备安全保障能力,坚持问题导向,强化底线思维,紧盯弱项短板,注重防范化解重大风险挑战,实现防风险、稳市场、守底线、保安全、促发展相统一。 </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——坚持市场化方向。</w:t>
      </w:r>
      <w:r>
        <w:rPr>
          <w:rFonts w:hint="eastAsia" w:ascii="仿宋" w:hAnsi="仿宋" w:eastAsia="仿宋" w:cs="仿宋"/>
          <w:color w:val="000000" w:themeColor="text1"/>
          <w:kern w:val="0"/>
          <w:sz w:val="32"/>
          <w:szCs w:val="32"/>
        </w:rPr>
        <w:t xml:space="preserve">持续深化 “放管服”改革,充分激发各类市场主体的活力,强化政府储备公共产品属性,更好发挥政府在规划引领、监管服务和政策支持等方面的作用,推动有效市场和有为政府更好结合。 </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——坚持绿色引领。</w:t>
      </w:r>
      <w:r>
        <w:rPr>
          <w:rFonts w:hint="eastAsia" w:ascii="仿宋" w:hAnsi="仿宋" w:eastAsia="仿宋" w:cs="仿宋"/>
          <w:color w:val="000000" w:themeColor="text1"/>
          <w:kern w:val="0"/>
          <w:sz w:val="32"/>
          <w:szCs w:val="32"/>
        </w:rPr>
        <w:t>强化科技创新驱动,大力推广绿色储粮技术和适度加工技术,协同推进粮食初加工、深加工和副产物综合利用,发展粮食绿色循环经济,倡导绿色健康消费习惯,转变粮食生产方式和消费方式,构建集约高效可持续的长效发展机制。</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——坚持高质量发展。</w:t>
      </w:r>
      <w:r>
        <w:rPr>
          <w:rFonts w:hint="eastAsia" w:ascii="仿宋" w:hAnsi="仿宋" w:eastAsia="仿宋" w:cs="仿宋"/>
          <w:color w:val="000000" w:themeColor="text1"/>
          <w:kern w:val="0"/>
          <w:sz w:val="32"/>
          <w:szCs w:val="32"/>
        </w:rPr>
        <w:t xml:space="preserve">树立 “大粮食” “大产业” “大市场”“大流通”理念,延伸粮食产业链、提升价值链、打造供应链,推进粮食全产业链发展,促进一二三产业深度融合,夯实保障粮食安全的产业基础。 </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——坚持依法管粮管储。</w:t>
      </w:r>
      <w:r>
        <w:rPr>
          <w:rFonts w:hint="eastAsia" w:ascii="仿宋" w:hAnsi="仿宋" w:eastAsia="仿宋" w:cs="仿宋"/>
          <w:color w:val="000000" w:themeColor="text1"/>
          <w:kern w:val="0"/>
          <w:sz w:val="32"/>
          <w:szCs w:val="32"/>
        </w:rPr>
        <w:t xml:space="preserve">强化法治思维,运用法治手段,加快推进我市粮食和物资储备管理现代化,全面加强执法监管,确保各类粮食和物资储备数量真实,质量可靠,确保关键时刻拿得出、调得动、用得上。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发展目标</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着力实施粮食储备体系升级、粮食调控能力提升、仓储设施提升、粮食产业升级、救灾物资设施提升、科技人才兴粮兴储、数字化信息化建设、粮食质量安全检验监测能力提升等“8大工程”，加快构建完善粮食储备、粮食调控、粮食仓储物流、粮食产业、本土企业培育、物资储备、科技人才支撑、依法治理等“8大体系”，到2025年，基本建成与全市经济发展相适应的现代粮食和物资储备安全保障体系。</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——粮食收储调控更加有力。</w:t>
      </w:r>
      <w:r>
        <w:rPr>
          <w:rFonts w:hint="eastAsia" w:ascii="仿宋" w:hAnsi="仿宋" w:eastAsia="仿宋" w:cs="仿宋"/>
          <w:color w:val="000000" w:themeColor="text1"/>
          <w:kern w:val="0"/>
          <w:sz w:val="32"/>
          <w:szCs w:val="32"/>
        </w:rPr>
        <w:t>粮食收储制度改革持续深化,粮食储备体系进一步完善,政企互补的粮食储备格局逐步形成;粮食储备规模、布局和品种结构更加合理优化,储备管理水平得到明显提高;粮食应急体系更加完善，粮食应急保障能力显著增强,区域粮食市场更加稳定有序。</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——粮食产业发展更加高效。</w:t>
      </w:r>
      <w:r>
        <w:rPr>
          <w:rFonts w:hint="eastAsia" w:ascii="仿宋" w:hAnsi="仿宋" w:eastAsia="仿宋" w:cs="仿宋"/>
          <w:color w:val="000000" w:themeColor="text1"/>
          <w:kern w:val="0"/>
          <w:sz w:val="32"/>
          <w:szCs w:val="32"/>
        </w:rPr>
        <w:t xml:space="preserve">粮食加工布局更加合理, “三链同构”取得有效进展, “五优联动”得到全面推广，优质品牌示范带动效应明显增强,粮食产业质量效益竞争力全面提升。到2025年,全市粮食加工业总产值达到330亿元,粮食精深加工产值占比达到40%,粮食加工转化率达到80%以上。 </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——粮食流通基础设施更加完备。</w:t>
      </w:r>
      <w:r>
        <w:rPr>
          <w:rFonts w:hint="eastAsia" w:ascii="仿宋" w:hAnsi="仿宋" w:eastAsia="仿宋" w:cs="仿宋"/>
          <w:color w:val="000000" w:themeColor="text1"/>
          <w:kern w:val="0"/>
          <w:sz w:val="32"/>
          <w:szCs w:val="32"/>
        </w:rPr>
        <w:t>粮食仓储物流基础设施更加优化，信息化、数字化水平大幅提升，基本形成资源共享、布局合理、功能完备的现代粮食流通基础设施体系，重要的粮食物流节点初步建成。到2025年，全市浅圆仓、立筒仓等机械化程度较高的仓容达到30万吨，绿色储粮仓容达到50万吨。</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——物资储备体系更加健全。</w:t>
      </w:r>
      <w:r>
        <w:rPr>
          <w:rFonts w:hint="eastAsia" w:ascii="仿宋" w:hAnsi="仿宋" w:eastAsia="仿宋" w:cs="仿宋"/>
          <w:color w:val="000000" w:themeColor="text1"/>
          <w:kern w:val="0"/>
          <w:sz w:val="32"/>
          <w:szCs w:val="32"/>
        </w:rPr>
        <w:t>战略和应急物资储备体制机制更加健全,救灾物资储备规模和种类能够满足应对处置重大突发事件的需要,重要物资管理和设施建设得到系统加强,全市统一的物资储备体系初步形成。</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——科技人才支撑作用更加突出。</w:t>
      </w:r>
      <w:r>
        <w:rPr>
          <w:rFonts w:hint="eastAsia" w:ascii="仿宋" w:hAnsi="仿宋" w:eastAsia="仿宋" w:cs="仿宋"/>
          <w:color w:val="000000" w:themeColor="text1"/>
          <w:kern w:val="0"/>
          <w:sz w:val="32"/>
          <w:szCs w:val="32"/>
        </w:rPr>
        <w:t>粮食和物资储备科技创新取得有效进展,形成一批有价值的科技成果;人才兴粮工程深入实施,科技、产业与人才互动发展机制初步形成,粮食和物资储备行业人才凝聚力、吸引力显著增强。到2025年,规模以上粮食加工企业研发投入显著增加。</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——依法监督管理更加有效。</w:t>
      </w:r>
      <w:r>
        <w:rPr>
          <w:rFonts w:hint="eastAsia" w:ascii="仿宋" w:hAnsi="仿宋" w:eastAsia="仿宋" w:cs="仿宋"/>
          <w:color w:val="000000" w:themeColor="text1"/>
          <w:kern w:val="0"/>
          <w:sz w:val="32"/>
          <w:szCs w:val="32"/>
        </w:rPr>
        <w:t>粮食安全责任制得到全面落实,粮食安全制度体系更加完善,依法行政水平进一步提高,“双随机、一公开”监管全面推进,粮食质量安全检验监测能力不断加强,质量安全追溯体系基本建成。</w:t>
      </w:r>
    </w:p>
    <w:p>
      <w:pPr>
        <w:spacing w:beforeLines="50" w:afterLines="50" w:line="560"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 xml:space="preserve">表 “十四五”时期粮食和物资储备发展主要指标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6"/>
        <w:gridCol w:w="4175"/>
        <w:gridCol w:w="1000"/>
        <w:gridCol w:w="800"/>
        <w:gridCol w:w="837"/>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86" w:type="dxa"/>
            <w:noWrap/>
            <w:vAlign w:val="center"/>
          </w:tcPr>
          <w:p>
            <w:pPr>
              <w:pStyle w:val="1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类别</w:t>
            </w:r>
          </w:p>
        </w:tc>
        <w:tc>
          <w:tcPr>
            <w:tcW w:w="4175" w:type="dxa"/>
            <w:noWrap/>
            <w:vAlign w:val="center"/>
          </w:tcPr>
          <w:p>
            <w:pPr>
              <w:pStyle w:val="1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指标</w:t>
            </w:r>
          </w:p>
        </w:tc>
        <w:tc>
          <w:tcPr>
            <w:tcW w:w="1000" w:type="dxa"/>
            <w:noWrap/>
            <w:vAlign w:val="center"/>
          </w:tcPr>
          <w:p>
            <w:pPr>
              <w:pStyle w:val="1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单位</w:t>
            </w:r>
          </w:p>
        </w:tc>
        <w:tc>
          <w:tcPr>
            <w:tcW w:w="800" w:type="dxa"/>
            <w:noWrap/>
            <w:vAlign w:val="center"/>
          </w:tcPr>
          <w:p>
            <w:pPr>
              <w:pStyle w:val="1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2020</w:t>
            </w:r>
          </w:p>
          <w:p>
            <w:pPr>
              <w:pStyle w:val="1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年</w:t>
            </w:r>
          </w:p>
        </w:tc>
        <w:tc>
          <w:tcPr>
            <w:tcW w:w="837" w:type="dxa"/>
            <w:noWrap/>
            <w:vAlign w:val="center"/>
          </w:tcPr>
          <w:p>
            <w:pPr>
              <w:pStyle w:val="1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2025年</w:t>
            </w:r>
          </w:p>
        </w:tc>
        <w:tc>
          <w:tcPr>
            <w:tcW w:w="1148" w:type="dxa"/>
            <w:noWrap/>
            <w:vAlign w:val="center"/>
          </w:tcPr>
          <w:p>
            <w:pPr>
              <w:pStyle w:val="1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86" w:type="dxa"/>
            <w:vMerge w:val="restart"/>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粮食供应</w:t>
            </w: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地方储备粮规模完成情况</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粮食应急供应能力</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吨/天</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2000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2500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应急供应网点</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个</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183</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210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应急加工企业</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个</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35</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986" w:type="dxa"/>
            <w:vMerge w:val="restart"/>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粮食产业</w:t>
            </w: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粮食加工业总产值</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亿元</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180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330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粮食精深加工产值占比</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15</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粮食加工转化率</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65</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主食产业化率</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主食加工中央厨房</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个</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986" w:type="dxa"/>
            <w:vMerge w:val="restart"/>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设施建设</w:t>
            </w: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浅圆仓、立筒仓等机械化程度较高的仓容</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万吨</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绿色储粮仓容</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万吨</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省内粮食物流节点</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个</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986"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物资储备</w:t>
            </w: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市级物资储备库区面积</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平方米</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3000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vMerge w:val="restart"/>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科技人才</w:t>
            </w: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规模以上企业研发投入占主营业务收入比例</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0.2</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0.5</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年均科技专利总量</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个</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三级以上专业技术人员数量</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人</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541</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600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地方储备承储库点信息化覆盖率</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986" w:type="dxa"/>
            <w:vMerge w:val="continue"/>
            <w:noWrap/>
            <w:vAlign w:val="center"/>
          </w:tcPr>
          <w:p>
            <w:pPr>
              <w:pStyle w:val="12"/>
              <w:jc w:val="center"/>
              <w:rPr>
                <w:rFonts w:ascii="仿宋" w:hAnsi="仿宋" w:eastAsia="仿宋" w:cs="仿宋"/>
                <w:color w:val="000000" w:themeColor="text1"/>
                <w:sz w:val="24"/>
                <w:szCs w:val="24"/>
              </w:rPr>
            </w:pP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政策性粮食储备承储库点信息化覆盖率</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60</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80</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986"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质量</w:t>
            </w:r>
          </w:p>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提升</w:t>
            </w:r>
          </w:p>
        </w:tc>
        <w:tc>
          <w:tcPr>
            <w:tcW w:w="4175"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“一符四无”粮油率</w:t>
            </w:r>
          </w:p>
        </w:tc>
        <w:tc>
          <w:tcPr>
            <w:tcW w:w="10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800"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97</w:t>
            </w:r>
          </w:p>
        </w:tc>
        <w:tc>
          <w:tcPr>
            <w:tcW w:w="837"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98</w:t>
            </w:r>
          </w:p>
        </w:tc>
        <w:tc>
          <w:tcPr>
            <w:tcW w:w="1148" w:type="dxa"/>
            <w:noWrap/>
            <w:vAlign w:val="center"/>
          </w:tcPr>
          <w:p>
            <w:pPr>
              <w:pStyle w:val="12"/>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约束性</w:t>
            </w:r>
          </w:p>
        </w:tc>
      </w:tr>
    </w:tbl>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第三章 推进体制机制改革,构建完善的粮食储备体系</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深化粮食储备体制机制改革,严格储备安全管理,更好发挥政府储备调节本行政区域内粮食供求,稳定粮食市场,以及应对重大自然灾害或者其他突发事件的作用,切实提高区域粮食安全保障能力。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优化粮食储备结构</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严格落实省下达的储备规模计划,确保储备规模足额到位。建立政府储备规模动态调整机制。按照以口粮为主,兼顾饲料用粮,优化储备品种结构,使之与区域粮食消费相适应。小麦、稻谷等口粮品种 (含成品粮)合计比例原则上不得低于储备计划的70%。紧密结合城镇化背景下人口分布的变化和粮食市场需求,合理布局政府储备库点,优化储备布局,增强粮食保供能力。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完善粮食储备管理体制机制</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坚持分级储备、分级负责、分级管理原则,完善市县两级政府储备体系,加强市级储备与县级储备协同运作，在布局、结构和数量上达到优势互补，共同保障区域粮食安全。改革政府储备运营管理体制机制,按照政策性职能和经营性职能分开的原则,政府储备承储企业储备运营业务与企业商业经营业务实行分离,人员、实物、财务、账务管理严格分开。强化政府储备安全管理,制定完善政府储备安全管理规章制度和基础工作规范,加强承储企业和库点安全管理、质量管理,做到数量、质量、品种、地点 “四落实”,实行专仓储存、专人保管、专账记载,确保账实相符、账账相符,守住政府储备 “数量真实、质量良好、储存安全、管理规范”的底线。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构建多元粮食储备体系</w:t>
      </w:r>
    </w:p>
    <w:p>
      <w:pPr>
        <w:spacing w:line="560" w:lineRule="exact"/>
        <w:ind w:firstLine="640" w:firstLineChars="200"/>
        <w:rPr>
          <w:rFonts w:ascii="仿宋" w:hAnsi="仿宋" w:eastAsia="仿宋" w:cs="仿宋"/>
          <w:b/>
          <w:bCs/>
          <w:color w:val="000000" w:themeColor="text1"/>
          <w:kern w:val="0"/>
          <w:sz w:val="32"/>
          <w:szCs w:val="32"/>
        </w:rPr>
      </w:pPr>
      <w:r>
        <w:rPr>
          <w:rFonts w:hint="eastAsia" w:ascii="仿宋" w:hAnsi="仿宋" w:eastAsia="仿宋" w:cs="仿宋"/>
          <w:color w:val="000000" w:themeColor="text1"/>
          <w:kern w:val="0"/>
          <w:sz w:val="32"/>
          <w:szCs w:val="32"/>
        </w:rPr>
        <w:t xml:space="preserve">建立粮食加工企业社会责任储备。落实我市 《关于建立粮食加工企业社会责任储备的实施意见》,按照明确功能、分级建立、分步到位的原则,由市、县人民政府,结合本行政区实际,督促和指导规模以上面粉、大米加工企业建立一定规模的社会责任储备,增强粮食应急保供能力。鼓励粮食经营企业保持合理的商业库存,执行特定情况下的粮食库存量。支持家庭农场、农民合作社、农业产业化龙头企业自主存粮,鼓励大型超市及机关、学校、医院、大中型企事业等单位食堂,根据需要储存一定数量的成品粮。推广应用节粮减损、绿色储粮新装具,科学引导城乡居民适度存粮,构建功能互补、权责清晰、协同高效的多元粮食储备体系。 </w:t>
      </w:r>
    </w:p>
    <w:p>
      <w:pPr>
        <w:spacing w:beforeLines="50" w:afterLines="50" w:line="560" w:lineRule="exact"/>
        <w:jc w:val="center"/>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专栏1 粮食储备体系升级工程</w:t>
      </w:r>
      <w:r>
        <w:rPr>
          <w:rFonts w:hint="eastAsia" w:ascii="仿宋" w:hAnsi="仿宋" w:eastAsia="仿宋" w:cs="仿宋"/>
          <w:color w:val="000000" w:themeColor="text1"/>
          <w:kern w:val="0"/>
          <w:sz w:val="32"/>
          <w:szCs w:val="32"/>
        </w:rPr>
        <w:t xml:space="preserve">   </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8946" w:type="dxa"/>
            <w:noWrap/>
            <w:vAlign w:val="center"/>
          </w:tcPr>
          <w:p>
            <w:pPr>
              <w:pStyle w:val="2"/>
              <w:spacing w:line="400" w:lineRule="exact"/>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优化政府储备结构。</w:t>
            </w:r>
            <w:r>
              <w:rPr>
                <w:rFonts w:hint="eastAsia" w:ascii="仿宋" w:hAnsi="仿宋" w:eastAsia="仿宋" w:cs="仿宋"/>
                <w:color w:val="000000" w:themeColor="text1"/>
                <w:sz w:val="28"/>
                <w:szCs w:val="28"/>
              </w:rPr>
              <w:t>政府储备规模实行动态调整。政府储备以口粮品种为主,口粮品种比例原则上不低于70%,储备品种在满足口粮需求的基础上，兼顾饲料用粮需求。</w:t>
            </w:r>
          </w:p>
          <w:p>
            <w:pPr>
              <w:spacing w:line="400" w:lineRule="exact"/>
              <w:ind w:firstLine="562" w:firstLineChars="200"/>
              <w:rPr>
                <w:rFonts w:ascii="仿宋" w:hAnsi="仿宋" w:eastAsia="仿宋" w:cs="仿宋"/>
                <w:color w:val="000000" w:themeColor="text1"/>
                <w:szCs w:val="21"/>
              </w:rPr>
            </w:pPr>
            <w:r>
              <w:rPr>
                <w:rFonts w:hint="eastAsia" w:ascii="仿宋" w:hAnsi="仿宋" w:eastAsia="仿宋" w:cs="仿宋"/>
                <w:b/>
                <w:bCs/>
                <w:color w:val="000000" w:themeColor="text1"/>
                <w:sz w:val="28"/>
                <w:szCs w:val="28"/>
              </w:rPr>
              <w:t>推动建立粮食加工企业社会责任储备。</w:t>
            </w:r>
            <w:r>
              <w:rPr>
                <w:rFonts w:hint="eastAsia" w:ascii="仿宋" w:hAnsi="仿宋" w:eastAsia="仿宋" w:cs="仿宋"/>
                <w:color w:val="000000" w:themeColor="text1"/>
                <w:sz w:val="28"/>
                <w:szCs w:val="28"/>
              </w:rPr>
              <w:t>按照 “先试点、后展开”要求和 “先面粉、后大米”的顺序,开展粮食加工企业社会责任储备试点工作,在总结试点经验的基础上逐步在全省范围内铺开。到 “十四五”末,所有符合条件的粮食加工企业均建立起社会责任储备。</w:t>
            </w:r>
          </w:p>
        </w:tc>
      </w:tr>
    </w:tbl>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第四章 提高保供稳市能力,构建完备的粮食调控体系</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深化粮食收储制度改革,充分激发市场活力,加强粮食市场调控,做好粮食市场和流通的文章,确保粮食市场平稳有序运行,守住粮食安全底线。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深化粮食收储制度改革</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统筹抓好粮食政策性收购和市场化收购。认真落实国家粮食最低收购价政策,发挥政策性收购 “兜底线、稳预期”作用,保护农民种粮合理收益。有效落实粮食收购企业备案管理制度,降低市场准入门槛,鼓励和支持各类市场主体依法入市收购粮食。鼓励企业与农户、家庭农场、农民合作社等建立长期稳定的购销合作关系,开展订单收购,推动形成优粮优产、优粮优购、优粮优储、优粮优加、优粮优销 “五优联动”。提升为农服务水平,持续强化粮食清理、干燥、保管、加工等产后服务,推动节粮减损、提质升值。积极培育发展粮食经纪人队伍,实现小农户与大市场有效衔接。拓宽粮食市场化收购资金筹集渠道,发挥粮食收购贷款信用保证基金作用,为收购企业融资增信。加强粮食收购监管,维护粮食市场秩序。落实《信阳市超标粮食处置实施细则》,对超标粮食实行定点收购、专仓储存、定向销售、分类处置、全程监管,坚决杜绝超标粮食流入口粮市场。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加强粮食市场调控</w:t>
      </w:r>
    </w:p>
    <w:p>
      <w:pPr>
        <w:widowControl/>
        <w:spacing w:line="560" w:lineRule="exact"/>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严格执行粮食流通统计调查制度,优化完善数据采集渠道, 推进数据标准化管理,实现数据资源互通共享。着眼于粮食 “产购储加销”全过程,以建设专职机构、专业团队为抓手,推动粮食数据资源整合共享和部门协作,加快构建新型粮食市场监测预警体系,为市场调控和预期管理提供依据。完善粮食应急加工配送供应网络,推动粮食购销业务线上线下融合发展,畅通粮油市场供应的 “微循环”。建立多种信息发布渠道,向农民、企业等各类涉粮主体提供及时、准确、全面的市场信息服务,进一步提高市场透明度,有效引导市场需求和预期。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提升粮食应急保障能力</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充分整合现有资源，进一步优化粮食应急供应网点、加工企业、储运企业和配送中心布局，加强对粮食应急保障企业的支持力度，全力推进粮食应急供应、仓储、加工和物流各环节能力建设。修订完善市县级粮食应急预案,健全市县两级预案体系。加强粮食应急信息化建设,建立粮食应急指挥调度平台,完善与应急管理部门、交通部门会商协调机制,强化应急培训演练,持续加大对粮食应急储备、应急 保障系统、应急保障设施建设的财政投入,加快形成上下协调、 运转高效、保障有力的粮食应急保障体系。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第四节  加强跨区域粮食产销合作</w:t>
      </w:r>
    </w:p>
    <w:p>
      <w:pPr>
        <w:spacing w:line="560" w:lineRule="exac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充分利用我市优质弱筋麦、中籼稻、糯稻特色产品和加工优势，加强产业融合，培育优质粮食供应链，畅通与外省市粮食贸易，提高粮食流通效率。通过粮食交易会、代收代储等方式,强化粮食产销区对接,构建长期稳定、互惠互利的合作关系,稳定和提升口粮供应链,提高饲料用粮和加工用粮等各类粮食消费的保障水平。有效应对粮食市场新变化，依托潢川县区域物流枢纽和淮滨县区域物流枢纽节点优势，鼓励辖区粮食企业与外地加工用粮企业开展粮食购销贸易，扩大优质粮食外销量。充分发挥粮食流通对生产的引导作用，促使粮食和消费有序衔接、顺畅流通，稳定粮食生产能力，促进种粮农民增收，为销区提供稳定可靠的粮源供给，为实现更高质量、更可持续的国家粮食安全做出更大贡献。</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专栏2 粮食调控能力提升工程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4" w:hRule="atLeast"/>
        </w:trPr>
        <w:tc>
          <w:tcPr>
            <w:tcW w:w="8946" w:type="dxa"/>
            <w:noWrap/>
            <w:vAlign w:val="center"/>
          </w:tcPr>
          <w:p>
            <w:pPr>
              <w:spacing w:line="400" w:lineRule="exact"/>
              <w:ind w:firstLine="562" w:firstLineChars="200"/>
              <w:rPr>
                <w:rFonts w:ascii="仿宋" w:hAnsi="仿宋" w:eastAsia="仿宋" w:cs="仿宋"/>
                <w:color w:val="000000" w:themeColor="text1"/>
                <w:sz w:val="28"/>
                <w:szCs w:val="28"/>
              </w:rPr>
            </w:pPr>
            <w:r>
              <w:rPr>
                <w:rFonts w:hint="eastAsia" w:ascii="仿宋" w:hAnsi="仿宋" w:eastAsia="仿宋" w:cs="仿宋"/>
                <w:b/>
                <w:color w:val="000000" w:themeColor="text1"/>
                <w:sz w:val="28"/>
                <w:szCs w:val="28"/>
              </w:rPr>
              <w:t>建设市级粮食安全应急保障中心。</w:t>
            </w:r>
            <w:r>
              <w:rPr>
                <w:rFonts w:hint="eastAsia" w:ascii="仿宋" w:hAnsi="仿宋" w:eastAsia="仿宋" w:cs="仿宋"/>
                <w:color w:val="000000" w:themeColor="text1"/>
                <w:sz w:val="28"/>
                <w:szCs w:val="28"/>
              </w:rPr>
              <w:t>对接省级区域性粮食应急保障中心建设，围绕我市区域经济社会发展需要，统筹考虑市情粮情，建设市级粮食安全应急保障中心，同步建立粮食应急指挥调度平台。</w:t>
            </w:r>
          </w:p>
          <w:p>
            <w:pPr>
              <w:spacing w:line="400" w:lineRule="exact"/>
              <w:ind w:firstLine="562" w:firstLineChars="200"/>
              <w:rPr>
                <w:rFonts w:ascii="仿宋" w:hAnsi="仿宋" w:eastAsia="仿宋" w:cs="仿宋"/>
                <w:color w:val="000000" w:themeColor="text1"/>
                <w:kern w:val="0"/>
                <w:sz w:val="24"/>
              </w:rPr>
            </w:pPr>
            <w:r>
              <w:rPr>
                <w:rFonts w:hint="eastAsia" w:ascii="仿宋" w:hAnsi="仿宋" w:eastAsia="仿宋" w:cs="仿宋"/>
                <w:b/>
                <w:color w:val="000000" w:themeColor="text1"/>
                <w:sz w:val="28"/>
                <w:szCs w:val="28"/>
              </w:rPr>
              <w:t>加快建设一批粮食应急供应网点。</w:t>
            </w:r>
            <w:r>
              <w:rPr>
                <w:rFonts w:hint="eastAsia" w:ascii="仿宋" w:hAnsi="仿宋" w:eastAsia="仿宋" w:cs="仿宋"/>
                <w:color w:val="000000" w:themeColor="text1"/>
                <w:sz w:val="28"/>
                <w:szCs w:val="28"/>
              </w:rPr>
              <w:t>按照每个乡镇、街道至少有1个应急供应网点、社区每3万人至少有1个应急供应网点要求，在全市建立不少于209个粮食应急供应网点。</w:t>
            </w:r>
          </w:p>
        </w:tc>
      </w:tr>
    </w:tbl>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第五章 深入推进优质粮食工程,构建现代化粮食产业体系</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坚持以供给侧结构性改革为主线,以科技创新和制度创新为动力,以深入实施优质粮食工程为抓手,围绕推进粮食产业链、价值链、供应链“三链同构”,通过强化粮食加工业带动,加快培育粮食品牌,促进粮食产业转型升级,实现粮食产业高质量发展。到2025年,全市粮食加工业总产值达到 330亿元,粮食加工转化率达到90%以上。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优化粮食产业布局</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统筹考虑粮食产销区分布、重要物流通道和节点,优化粮食加工空间布局。依托粮食主产区和优质粮食生产基地,推动稻谷、小麦和油料加工向产地集聚,引导建立优质专用原料基地,促进就地加工就地增值。打造集仓储、物流、质检、研发、加工、销售、金融服务和电子商务为一体的现代粮食产业园区，形成一二三产业融合发展的粮油加工产业集群，推动小麦、稻谷和油料加工向产地集聚,推进农业科技成果的快速转化和推广应用，吸引众多国内外知名粮食加工龙头企业在产业园进行产业布局。息县、淮滨县重点发展优质弱筋小麦产业，潢川县重点发展优质糯稻产业，稻谷主产县重点发展优质中晚籼稻和粳稻产业。持续推进主食制品的工业化生产和社会化供应,提高主食产业化水平,促进粮食转化增值。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专栏3 粮食产业定位和布局</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8946" w:type="dxa"/>
            <w:noWrap/>
          </w:tcPr>
          <w:p>
            <w:pPr>
              <w:numPr>
                <w:ilvl w:val="0"/>
                <w:numId w:val="1"/>
              </w:numPr>
              <w:spacing w:line="400" w:lineRule="exact"/>
              <w:ind w:firstLine="562" w:firstLineChars="200"/>
              <w:contextualSpacing/>
              <w:rPr>
                <w:rFonts w:ascii="仿宋" w:hAnsi="仿宋" w:eastAsia="仿宋" w:cs="仿宋"/>
                <w:bCs/>
                <w:color w:val="000000" w:themeColor="text1"/>
                <w:sz w:val="28"/>
                <w:szCs w:val="28"/>
              </w:rPr>
            </w:pPr>
            <w:r>
              <w:rPr>
                <w:rFonts w:hint="eastAsia" w:ascii="仿宋" w:hAnsi="仿宋" w:eastAsia="仿宋" w:cs="仿宋"/>
                <w:b/>
                <w:bCs/>
                <w:color w:val="000000" w:themeColor="text1"/>
                <w:sz w:val="28"/>
                <w:szCs w:val="28"/>
              </w:rPr>
              <w:t>稻谷加工定位及布局</w:t>
            </w:r>
            <w:r>
              <w:rPr>
                <w:rFonts w:hint="eastAsia" w:ascii="仿宋" w:hAnsi="仿宋" w:eastAsia="仿宋" w:cs="仿宋"/>
                <w:b/>
                <w:color w:val="000000" w:themeColor="text1"/>
                <w:sz w:val="28"/>
                <w:szCs w:val="28"/>
              </w:rPr>
              <w:t>。</w:t>
            </w:r>
            <w:r>
              <w:rPr>
                <w:rFonts w:hint="eastAsia" w:ascii="仿宋" w:hAnsi="仿宋" w:eastAsia="仿宋" w:cs="仿宋"/>
                <w:bCs/>
                <w:color w:val="000000" w:themeColor="text1"/>
                <w:sz w:val="28"/>
                <w:szCs w:val="28"/>
              </w:rPr>
              <w:t>方向与重点是提升米制主食加工及稻谷副产品综合利用水平。优化大米产品结构，提倡大米适度加工。强化以大米为原料，发展糯米粉、汤圆、米粥、米线及方便米饭等米制主食；以稻谷副产品为原料，发展米糠油、能源产品、板材、纤维素、化工产品等深加工产品。到2025年，稻谷加工企业工业总产值达到190亿元，培育年产值5亿元以上的企业3家。</w:t>
            </w:r>
          </w:p>
          <w:p>
            <w:pPr>
              <w:numPr>
                <w:ilvl w:val="0"/>
                <w:numId w:val="1"/>
              </w:numPr>
              <w:spacing w:line="400" w:lineRule="exact"/>
              <w:ind w:firstLine="562" w:firstLineChars="200"/>
              <w:contextualSpacing/>
              <w:rPr>
                <w:rFonts w:ascii="仿宋" w:hAnsi="仿宋" w:eastAsia="仿宋" w:cs="仿宋"/>
                <w:bCs/>
                <w:color w:val="000000" w:themeColor="text1"/>
                <w:sz w:val="28"/>
                <w:szCs w:val="28"/>
              </w:rPr>
            </w:pPr>
            <w:r>
              <w:rPr>
                <w:rFonts w:hint="eastAsia" w:ascii="仿宋" w:hAnsi="仿宋" w:eastAsia="仿宋" w:cs="仿宋"/>
                <w:b/>
                <w:color w:val="000000" w:themeColor="text1"/>
                <w:sz w:val="28"/>
                <w:szCs w:val="28"/>
              </w:rPr>
              <w:t>小麦加工定位</w:t>
            </w:r>
            <w:r>
              <w:rPr>
                <w:rFonts w:hint="eastAsia" w:ascii="仿宋" w:hAnsi="仿宋" w:eastAsia="仿宋" w:cs="仿宋"/>
                <w:b/>
                <w:bCs/>
                <w:color w:val="000000" w:themeColor="text1"/>
                <w:sz w:val="28"/>
                <w:szCs w:val="28"/>
              </w:rPr>
              <w:t>及布局</w:t>
            </w:r>
            <w:r>
              <w:rPr>
                <w:rFonts w:hint="eastAsia" w:ascii="仿宋" w:hAnsi="仿宋" w:eastAsia="仿宋" w:cs="仿宋"/>
                <w:b/>
                <w:color w:val="000000" w:themeColor="text1"/>
                <w:sz w:val="28"/>
                <w:szCs w:val="28"/>
              </w:rPr>
              <w:t>。</w:t>
            </w:r>
            <w:r>
              <w:rPr>
                <w:rFonts w:hint="eastAsia" w:ascii="仿宋" w:hAnsi="仿宋" w:eastAsia="仿宋" w:cs="仿宋"/>
                <w:bCs/>
                <w:color w:val="000000" w:themeColor="text1"/>
                <w:sz w:val="28"/>
                <w:szCs w:val="28"/>
              </w:rPr>
              <w:t>方向与重点是提升面制主食产业化水平。优化面粉产品结构，提升专用面粉加工能力。强化以优质专用小麦粉为原料，发展高档优质营养面条类、馒头类、烘焙类、速冻类、特色风味类等面制主食，以及小麦淀粉、小麦蛋白等深加工产品。鼓励小麦加工副产物综合利用。支持小麦加工企业发展优质小麦基地、中央厨房、品牌快餐连锁、商超电商销售等上下游产业。到2025年，小麦加工企业工业总产值达到70亿元，培育年产值5亿元以上的企业3家。</w:t>
            </w:r>
          </w:p>
          <w:p>
            <w:pPr>
              <w:spacing w:line="400" w:lineRule="exact"/>
              <w:ind w:firstLine="562" w:firstLineChars="200"/>
              <w:contextualSpacing/>
              <w:rPr>
                <w:rFonts w:ascii="仿宋" w:hAnsi="仿宋" w:eastAsia="仿宋" w:cs="仿宋"/>
                <w:color w:val="000000" w:themeColor="text1"/>
              </w:rPr>
            </w:pPr>
            <w:r>
              <w:rPr>
                <w:rFonts w:hint="eastAsia" w:ascii="仿宋" w:hAnsi="仿宋" w:eastAsia="仿宋" w:cs="仿宋"/>
                <w:b/>
                <w:color w:val="000000" w:themeColor="text1"/>
                <w:sz w:val="28"/>
                <w:szCs w:val="28"/>
              </w:rPr>
              <w:t>（三）油脂加工定位</w:t>
            </w:r>
            <w:r>
              <w:rPr>
                <w:rFonts w:hint="eastAsia" w:ascii="仿宋" w:hAnsi="仿宋" w:eastAsia="仿宋" w:cs="仿宋"/>
                <w:b/>
                <w:bCs/>
                <w:color w:val="000000" w:themeColor="text1"/>
                <w:sz w:val="28"/>
                <w:szCs w:val="28"/>
              </w:rPr>
              <w:t>及布局</w:t>
            </w:r>
            <w:r>
              <w:rPr>
                <w:rFonts w:hint="eastAsia" w:ascii="仿宋" w:hAnsi="仿宋" w:eastAsia="仿宋" w:cs="仿宋"/>
                <w:b/>
                <w:color w:val="000000" w:themeColor="text1"/>
                <w:sz w:val="28"/>
                <w:szCs w:val="28"/>
              </w:rPr>
              <w:t>。</w:t>
            </w:r>
            <w:r>
              <w:rPr>
                <w:rFonts w:hint="eastAsia" w:ascii="仿宋" w:hAnsi="仿宋" w:eastAsia="仿宋" w:cs="仿宋"/>
                <w:color w:val="000000" w:themeColor="text1"/>
                <w:sz w:val="28"/>
                <w:szCs w:val="28"/>
              </w:rPr>
              <w:t>方向与重点是提升油菜籽、花生、芝麻、大豆，以及山茶籽等木本油料精深加工水平。优化植物油产品结构，提升各类特色植物油加工能力。强化以各类油料及油脂加工副产物为原料，发展方便、休闲、保健食品和医药产品等深加工产品。到2025年，油料加工企业加工业总产值达到20亿元，培育年产值5亿元以上的企业3家。</w:t>
            </w:r>
          </w:p>
        </w:tc>
      </w:tr>
    </w:tbl>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大力推进 “三链同构”</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集中力量培育壮大粮食龙头企业,重点扶持一批具有核心竞争力和行业带动力的粮油产业化企业,打造规模大、实力强、技术装备先进的大型粮油企业集团,提升企业的市场核心竞争力。按照国家新一轮“优质粮食工程”安排部署，结合《信阳市坚持三链同构加快推进粮食产业高质量发展实施方案》要求，支持各地发展粮食“产购储加销”一体化经营，聚焦“六大提升行动”，优化粮食产业结构，推动优质、绿色、营养、特色粮食生产，引导企业生产加工绿色有机和多元化、个性化产品，提高优质粮油产品供给水平，实现“五优联动”和“三链协同”，促进一二三产业融合发展。加快推进优质大米、弱筋小麦、糯米粉、山茶油等产业链建设，着力培育粮油龙头企业，在生产端、消费端和流通环节给予支持和引导，全面提升全市粮油产业高质量发展水平。强化企业标准、团体标准等标准和相关技术规范的研究制定和推广应用，深入实施粮油企业标准“领跑者”活动，建立完善标准制定、实施和绩效评价及奖励、宣贯工作机制，为粮食产业高质量发展提供技术规范和标准引领。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加快培育粮食品牌</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深入实施信阳市粮油品牌培育计划，支持企业拓展品牌营销传播渠道，开展品牌宣传和产品推介，提高特色农业品牌的知名度和美誉度。挖掘传统“老字号”品牌，开发市场竞争力强的新品牌，鼓励粮食加工企业发挥专业精神、工匠精神,着力培育一批消费者认可的优质企业品牌。每年择优推荐3家以上企业产品申报“中国好粮油”“河南好粮油”遴选。深入挖掘粮油产品的地方特色,制定与区域品牌配套的基地标准、生产技术规程、产品质量标准等,规范产品质量和标识管理,实行区域品牌动态管理和淘汰退出机制。利用线上线下等多种方式,加大对公共品牌的推广宣传力度,提升我市粮食品牌知名度、美誉度和市场影响力、竞争力。支持企业参加中国粮食交易大会、中国农产品加工业投资贸易洽谈会等知名展会。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第四节 开展粮食节约行动</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瞄准粮食收购、储存、运输、加工、消费等各环节，制定节粮减损的针对性举措，加强生产源头管控，做好储运环节减损，提升加工利用水平，坚决遏制餐饮浪费，综合施策配套衔接，做到“产储运加消”全链条减损。</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----收购环节。</w:t>
      </w:r>
      <w:r>
        <w:rPr>
          <w:rFonts w:hint="eastAsia" w:ascii="仿宋" w:hAnsi="仿宋" w:eastAsia="仿宋" w:cs="仿宋"/>
          <w:color w:val="000000" w:themeColor="text1"/>
          <w:kern w:val="0"/>
          <w:sz w:val="32"/>
          <w:szCs w:val="32"/>
        </w:rPr>
        <w:t>健全粮食产后服务体系，改造和建设一批粮仓设施，加快推广绿色低温储粮技术，推进分品种、分仓储存，实行优粮优储。</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----储存环节。</w:t>
      </w:r>
      <w:r>
        <w:rPr>
          <w:rFonts w:hint="eastAsia" w:ascii="仿宋" w:hAnsi="仿宋" w:eastAsia="仿宋" w:cs="仿宋"/>
          <w:color w:val="000000" w:themeColor="text1"/>
          <w:kern w:val="0"/>
          <w:sz w:val="32"/>
          <w:szCs w:val="32"/>
        </w:rPr>
        <w:t>鼓励新型农业经营主体、粮食企业、粮食产后服务中心等为农户提供粮食烘干服务；加强农户科学储粮技术培训和服务，开展农户储粮装具选型及示范应用；开展绿色仓储提升行动和绿色储粮标准化试点，升级修缮老旧仓房。</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----运输环节。</w:t>
      </w:r>
      <w:r>
        <w:rPr>
          <w:rFonts w:hint="eastAsia" w:ascii="仿宋" w:hAnsi="仿宋" w:eastAsia="仿宋" w:cs="仿宋"/>
          <w:color w:val="000000" w:themeColor="text1"/>
          <w:kern w:val="0"/>
          <w:sz w:val="32"/>
          <w:szCs w:val="32"/>
        </w:rPr>
        <w:t>建设和完善铁路专用线、专用码头、散粮中转及配套设施，提高粮食散储、散运、散装、散卸“四散化”运输程度，推广多式联运。</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----加工环节。</w:t>
      </w:r>
      <w:r>
        <w:rPr>
          <w:rFonts w:hint="eastAsia" w:ascii="仿宋" w:hAnsi="仿宋" w:eastAsia="仿宋" w:cs="仿宋"/>
          <w:color w:val="000000" w:themeColor="text1"/>
          <w:kern w:val="0"/>
          <w:sz w:val="32"/>
          <w:szCs w:val="32"/>
        </w:rPr>
        <w:t>完善粮油加工业技术标准体系，推进小麦、水稻等口粮适度加工和副产物综合利用。强化节粮科技支撑，开展粮食“产购储加销”全产业链的提质减损增效关键技术和装备研发，强化相关技术成果推广应用。</w:t>
      </w:r>
    </w:p>
    <w:p>
      <w:pPr>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----消费环节。</w:t>
      </w:r>
      <w:r>
        <w:rPr>
          <w:rFonts w:hint="eastAsia" w:ascii="仿宋" w:hAnsi="仿宋" w:eastAsia="仿宋" w:cs="仿宋"/>
          <w:color w:val="000000" w:themeColor="text1"/>
          <w:kern w:val="0"/>
          <w:sz w:val="32"/>
          <w:szCs w:val="32"/>
        </w:rPr>
        <w:t>组织开展世界粮食日和全国粮食安全宣传周、粮食和物资储备科技活动周等主题活动，普及爱粮节粮知识，大力倡导科学文明消费方式，引导公众在日常生活中自觉参与“光盘行动”，坚决遏制“舌尖上的浪费”。</w:t>
      </w:r>
    </w:p>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第六章 补齐基础设施短板,构建现代粮食仓储物流体系</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充分发挥信阳粮食综合优势,优化粮食仓储物流设施布局,实施粮食仓储物流设施提升工程,完善粮食物流网络,构建布局合理、功能完善、衔接配套的现代粮食仓储物流体系。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提升粮食仓储水平</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继续优化粮食仓储布局,不断提升仓储设施现代化水平,构建布局合理、结构优化、功能完善、高效安全的粮食仓储体系。对部分80年代以前的粮仓进行维修改造，特别是对储粮基础较好、有维护价值的粮仓加大维修力度，充分发挥国有粮食企业收购主渠道作用。抢抓国家发行地方政府专项债券的有利时机，结合我市实际，争取仓储建设项目。“十四五”期间，拟申报再建一批“优质粮食工程”粮食产后服务中心，进一步改善我市粮食仓储设施条件。同时提高产粮（产油）大县奖励资金和产粮大县一次性奖励资金用于粮食仓储建设的投资比例，引导带动社会多方资金，把80年代之前建造的老旧粮库，原址改造为现代化程度较高的储粮仓库，基本消除“危仓老库”带病存粮安全隐患，增加有效仓容，方便农民售粮。在重要物流节点和粮食购销活跃度较高的平桥区、罗山县、潢川县、息县、淮滨、光山、商城、固始等县区,完善浅圆仓、立筒仓等大型机械化仓储设施,提高粮食中转、应急能力。建设一批粮食烘干设施,配备必要的清理、储存、装卸、输送设备。在稻谷主产区配置谷物冷却机、粮仓专用空调等制冷设备，提高绿色储粮水平。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打造现代粮食物流体系</w:t>
      </w:r>
    </w:p>
    <w:p>
      <w:pPr>
        <w:spacing w:line="560" w:lineRule="exact"/>
        <w:ind w:firstLine="640" w:firstLineChars="200"/>
        <w:rPr>
          <w:rFonts w:ascii="仿宋" w:hAnsi="仿宋" w:eastAsia="仿宋" w:cs="仿宋"/>
          <w:b/>
          <w:bCs/>
          <w:color w:val="000000" w:themeColor="text1"/>
          <w:kern w:val="0"/>
          <w:sz w:val="32"/>
          <w:szCs w:val="32"/>
        </w:rPr>
      </w:pPr>
      <w:r>
        <w:rPr>
          <w:rFonts w:hint="eastAsia" w:ascii="仿宋" w:hAnsi="仿宋" w:eastAsia="仿宋" w:cs="仿宋"/>
          <w:color w:val="000000" w:themeColor="text1"/>
          <w:kern w:val="0"/>
          <w:sz w:val="32"/>
          <w:szCs w:val="32"/>
        </w:rPr>
        <w:t>推动粮油仓储设施现代化、发展集聚化和布局合理化，实施“绿色储粮”工程，促进优粮优储。规划建设一批冷链仓储中心、物流中心、配送中心，完善粮油食品冷链物流体系。加强粮食物流基础设施和应急供应体系建设，优化粮食物流布局，打造跨市粮食物流通道。围绕跨省市粮食物流通道，支持平桥、罗山、潢川、息县、淮滨、光山、商城、固始等县区粮食物流节点建设，支持淮滨县航运码头建设，提升码头粮食专业装卸能力；发挥我市铁路运输优势，加快完善公路、铁路、航运无缝衔接的多式联运物流体系，努力打造现代粮食储运体系。完善收储企业、加工企业、物流企业的散粮接发设施,全面提升粮食散装化对接水平。加快发展原粮公路、铁路集装箱运输,实现铁路、公路、水路多式联运。发展成品粮集装箱运输、罐装运输。支持成品粮四散化和主食冷链运输体系建设。 提升粮食集散能力，降低物流成本。支持粮食物流标准化建设，推广原粮和成品粮物流“四散”（散储、散运、散装、散卸）化、集装化、标准化，努力打造全省重要的粮食储运中心。</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专栏4  粮食仓储物流设施提升工程</w:t>
      </w:r>
    </w:p>
    <w:tbl>
      <w:tblPr>
        <w:tblStyle w:val="7"/>
        <w:tblW w:w="879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87"/>
        <w:gridCol w:w="3550"/>
        <w:gridCol w:w="1125"/>
        <w:gridCol w:w="111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65" w:type="dxa"/>
            <w:shd w:val="clear" w:color="000000" w:fill="FFFFFF"/>
            <w:vAlign w:val="center"/>
          </w:tcPr>
          <w:p>
            <w:pPr>
              <w:spacing w:line="360" w:lineRule="exact"/>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序号</w:t>
            </w:r>
          </w:p>
        </w:tc>
        <w:tc>
          <w:tcPr>
            <w:tcW w:w="1587" w:type="dxa"/>
            <w:shd w:val="clear" w:color="000000" w:fill="FFFFFF"/>
            <w:vAlign w:val="center"/>
          </w:tcPr>
          <w:p>
            <w:pPr>
              <w:spacing w:line="360" w:lineRule="exact"/>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项目名称</w:t>
            </w:r>
          </w:p>
        </w:tc>
        <w:tc>
          <w:tcPr>
            <w:tcW w:w="3550" w:type="dxa"/>
            <w:shd w:val="clear" w:color="000000" w:fill="FFFFFF"/>
            <w:vAlign w:val="center"/>
          </w:tcPr>
          <w:p>
            <w:pPr>
              <w:spacing w:line="360" w:lineRule="exact"/>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主要建设内容</w:t>
            </w:r>
          </w:p>
        </w:tc>
        <w:tc>
          <w:tcPr>
            <w:tcW w:w="1125" w:type="dxa"/>
            <w:shd w:val="clear" w:color="000000" w:fill="FFFFFF"/>
            <w:vAlign w:val="center"/>
          </w:tcPr>
          <w:p>
            <w:pPr>
              <w:spacing w:line="360" w:lineRule="exact"/>
              <w:rPr>
                <w:rFonts w:ascii="仿宋" w:hAnsi="仿宋" w:eastAsia="仿宋" w:cs="仿宋"/>
                <w:b/>
                <w:bCs/>
                <w:color w:val="000000" w:themeColor="text1"/>
                <w:sz w:val="24"/>
              </w:rPr>
            </w:pPr>
            <w:r>
              <w:rPr>
                <w:rFonts w:hint="eastAsia" w:ascii="仿宋" w:hAnsi="仿宋" w:eastAsia="仿宋" w:cs="仿宋"/>
                <w:b/>
                <w:bCs/>
                <w:color w:val="000000" w:themeColor="text1"/>
                <w:sz w:val="24"/>
              </w:rPr>
              <w:t>总投资（万元）</w:t>
            </w:r>
          </w:p>
        </w:tc>
        <w:tc>
          <w:tcPr>
            <w:tcW w:w="1113" w:type="dxa"/>
            <w:shd w:val="clear" w:color="000000" w:fill="FFFFFF"/>
            <w:vAlign w:val="center"/>
          </w:tcPr>
          <w:p>
            <w:pPr>
              <w:spacing w:line="360" w:lineRule="exact"/>
              <w:rPr>
                <w:rFonts w:ascii="仿宋" w:hAnsi="仿宋" w:eastAsia="仿宋" w:cs="仿宋"/>
                <w:b/>
                <w:bCs/>
                <w:color w:val="000000" w:themeColor="text1"/>
                <w:sz w:val="24"/>
              </w:rPr>
            </w:pPr>
            <w:r>
              <w:rPr>
                <w:rFonts w:hint="eastAsia" w:ascii="仿宋" w:hAnsi="仿宋" w:eastAsia="仿宋" w:cs="仿宋"/>
                <w:b/>
                <w:bCs/>
                <w:color w:val="000000" w:themeColor="text1"/>
                <w:sz w:val="24"/>
              </w:rPr>
              <w:t>新增（提升改造）仓容（万吨）</w:t>
            </w:r>
          </w:p>
        </w:tc>
        <w:tc>
          <w:tcPr>
            <w:tcW w:w="954" w:type="dxa"/>
            <w:shd w:val="clear" w:color="000000" w:fill="FFFFFF"/>
            <w:vAlign w:val="center"/>
          </w:tcPr>
          <w:p>
            <w:pPr>
              <w:spacing w:line="360" w:lineRule="exact"/>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河南信阳平桥国家粮食储备库仓库改造项目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绿色储粮基础性改造、准低温储粮仓库改造、内环流仓房改造、氮气气调储粮仓库改造</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605</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息县粮食和物资储备中心粮食仓储物流园区项目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建筑面积102426.8平方米，建设30万吨标准化储粮仓房、吞吐量30万吨粮食物流中转区及食品研发检测中心、区域性电子商务、互联网+、粮食交易平台等</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35000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35</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息县宏升粮食制品有限责任公司豫南低筋小麦仓储物流园</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新建浅圆仓4座、平房仓9座，配套提升塔一处，购置粮情设备、通风设备、输送设备等</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10636</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9.3</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潢川县粮食和物资储备局新建15万吨粮食仓储建设项目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项目占地105亩，总建筑面积32400平方米，总投资1.5亿元。主要建设储存仓库12栋，年中转能力30万吨，配套烘干设备、清理设备、输送设备、检验设备等。</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15000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河南黄淮集团粮油有限公司标准粮仓建设项目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新建粮仓及配套设施</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6000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6</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河南华英锦绣粮业有限公司粮食现代物流项目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新建仓容20万吨，其中立筒中转仓6个，购置配套设备等</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16000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20</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浉河区粮食和物资储备中心仓储建设项目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本项目共包含四个子项目：十三里桥粮食仓库改扩建建设项目（谭家河乡）；游河粮食仓库改扩建建设项目；东双河粮食仓库改扩建建设项目；吴家店粮食仓库改扩建建设项目。主要建设新建标准仓库15栋，新增库容14万吨。</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21000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8</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罗山县汇农实业有限公司现代粮食仓储物流园项目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占地100亩，建设8万吨标准化储粮仓，2万吨成品库，2万吨标准化食品冷链仓库、日加工稻谷150吨生产线及其附属设施</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20900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8</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9</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河南商城国家粮食储备库仓储物流基础设施项目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建设国标粮仓仓容14.3万吨，建设县粮食质量监测站、职工宿舍及办公用房、一站式服务中心等服务设施，建设库区围墙、库区道路、粮机器材库及粮食仓储智能化等附属设施。</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16605</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光山县现代粮食仓储物流园区项目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光山县现代粮食仓储物流园区项目是集粮食仓储、中转、粮食和食品加工、粮食交易、物流配送、信息发布、质量检测和综合服务等为一体的现代化粮食物流园。</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46000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实施类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11</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新县粮食仓储建设项目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新建标准仓房10幢及配套设施，占地30亩（其中：泗店国库6幢，仓容3万吨，占地20亩；浒湾省库4幢，仓容2万吨，占地10亩）</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6000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谋划类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12</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淮滨县稻谷大米保鲜低温储存项目（粮食减损及物流节点项目）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高标准稻谷氮气保温仓储20000吨、低温降水除湿日处理1000吨设备、清理设备、周转仓500吨、转运设备、晾晒敞篷300平方米等</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谋划类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13</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淮滨县特色农产品（原生态）产业园</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立足传统和地方，将农村原生态食品及农村特色产品规范化、品牌化运作。建设办公楼及加工包装车间一栋，设立电商及物流部门、研发创意部。以淮滨县地方粮食储备库原有土地和仓储为基础，总投资3000万元以内，带动全县传统及原生态食品销售。</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3600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谋划类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信阳市平桥区明港粮食仓储及物流设施建设项目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粮食仓储、应急物资仓储、综合办公楼、检验中心等</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25000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谋划类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固始县现代粮食物流体系建设项目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建设现代化的粮食物流体系，项目建成后年加工粮食300万吨以上，库容量500万吨以上，年物流粮食3000万吨。</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60000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谋划类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16</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固始县火车站粮食物流园项目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建设现代粮食物流园区，项目建成后年加工粮食200万吨以上，库容量400万吨以上，年物流粮食2000万吨。</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45000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谋划类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6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17</w:t>
            </w:r>
          </w:p>
        </w:tc>
        <w:tc>
          <w:tcPr>
            <w:tcW w:w="1587"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固始县固始港粮食物流园区项目</w:t>
            </w:r>
          </w:p>
        </w:tc>
        <w:tc>
          <w:tcPr>
            <w:tcW w:w="3550" w:type="dxa"/>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建设现代粮食物流园区，项目建成后年加工粮食200万吨以上，库容量250万吨以上，年物流粮食1500万吨。</w:t>
            </w:r>
          </w:p>
        </w:tc>
        <w:tc>
          <w:tcPr>
            <w:tcW w:w="1125"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35000</w:t>
            </w:r>
          </w:p>
        </w:tc>
        <w:tc>
          <w:tcPr>
            <w:tcW w:w="1113" w:type="dxa"/>
            <w:shd w:val="clear" w:color="auto" w:fill="auto"/>
            <w:noWrap/>
            <w:vAlign w:val="center"/>
          </w:tcPr>
          <w:p>
            <w:pPr>
              <w:spacing w:line="3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954" w:type="dxa"/>
            <w:shd w:val="clear" w:color="auto" w:fill="auto"/>
            <w:vAlign w:val="center"/>
          </w:tcPr>
          <w:p>
            <w:pPr>
              <w:spacing w:line="360" w:lineRule="exact"/>
              <w:rPr>
                <w:rFonts w:ascii="仿宋" w:hAnsi="仿宋" w:eastAsia="仿宋" w:cs="仿宋"/>
                <w:color w:val="000000" w:themeColor="text1"/>
                <w:sz w:val="24"/>
              </w:rPr>
            </w:pPr>
            <w:r>
              <w:rPr>
                <w:rFonts w:hint="eastAsia" w:ascii="仿宋" w:hAnsi="仿宋" w:eastAsia="仿宋" w:cs="仿宋"/>
                <w:color w:val="000000" w:themeColor="text1"/>
                <w:sz w:val="24"/>
              </w:rPr>
              <w:t>谋划类</w:t>
            </w:r>
          </w:p>
        </w:tc>
      </w:tr>
    </w:tbl>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推广应用先进储运技术</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加强粮食仓储物流关键技术研发应用,平房仓重点推广高效环保进出仓新装备、新工艺、新技术,立筒仓和浅圆仓重点推广粮食进出仓多点智能防分级技术。加快推广低温保鲜等绿色生态储粮技术、高效环保型装备、散粮接发设施等应用,实现仓储物流设施绿色化。强化标准引领,促进储备仓库、运输工具和中转设施之间的高效衔接,大幅提高物流基础设施互联互通水平。大力推广散粮火车、散粮汽车、内河船舶集装单元化运输快速装卸装备技术。强化大数据服务,依托国家粮食仓储物流公共信息平台,加强信息标准对接,实现物流订单、储运能力、物流跟踪等信息的及时共享。</w:t>
      </w:r>
    </w:p>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第七章 增强应对风险能力,构建高效的物资储备体系</w:t>
      </w:r>
    </w:p>
    <w:p>
      <w:pPr>
        <w:spacing w:line="560" w:lineRule="exac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十四五”时期要综合我市实际,按照就近储备、调运迅速、保障有力的要求,坚持“宁可备而不用,不可用而不备”宗旨,加强储备基础设施建设,完善储备体制机制,逐步形成品类齐全、规模适度、布局完善、信息共享、调拨高效的救灾物资储备体系。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完善救灾物资储备体制机制</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按照分级负责、分级储备、分级管理、分级保障的原则,合理确定救灾物资的储备品种、储备规模,优化储备布局,落实救灾物资储备计划,鼓励以家庭为单位开展救灾物资储备,加快构建以市级为核心、县级储备为依托、乡镇和社区储备为补充的统一的救灾物资储备体系。加强市级救灾物资的收储、轮换和日常管理,完善救灾物资储备管理机制,推动市级救灾物资购置、储备、调运、使用和回收规范化科学化管理。加强公共宣传,引导社会舆论,提高救灾物资储备保障动员能力。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强化救灾物资储备基础设施建设</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积极推进救灾物资储备库建设，按照满足本级启动自然灾害应急预案三级响应需要的标准,市级综合中心库建筑面积达到3000㎡以上,县级基础储备库建设面积达到1000㎡以上。形成市、县互相衔接、互相辐射、互为补充、布局合理、规模适度的救灾物资储备体系。</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专栏5 救灾物资储备基础设施建设工程</w:t>
      </w:r>
    </w:p>
    <w:tbl>
      <w:tblPr>
        <w:tblStyle w:val="7"/>
        <w:tblW w:w="865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51"/>
        <w:gridCol w:w="4517"/>
        <w:gridCol w:w="106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72" w:type="dxa"/>
            <w:shd w:val="clear" w:color="000000" w:fill="FFFFFF"/>
            <w:vAlign w:val="center"/>
          </w:tcPr>
          <w:p>
            <w:pPr>
              <w:spacing w:line="440" w:lineRule="exact"/>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序号</w:t>
            </w:r>
          </w:p>
        </w:tc>
        <w:tc>
          <w:tcPr>
            <w:tcW w:w="851" w:type="dxa"/>
            <w:shd w:val="clear" w:color="000000" w:fill="FFFFFF"/>
            <w:vAlign w:val="center"/>
          </w:tcPr>
          <w:p>
            <w:pPr>
              <w:spacing w:line="440" w:lineRule="exact"/>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县区</w:t>
            </w:r>
          </w:p>
        </w:tc>
        <w:tc>
          <w:tcPr>
            <w:tcW w:w="4517" w:type="dxa"/>
            <w:shd w:val="clear" w:color="000000" w:fill="FFFFFF"/>
            <w:vAlign w:val="center"/>
          </w:tcPr>
          <w:p>
            <w:pPr>
              <w:spacing w:line="440" w:lineRule="exact"/>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项目名称</w:t>
            </w:r>
          </w:p>
        </w:tc>
        <w:tc>
          <w:tcPr>
            <w:tcW w:w="1062" w:type="dxa"/>
            <w:shd w:val="clear" w:color="000000" w:fill="FFFFFF"/>
            <w:vAlign w:val="center"/>
          </w:tcPr>
          <w:p>
            <w:pPr>
              <w:spacing w:line="440" w:lineRule="exact"/>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总投资（万元）</w:t>
            </w:r>
          </w:p>
        </w:tc>
        <w:tc>
          <w:tcPr>
            <w:tcW w:w="1650" w:type="dxa"/>
            <w:shd w:val="clear" w:color="000000" w:fill="FFFFFF"/>
            <w:vAlign w:val="center"/>
          </w:tcPr>
          <w:p>
            <w:pPr>
              <w:spacing w:line="440" w:lineRule="exact"/>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72" w:type="dxa"/>
            <w:shd w:val="clear" w:color="auto" w:fill="auto"/>
            <w:noWrap/>
            <w:vAlign w:val="center"/>
          </w:tcPr>
          <w:p>
            <w:pPr>
              <w:spacing w:line="440" w:lineRule="exact"/>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851" w:type="dxa"/>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息县</w:t>
            </w:r>
          </w:p>
        </w:tc>
        <w:tc>
          <w:tcPr>
            <w:tcW w:w="4517" w:type="dxa"/>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息县成品粮食应急保障中心建设项目</w:t>
            </w:r>
          </w:p>
        </w:tc>
        <w:tc>
          <w:tcPr>
            <w:tcW w:w="1062" w:type="dxa"/>
            <w:shd w:val="clear" w:color="auto" w:fill="auto"/>
            <w:noWrap/>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5833</w:t>
            </w:r>
          </w:p>
        </w:tc>
        <w:tc>
          <w:tcPr>
            <w:tcW w:w="1650" w:type="dxa"/>
            <w:shd w:val="clear" w:color="auto" w:fill="auto"/>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物资应急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72" w:type="dxa"/>
            <w:shd w:val="clear" w:color="auto" w:fill="auto"/>
            <w:noWrap/>
            <w:vAlign w:val="center"/>
          </w:tcPr>
          <w:p>
            <w:pPr>
              <w:spacing w:line="440" w:lineRule="exact"/>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851" w:type="dxa"/>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潢川县</w:t>
            </w:r>
          </w:p>
        </w:tc>
        <w:tc>
          <w:tcPr>
            <w:tcW w:w="4517" w:type="dxa"/>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潢川县粮食和物资储备局新建应急物资储备中心建设项目</w:t>
            </w:r>
          </w:p>
        </w:tc>
        <w:tc>
          <w:tcPr>
            <w:tcW w:w="1062" w:type="dxa"/>
            <w:shd w:val="clear" w:color="auto" w:fill="auto"/>
            <w:noWrap/>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12800</w:t>
            </w:r>
          </w:p>
        </w:tc>
        <w:tc>
          <w:tcPr>
            <w:tcW w:w="1650" w:type="dxa"/>
            <w:shd w:val="clear" w:color="auto" w:fill="auto"/>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物资应急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72" w:type="dxa"/>
            <w:shd w:val="clear" w:color="auto" w:fill="auto"/>
            <w:noWrap/>
            <w:vAlign w:val="center"/>
          </w:tcPr>
          <w:p>
            <w:pPr>
              <w:spacing w:line="440" w:lineRule="exact"/>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c>
          <w:tcPr>
            <w:tcW w:w="851" w:type="dxa"/>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浉河区</w:t>
            </w:r>
          </w:p>
        </w:tc>
        <w:tc>
          <w:tcPr>
            <w:tcW w:w="4517" w:type="dxa"/>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信阳市浉河区军粮供应站军民融合军粮供应工程信阳市区域配送中心</w:t>
            </w:r>
          </w:p>
        </w:tc>
        <w:tc>
          <w:tcPr>
            <w:tcW w:w="1062" w:type="dxa"/>
            <w:shd w:val="clear" w:color="auto" w:fill="auto"/>
            <w:noWrap/>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4000</w:t>
            </w:r>
          </w:p>
        </w:tc>
        <w:tc>
          <w:tcPr>
            <w:tcW w:w="1650" w:type="dxa"/>
            <w:shd w:val="clear" w:color="auto" w:fill="auto"/>
            <w:vAlign w:val="center"/>
          </w:tcPr>
          <w:p>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物资应急</w:t>
            </w:r>
          </w:p>
        </w:tc>
      </w:tr>
    </w:tbl>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第八章 坚持创新引领,构建强有力的科技人才支撑体系</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坚持创新在粮食和物资储备发展中的引领地位,深入实施科技人才兴粮兴储战略,加快新一代信息技术与粮食和物资储备深度融合,推动行业发展再上新台阶。</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强化科技创新引领</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加强重点领域和关键技术研究,围绕粮油仓储、粮油加工、现代物流、粮食信息化、粮机装备制造和救灾物资储备等重点领域,开展绿色生态储粮、智能仓储、粮油适度加工、副产物利用、智能化检测、智能化粮食出入库机械设备、节粮节能营养型粮油加工装备等关键技术研究,增加先进实用技术供给。强化企业创新主体地位,支持粮油龙头企业自主研发,引导粮油企业与河南工业大学等涉粮科研院所和高校共建重点实验室、技术创新中心、技术转移中心等创新平台,联合承担重大科研项目攻关任务,解决制约产业升级的 “卡脖子”问题。深化科技创新体制机制改革,持续完善粮食和物资储备行业科技成果、人才、机构 “三对接”机制,探索建立政府引导、市场驱动、企业化运作的科技成果转移新模式;推进产业链、供应链、创新链、要素链、制度链深度耦合,创新科研范式。依托国家粮食技术转移中心技术交易信息平台,利用大数据、云计算等信息技术手段,加大科研成果的供需对接,开展技术指导和咨询服务,加快科技成果转化应用。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加强人才队伍建设</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实施粮食和物资储备发展人才培育行动，针对我市粮食和物资储备发展实际，深入实施科技人才兴粮兴储工程，促进全市粮食和储备行业队伍规模不断壮大，人才结构进一步优化，人才使用效能显著提高，为粮食和物资储备行业高质量发展提供人才支撑和智力支撑。构建科技、产业与人才互动发展机制。围绕重大科研攻关课题和重大研究项目的实施，定向凝聚专业创新人才，构建以事业发展吸引高层次人才，以优良的环境聚集人才资源的良性发展机制。围绕科技成果转化凝聚吸引高端适用人才，构建以新技术应用促产业转型升级，以产业高质量发展涵养适用人才的科技--产业--人才互动发展机制。围绕粮食和物资储备重大项目工程建设加强与科研院所的人才对接，有针对性地开展“技能竞赛”和职业教育培训，满足产业发展需要，围绕新一轮粮食企业改革，优化企业规模结构，提高企业经济效益，增强对青年职工和仓储保管、质量检验等紧缺实用人才的吸引力。</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加快推动行业数字化转型发展</w:t>
      </w:r>
    </w:p>
    <w:p>
      <w:pPr>
        <w:spacing w:line="560" w:lineRule="exact"/>
        <w:ind w:firstLine="640" w:firstLineChars="200"/>
        <w:rPr>
          <w:rFonts w:ascii="仿宋" w:hAnsi="仿宋" w:eastAsia="仿宋" w:cs="仿宋"/>
          <w:b/>
          <w:bCs/>
          <w:color w:val="000000" w:themeColor="text1"/>
          <w:kern w:val="0"/>
          <w:sz w:val="32"/>
          <w:szCs w:val="32"/>
        </w:rPr>
      </w:pPr>
      <w:r>
        <w:rPr>
          <w:rFonts w:hint="eastAsia" w:ascii="仿宋" w:hAnsi="仿宋" w:eastAsia="仿宋" w:cs="仿宋"/>
          <w:color w:val="000000" w:themeColor="text1"/>
          <w:kern w:val="0"/>
          <w:sz w:val="32"/>
          <w:szCs w:val="32"/>
        </w:rPr>
        <w:t>坚持以数字化为引领,以更好满足粮食和物资储备发展需求为导向,重点建设 “一中心五平台” (一中心:全市粮食和物资储备系统数据资源中心;五平台:储备动态管理平台、应急指挥调度平台、粮食质量安全监管平台、军粮综合保障平台、智慧政务服务平台),着力加强行业信息化基础设施建设,加快现代信息技术与业务发展深度融合,强化信息化应用水平和管理效能,全面提升粮食和物资储备治理能力。到2023年,在实现省市两级互联互通的基础上,完成已建在建信息系统全部数据化、平台化、可视化集成,基本形成安全数据 “一中心”和信息化应用 “一网通、一张图、一张表”,实现现有数据资源总体整合。到2025年,粮储信息化标准规范、基础设施、数据资源、安全支撑、运行保障体系进一步健全,基本建成政务一体化服务、储备动态管理、军粮综合保障、应急指挥调度、质量安全监管等各大类应用协同运行的新模式,数字粮储建设取得明显成效。</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专栏6 数字粮储工程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946" w:type="dxa"/>
            <w:vAlign w:val="center"/>
          </w:tcPr>
          <w:p>
            <w:pPr>
              <w:spacing w:line="400" w:lineRule="exact"/>
              <w:ind w:firstLine="562" w:firstLineChars="200"/>
              <w:rPr>
                <w:rFonts w:ascii="仿宋" w:hAnsi="仿宋" w:eastAsia="仿宋" w:cs="仿宋"/>
                <w:color w:val="000000" w:themeColor="text1"/>
                <w:sz w:val="28"/>
                <w:szCs w:val="28"/>
              </w:rPr>
            </w:pPr>
            <w:r>
              <w:rPr>
                <w:rFonts w:hint="eastAsia" w:ascii="仿宋" w:hAnsi="仿宋" w:eastAsia="仿宋" w:cs="仿宋"/>
                <w:b/>
                <w:color w:val="000000" w:themeColor="text1"/>
                <w:sz w:val="28"/>
                <w:szCs w:val="28"/>
              </w:rPr>
              <w:t>建设“一中心”。</w:t>
            </w:r>
            <w:r>
              <w:rPr>
                <w:rFonts w:hint="eastAsia" w:ascii="仿宋" w:hAnsi="仿宋" w:eastAsia="仿宋" w:cs="仿宋"/>
                <w:color w:val="000000" w:themeColor="text1"/>
                <w:sz w:val="28"/>
                <w:szCs w:val="28"/>
              </w:rPr>
              <w:t>加快建设全市粮食和物资储备系统共享共用的数据平台，积极引入储备数量、质量核心数据的自动获取、自动感知技术，建设防灾备份中心，整合形成包括基础数据、业务数据、元数据等一体化的信息资源高效安全的集中存储。</w:t>
            </w:r>
          </w:p>
          <w:p>
            <w:pPr>
              <w:spacing w:line="400" w:lineRule="exact"/>
              <w:ind w:firstLine="562" w:firstLineChars="200"/>
              <w:rPr>
                <w:rFonts w:ascii="仿宋" w:hAnsi="仿宋" w:eastAsia="仿宋" w:cs="仿宋"/>
                <w:color w:val="000000" w:themeColor="text1"/>
              </w:rPr>
            </w:pPr>
            <w:r>
              <w:rPr>
                <w:rFonts w:hint="eastAsia" w:ascii="仿宋" w:hAnsi="仿宋" w:eastAsia="仿宋" w:cs="仿宋"/>
                <w:b/>
                <w:color w:val="000000" w:themeColor="text1"/>
                <w:sz w:val="28"/>
                <w:szCs w:val="28"/>
              </w:rPr>
              <w:t>建设“五平台”。储备管理平台。</w:t>
            </w:r>
            <w:r>
              <w:rPr>
                <w:rFonts w:hint="eastAsia" w:ascii="仿宋" w:hAnsi="仿宋" w:eastAsia="仿宋" w:cs="仿宋"/>
                <w:color w:val="000000" w:themeColor="text1"/>
                <w:sz w:val="28"/>
                <w:szCs w:val="28"/>
              </w:rPr>
              <w:t>依托粮安工程智能化管理系统、国家物资储备信息系统等在建项目，建立健全粮食和物资储备管理系统，动态显示储备布局、数量、品种、性质、质量、年限、来源、流向等情况，实现业务自动监控和违规自动报警，提高库存动态监管的准确性和实时性。</w:t>
            </w:r>
            <w:r>
              <w:rPr>
                <w:rFonts w:hint="eastAsia" w:ascii="仿宋" w:hAnsi="仿宋" w:eastAsia="仿宋" w:cs="仿宋"/>
                <w:b/>
                <w:color w:val="000000" w:themeColor="text1"/>
                <w:sz w:val="28"/>
                <w:szCs w:val="28"/>
              </w:rPr>
              <w:t>应急指挥调度平台。</w:t>
            </w:r>
            <w:r>
              <w:rPr>
                <w:rFonts w:hint="eastAsia" w:ascii="仿宋" w:hAnsi="仿宋" w:eastAsia="仿宋" w:cs="仿宋"/>
                <w:color w:val="000000" w:themeColor="text1"/>
                <w:sz w:val="28"/>
                <w:szCs w:val="28"/>
              </w:rPr>
              <w:t>加快统一应急调度指挥系统的优化升级，打造以各类政府储备为核心，向生产及销售企业库存、产能储备拓展，以应对不同级别紧急突发事件的市县粮食和物资一体化应急调度指挥系统。</w:t>
            </w:r>
            <w:r>
              <w:rPr>
                <w:rFonts w:hint="eastAsia" w:ascii="仿宋" w:hAnsi="仿宋" w:eastAsia="仿宋" w:cs="仿宋"/>
                <w:b/>
                <w:color w:val="000000" w:themeColor="text1"/>
                <w:sz w:val="28"/>
                <w:szCs w:val="28"/>
              </w:rPr>
              <w:t>粮食质量安全监管平台。</w:t>
            </w:r>
            <w:r>
              <w:rPr>
                <w:rFonts w:hint="eastAsia" w:ascii="仿宋" w:hAnsi="仿宋" w:eastAsia="仿宋" w:cs="仿宋"/>
                <w:color w:val="000000" w:themeColor="text1"/>
                <w:sz w:val="28"/>
                <w:szCs w:val="28"/>
              </w:rPr>
              <w:t>加快数据资源整合暨追溯试点配套设备配置，加快与我市农产品追溯试点配套设备配置、市场监管系统、食品监管系统、国土资源系统、生态环境系统开展信息资源共享。</w:t>
            </w:r>
            <w:r>
              <w:rPr>
                <w:rFonts w:hint="eastAsia" w:ascii="仿宋" w:hAnsi="仿宋" w:eastAsia="仿宋" w:cs="仿宋"/>
                <w:b/>
                <w:color w:val="000000" w:themeColor="text1"/>
                <w:sz w:val="28"/>
                <w:szCs w:val="28"/>
              </w:rPr>
              <w:t>军粮综合信息管理平台。</w:t>
            </w:r>
            <w:r>
              <w:rPr>
                <w:rFonts w:hint="eastAsia" w:ascii="仿宋" w:hAnsi="仿宋" w:eastAsia="仿宋" w:cs="仿宋"/>
                <w:color w:val="000000" w:themeColor="text1"/>
                <w:sz w:val="28"/>
                <w:szCs w:val="28"/>
              </w:rPr>
              <w:t>加快与军粮企业数据对接，推动与省级信息平台互联互通，构建军供粮油食品数量、质量的全方位监管，保证区域内军粮供应安全。</w:t>
            </w:r>
            <w:r>
              <w:rPr>
                <w:rFonts w:hint="eastAsia" w:ascii="仿宋" w:hAnsi="仿宋" w:eastAsia="仿宋" w:cs="仿宋"/>
                <w:b/>
                <w:color w:val="000000" w:themeColor="text1"/>
                <w:sz w:val="28"/>
                <w:szCs w:val="28"/>
              </w:rPr>
              <w:t>智慧政务服务平台。</w:t>
            </w:r>
            <w:r>
              <w:rPr>
                <w:rFonts w:hint="eastAsia" w:ascii="仿宋" w:hAnsi="仿宋" w:eastAsia="仿宋" w:cs="仿宋"/>
                <w:color w:val="000000" w:themeColor="text1"/>
                <w:sz w:val="28"/>
                <w:szCs w:val="28"/>
              </w:rPr>
              <w:t>用好“双随机、一公开”、“互联网+监管”等平台，开发整合公文运转、财务审计、车辆管理和资产管理等系统，全面提升办公效能。</w:t>
            </w:r>
          </w:p>
        </w:tc>
      </w:tr>
    </w:tbl>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第九章 提升依法治理水平,构建现代化的治理体系</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严格落实粮食安全责任制,全面推进粮食安全法治建设,强化粮食依法监管和执法监督,深化国有粮食企业改革,推动粮食和物资储备由政策治理向法治治理转变,全面提升治理能力和治理水平。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严格粮食安全责任制考核</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按照粮食安全党政同责的要求，进一步强化市县党委和政府粮食安全政治责任，严格落实粮食安全责任制，聚焦粮食生产能力、粮食储备能力、粮食市场供应、粮食质量安全、保护农民种粮积极性和相关部门责任落实等重点内容，切实履行粮食安全责任制考核办公室职能，协同有关部门制定完善考核标准、优化考核指标，进一步增强考核精准性、导向性和实效性。严格执行考核规范和程序，组织抓好考核实施，确保考核结果公平公正。坚持年度考核和日常考核相结合，强化问题整改和结果运用，更好发挥“指挥棒”导向作用。建立与有关部门定期会商机制，加强政策协调和工作协同，将粮食安全责任制纳入法治轨道。</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提高依法治理水平</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推进粮食和物资储备安全法治建设，强化依法管粮管储。贯彻落实《粮食流通管理条例》，完善配套规章制度和规范，健全粮食和物资备安全保障制度体系。深入推进法治政府建设，严格执行重大行政决策程序制度。深入推进服务型行政执法建设，强化对行政权力的制约和监督，全面推进政务公开，依法有效化解社会矛盾纠纷。深化法治宣传教育，实施“八五”普法，全面提高政府工作人员法治思维和依法行政能力。深化粮食和物资储备系统“放管服”改革，精简办事程序，创新服务方式，提升服务质量，持续优化营商环境，持续推进执法体系建设，落实粮食执法监管人员、经费、装备，“十四五”期间执法人员持证上岗，推动执法监管高效规范，提高执法和服务水平。</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强化监管督查</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深入落实行政执法责任制,严格规范公正文明执法。建立健全分类分级监管机制,完善粮食和物资储备监管体系。创新监管方式,实现监管制度化、常态化。推行 “双随机、一公开”监管、信用风险分类监管、“互联网+监管”、跨部门协同监管等制度。扩大毗邻地区联合执法合作范围,建立联动执法协作机制。做好 “12325”全国粮食流通和物资储备监管热线受理、处置、调查、反馈等工作,加大对涉粮违法违规行为核查处理力度。加强市县政府储备管理和粮食政策执行情况日常监管，深入推进安全生产专项整治三年行动计划，严格落实安全生产责任。</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第四节 加强质量安全管理</w:t>
      </w:r>
    </w:p>
    <w:p>
      <w:pPr>
        <w:spacing w:line="560" w:lineRule="exact"/>
        <w:ind w:firstLine="640" w:firstLineChars="200"/>
        <w:rPr>
          <w:rFonts w:ascii="仿宋" w:hAnsi="仿宋" w:eastAsia="仿宋" w:cs="仿宋"/>
          <w:b/>
          <w:bCs/>
          <w:color w:val="000000" w:themeColor="text1"/>
          <w:kern w:val="0"/>
          <w:sz w:val="32"/>
          <w:szCs w:val="32"/>
        </w:rPr>
      </w:pPr>
      <w:r>
        <w:rPr>
          <w:rFonts w:hint="eastAsia" w:ascii="仿宋" w:hAnsi="仿宋" w:eastAsia="仿宋" w:cs="仿宋"/>
          <w:color w:val="000000" w:themeColor="text1"/>
          <w:kern w:val="0"/>
          <w:sz w:val="32"/>
          <w:szCs w:val="32"/>
        </w:rPr>
        <w:t xml:space="preserve">健全市县两级粮食质量安全检验监测体系,提升粮食质量安全管理水平。继续实行收购和储存环节粮食质量安全监测制度,强化收获粮食质量调查、品质测报和安全风险监测。压实粮食质量安全主体责任,提升企业粮食质量安全检验能力,严格粮食收购、储存和销售出库检验监测。开展粮食质量追溯提升行动,逐步建立粮食质量安全追溯体系。加快粮食质检队伍建设,依托市粮油质量检验站,开展粮食质量安全技能培训。建设市级粮食安全监管平台,实现与省级平台互联互通。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专栏7 粮食质量安全检验监测能力提升工程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8946" w:type="dxa"/>
            <w:vAlign w:val="center"/>
          </w:tcPr>
          <w:p>
            <w:pPr>
              <w:spacing w:line="400" w:lineRule="exact"/>
              <w:ind w:firstLine="551" w:firstLineChars="196"/>
              <w:rPr>
                <w:rFonts w:ascii="仿宋" w:hAnsi="仿宋" w:eastAsia="仿宋" w:cs="仿宋"/>
                <w:color w:val="000000" w:themeColor="text1"/>
                <w:sz w:val="28"/>
                <w:szCs w:val="28"/>
              </w:rPr>
            </w:pPr>
            <w:r>
              <w:rPr>
                <w:rFonts w:hint="eastAsia" w:ascii="仿宋" w:hAnsi="仿宋" w:eastAsia="仿宋" w:cs="仿宋"/>
                <w:b/>
                <w:color w:val="000000" w:themeColor="text1"/>
                <w:sz w:val="28"/>
                <w:szCs w:val="28"/>
              </w:rPr>
              <w:t>粮食质检体系建设。</w:t>
            </w:r>
            <w:r>
              <w:rPr>
                <w:rFonts w:hint="eastAsia" w:ascii="仿宋" w:hAnsi="仿宋" w:eastAsia="仿宋" w:cs="仿宋"/>
                <w:color w:val="000000" w:themeColor="text1"/>
                <w:sz w:val="28"/>
                <w:szCs w:val="28"/>
              </w:rPr>
              <w:t>以“优质粮食工程”粮食质检体系建设成果为依托，提升1个市级粮食质量安全检验监测中心和7个县级检验监测站的功能，增强粮食质量安全检验监测能力。以骨干粮食收储企业网点、粮食批发市场、农业产业化重点龙头企业等为依托，建设粮食安全直报点。</w:t>
            </w:r>
          </w:p>
          <w:p>
            <w:pPr>
              <w:spacing w:line="400" w:lineRule="exact"/>
              <w:ind w:firstLine="562" w:firstLineChars="200"/>
              <w:rPr>
                <w:rFonts w:ascii="仿宋" w:hAnsi="仿宋" w:eastAsia="仿宋" w:cs="仿宋"/>
                <w:color w:val="000000" w:themeColor="text1"/>
                <w:sz w:val="30"/>
                <w:szCs w:val="30"/>
              </w:rPr>
            </w:pPr>
            <w:r>
              <w:rPr>
                <w:rFonts w:hint="eastAsia" w:ascii="仿宋" w:hAnsi="仿宋" w:eastAsia="仿宋" w:cs="仿宋"/>
                <w:b/>
                <w:color w:val="000000" w:themeColor="text1"/>
                <w:sz w:val="28"/>
                <w:szCs w:val="28"/>
              </w:rPr>
              <w:t>开展粮食质量追溯提升行动。</w:t>
            </w:r>
            <w:r>
              <w:rPr>
                <w:rFonts w:hint="eastAsia" w:ascii="仿宋" w:hAnsi="仿宋" w:eastAsia="仿宋" w:cs="仿宋"/>
                <w:color w:val="000000" w:themeColor="text1"/>
                <w:sz w:val="28"/>
                <w:szCs w:val="28"/>
              </w:rPr>
              <w:t>指导粮食加工企业生产线配置粮食质量追二码打码设备，在市级储备粮代储企业配置粮食质量检测设备，数据采集和质量检测与粮食质量追溯系统对接，为粮食质量追溯系统提供数据支撑。</w:t>
            </w:r>
          </w:p>
        </w:tc>
      </w:tr>
    </w:tbl>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第五节 深化国有粮食企业改革</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落实《河南省国企改革三年行动实施方案》和《信阳市国企改革三年行动实施方案》，加强党对国有粮食企业的领导，完善现代企业制度，优化国有经济在粮食领城的布局，健全市场化经营机制，提高粮食领域国有资本的运作效率，更好发挥国有企业在粮食安全中的重要作用。积极推动国有粮食企业改革，按照政策性职能和经营性职能分开的原则，立足政策性粮食安全。按照“一县一企、一企多点”的要求，重点在县级层面推进国有资产重组整合，规范政策性业务和经营性业务，打造规模化粮食收储企业，提升国有粮食企业竞争力，更好保障政策性粮食安全。</w:t>
      </w:r>
    </w:p>
    <w:p>
      <w:pPr>
        <w:spacing w:beforeLines="50" w:afterLines="50"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第十章 加强规划实施</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加强党对粮食和物资储备工作的全面领导,完善规划组织实施体系,充分调动各方面积极性、主动性和创造性,形成规划实施合力,确保规划任务如期完成。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第一节 坚持和加强党的全面领导</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深入学习贯彻习近平新时代中国特色社会主义思想,增强“四个意识”,坚定 “四个自信”,捍卫“两个确立”，做到 “两个维护”。落实全面从严治党主体责任和监督责任,强化规划实施的事前、事中和事后监督,为规划实施提供有力的政治保证。加强粮食和物资储备系统干部队伍建设,提高领导干部贯彻落实新发展理念、构建新发展格局的能力和水平。着力提升基层组织力,充分发挥基层党组织战斗堡垒作用。加强党风廉政建设,持续纠治形式主义、官僚主义,践行 “五比五不比”“五转五带头”,营造风清气正的政治生态。 </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第二节 压实规划实施责任</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市、县粮食和物资储备部门要切实承担规划实施主体责任，制定落实规划目标任务的实施方案，对纳入规划的重大工程、行动计划和重要任务，明确责任主体，细化进度要求，分解落实到位。坚持年度计划跟着规划走，建立规划与年度计划的有效街接机制，将本规划确定的主要指标分解纳入年度计划指标体系，合理确定年度工作重点。要创造良好的政策环境、体制环境和法治环境，统筹好本部门、本地区粮食和物资储备工作部署，积极引导社会各方力量参与，努力形成全市协同推进规划落实的强大合力。</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第三节 加大政策支持力度</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充分发挥政府投资引导作用，鼓励社会资本参与粮食和物资储备重大项目建设，逐步建立起多元化、多渠道、多层次的投资体制，坚持资金和要素跟着任务走，争取有关部门加大对粮食储备库、物资储备库、粮食产业等重点项目的用地支持和其他扶持政策、用好河南省粮油深加工企业扶持基金。加大金融机构信贷支持力度，发挥“优粮优信”供应链服务平台的作用，拓宽企业融资渠道，降低粮食企业融资成本。</w:t>
      </w:r>
    </w:p>
    <w:p>
      <w:pPr>
        <w:spacing w:beforeLines="50" w:afterLines="50" w:line="560" w:lineRule="exac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第四节 完善规划实施监测评估机制</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做好重大项目实施跟踪，及时研究把握规划实施过程中出现的新情况、新问题。将规划主要目标指标、重大工程落实情况纳入粮食安全责任制考核。完善规划实施监督管理机制，实行专项检查与经常性监督检查相结合，确保规划确定的各项指标任务落到实处。加强本规划的宣传解读，充分凝聚共识、动员力量，积极交流典型经验、做法和成</w:t>
      </w:r>
      <w:bookmarkStart w:id="0" w:name="_GoBack"/>
      <w:bookmarkEnd w:id="0"/>
      <w:r>
        <w:rPr>
          <w:rFonts w:hint="eastAsia" w:ascii="仿宋" w:hAnsi="仿宋" w:eastAsia="仿宋" w:cs="仿宋"/>
          <w:color w:val="000000" w:themeColor="text1"/>
          <w:kern w:val="0"/>
          <w:sz w:val="32"/>
          <w:szCs w:val="32"/>
        </w:rPr>
        <w:t>效，形成全社会关心、支持粮食和物资储备行业发展的良好社会氛围。</w:t>
      </w:r>
    </w:p>
    <w:p>
      <w:pPr>
        <w:spacing w:line="560" w:lineRule="exact"/>
        <w:ind w:firstLine="640" w:firstLineChars="200"/>
        <w:rPr>
          <w:rFonts w:ascii="仿宋" w:hAnsi="仿宋" w:eastAsia="仿宋" w:cs="仿宋"/>
          <w:color w:val="000000" w:themeColor="text1"/>
          <w:kern w:val="0"/>
          <w:sz w:val="32"/>
          <w:szCs w:val="32"/>
        </w:rPr>
      </w:pPr>
    </w:p>
    <w:p>
      <w:pPr>
        <w:spacing w:line="560" w:lineRule="exact"/>
        <w:ind w:firstLine="640" w:firstLineChars="200"/>
        <w:rPr>
          <w:rFonts w:ascii="仿宋" w:hAnsi="仿宋" w:eastAsia="仿宋" w:cs="仿宋"/>
          <w:color w:val="000000" w:themeColor="text1"/>
          <w:kern w:val="0"/>
          <w:sz w:val="32"/>
          <w:szCs w:val="32"/>
        </w:rPr>
      </w:pPr>
    </w:p>
    <w:p>
      <w:pPr>
        <w:spacing w:line="560" w:lineRule="exact"/>
        <w:rPr>
          <w:rFonts w:ascii="仿宋" w:hAnsi="仿宋" w:eastAsia="仿宋" w:cs="仿宋"/>
          <w:color w:val="000000" w:themeColor="text1"/>
          <w:kern w:val="0"/>
          <w:sz w:val="32"/>
          <w:szCs w:val="32"/>
        </w:rPr>
      </w:pPr>
    </w:p>
    <w:p>
      <w:pPr>
        <w:spacing w:line="680" w:lineRule="exact"/>
        <w:rPr>
          <w:rFonts w:ascii="仿宋" w:hAnsi="仿宋" w:eastAsia="仿宋" w:cs="仿宋"/>
          <w:color w:val="000000" w:themeColor="text1"/>
          <w:kern w:val="0"/>
          <w:sz w:val="32"/>
          <w:szCs w:val="32"/>
        </w:rPr>
      </w:pPr>
      <w:r>
        <w:rPr>
          <w:rFonts w:ascii="仿宋_GB2312" w:hAnsi="Times New Roman" w:eastAsia="仿宋_GB2312"/>
          <w:spacing w:val="-8"/>
          <w:sz w:val="32"/>
          <w:szCs w:val="32"/>
        </w:rPr>
        <w:pict>
          <v:line id="_x0000_s1028" o:spid="_x0000_s1028" o:spt="20" style="position:absolute;left:0pt;margin-left:-1.5pt;margin-top:36.85pt;height:0pt;width:441pt;z-index:251662336;mso-width-relative:page;mso-height-relative:page;" coordsize="21600,21600" o:gfxdata="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8vq9YAAAAIAQAADwAAAAAAAAABACAAAAAiAAAAZHJzL2Rvd25yZXYueG1s&#10;UEsBAhQAFAAAAAgAh07iQGC26L/6AQAA8gMAAA4AAAAAAAAAAQAgAAAAJQEAAGRycy9lMm9Eb2Mu&#10;eG1sUEsFBgAAAAAGAAYAWQEAAJEFAAAAAA==&#10;">
            <v:path arrowok="t"/>
            <v:fill focussize="0,0"/>
            <v:stroke/>
            <v:imagedata o:title=""/>
            <o:lock v:ext="edit"/>
          </v:line>
        </w:pict>
      </w:r>
      <w:r>
        <w:rPr>
          <w:rFonts w:ascii="仿宋_GB2312" w:hAnsi="Times New Roman" w:eastAsia="仿宋_GB2312"/>
          <w:spacing w:val="-8"/>
          <w:sz w:val="32"/>
          <w:szCs w:val="32"/>
        </w:rPr>
        <w:pict>
          <v:line id="_x0000_s1027" o:spid="_x0000_s1027" o:spt="20" style="position:absolute;left:0pt;margin-left:0.5pt;margin-top:4.35pt;height:0pt;width:441pt;z-index:251661312;mso-width-relative:page;mso-height-relative:page;" coordsize="21600,21600" o:gfxdata="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cLp50gAAAAUBAAAPAAAAAAAAAAEAIAAAACIAAABkcnMvZG93bnJldi54bWxQSwEC&#10;FAAUAAAACACHTuJAz4J7HfoBAADyAwAADgAAAAAAAAABACAAAAAhAQAAZHJzL2Uyb0RvYy54bWxQ&#10;SwUGAAAAAAYABgBZAQAAjQUAAAAA&#10;">
            <v:path arrowok="t"/>
            <v:fill focussize="0,0"/>
            <v:stroke/>
            <v:imagedata o:title=""/>
            <o:lock v:ext="edit"/>
          </v:line>
        </w:pict>
      </w:r>
      <w:r>
        <w:rPr>
          <w:rFonts w:hint="eastAsia" w:ascii="仿宋_GB2312" w:eastAsia="仿宋_GB2312"/>
          <w:spacing w:val="-8"/>
          <w:sz w:val="32"/>
          <w:szCs w:val="32"/>
        </w:rPr>
        <w:t>信阳市粮食和物资储备局办公室          2022年4月15日印发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38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11EC3"/>
    <w:multiLevelType w:val="singleLevel"/>
    <w:tmpl w:val="E7B11E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k5ZWRkNGFjZjBhOWY2YjlmYTI2NWE0OTE4NTgxMmMifQ=="/>
  </w:docVars>
  <w:rsids>
    <w:rsidRoot w:val="006925DE"/>
    <w:rsid w:val="00491634"/>
    <w:rsid w:val="006925DE"/>
    <w:rsid w:val="01321DE3"/>
    <w:rsid w:val="019B7012"/>
    <w:rsid w:val="041A0BC1"/>
    <w:rsid w:val="04F04FDF"/>
    <w:rsid w:val="06367A49"/>
    <w:rsid w:val="06FC11AA"/>
    <w:rsid w:val="07561B51"/>
    <w:rsid w:val="07FA0BB7"/>
    <w:rsid w:val="0A0E65B5"/>
    <w:rsid w:val="0C140588"/>
    <w:rsid w:val="0F8E3164"/>
    <w:rsid w:val="10914471"/>
    <w:rsid w:val="10BF080F"/>
    <w:rsid w:val="13FC1F41"/>
    <w:rsid w:val="140E3BE2"/>
    <w:rsid w:val="162A4708"/>
    <w:rsid w:val="16E377E8"/>
    <w:rsid w:val="17073F81"/>
    <w:rsid w:val="171C62AD"/>
    <w:rsid w:val="17870572"/>
    <w:rsid w:val="178D583F"/>
    <w:rsid w:val="17EB0A7F"/>
    <w:rsid w:val="18B01A4F"/>
    <w:rsid w:val="19645E0A"/>
    <w:rsid w:val="19851AD1"/>
    <w:rsid w:val="19B60314"/>
    <w:rsid w:val="1A1A0A01"/>
    <w:rsid w:val="1A652AE7"/>
    <w:rsid w:val="1AA353D1"/>
    <w:rsid w:val="1B5826D4"/>
    <w:rsid w:val="1BD72F5A"/>
    <w:rsid w:val="1C622BBA"/>
    <w:rsid w:val="1D894E59"/>
    <w:rsid w:val="1E0E42E7"/>
    <w:rsid w:val="20E348A1"/>
    <w:rsid w:val="23615763"/>
    <w:rsid w:val="252C2672"/>
    <w:rsid w:val="26C00DC1"/>
    <w:rsid w:val="275A3F52"/>
    <w:rsid w:val="27802F4F"/>
    <w:rsid w:val="278302C8"/>
    <w:rsid w:val="286A12C8"/>
    <w:rsid w:val="2CB5119F"/>
    <w:rsid w:val="2ED3195A"/>
    <w:rsid w:val="31FC757E"/>
    <w:rsid w:val="359C73A0"/>
    <w:rsid w:val="35E41B3B"/>
    <w:rsid w:val="38B63995"/>
    <w:rsid w:val="38D201D6"/>
    <w:rsid w:val="38D93CF4"/>
    <w:rsid w:val="3ACB3C75"/>
    <w:rsid w:val="3B0B44A7"/>
    <w:rsid w:val="3B7871C7"/>
    <w:rsid w:val="3E0348CA"/>
    <w:rsid w:val="3E867CAD"/>
    <w:rsid w:val="3FBF669E"/>
    <w:rsid w:val="401547A5"/>
    <w:rsid w:val="407F0AA0"/>
    <w:rsid w:val="41333DA2"/>
    <w:rsid w:val="43EC3B54"/>
    <w:rsid w:val="44321169"/>
    <w:rsid w:val="446C513F"/>
    <w:rsid w:val="46553658"/>
    <w:rsid w:val="46942D1D"/>
    <w:rsid w:val="46971DB1"/>
    <w:rsid w:val="469F7548"/>
    <w:rsid w:val="47200FB2"/>
    <w:rsid w:val="4C427C0A"/>
    <w:rsid w:val="4F2861F2"/>
    <w:rsid w:val="50BD2E10"/>
    <w:rsid w:val="50DC03DB"/>
    <w:rsid w:val="550716A2"/>
    <w:rsid w:val="55C478EE"/>
    <w:rsid w:val="58F22CAF"/>
    <w:rsid w:val="5A6523F3"/>
    <w:rsid w:val="5B147170"/>
    <w:rsid w:val="5C1F4C60"/>
    <w:rsid w:val="5EBF2CF4"/>
    <w:rsid w:val="5F2C2D55"/>
    <w:rsid w:val="604714C1"/>
    <w:rsid w:val="60CA0BE9"/>
    <w:rsid w:val="60FD2587"/>
    <w:rsid w:val="61F41C6E"/>
    <w:rsid w:val="62EDF064"/>
    <w:rsid w:val="637F9191"/>
    <w:rsid w:val="63BE7F46"/>
    <w:rsid w:val="642A39C6"/>
    <w:rsid w:val="65536C82"/>
    <w:rsid w:val="668F4CBC"/>
    <w:rsid w:val="67E43B0C"/>
    <w:rsid w:val="699C0F17"/>
    <w:rsid w:val="6A4D3EA2"/>
    <w:rsid w:val="6ADC5314"/>
    <w:rsid w:val="6D0373EC"/>
    <w:rsid w:val="6E4C2324"/>
    <w:rsid w:val="6FFF06B9"/>
    <w:rsid w:val="734D4349"/>
    <w:rsid w:val="748B395E"/>
    <w:rsid w:val="77AA4702"/>
    <w:rsid w:val="7AF72BC4"/>
    <w:rsid w:val="7B520C00"/>
    <w:rsid w:val="7B5E3322"/>
    <w:rsid w:val="7BAC2A21"/>
    <w:rsid w:val="7C672C9A"/>
    <w:rsid w:val="7D1727C0"/>
    <w:rsid w:val="7DF4CAA9"/>
    <w:rsid w:val="7F73EB5A"/>
    <w:rsid w:val="7F7E3C73"/>
    <w:rsid w:val="7FF2ED49"/>
    <w:rsid w:val="7FFE0E2B"/>
    <w:rsid w:val="7FFFFAE7"/>
    <w:rsid w:val="BB7DFCA6"/>
    <w:rsid w:val="E7BE7890"/>
    <w:rsid w:val="E7FB7C6D"/>
    <w:rsid w:val="F3D9CE64"/>
    <w:rsid w:val="FCFEAD00"/>
    <w:rsid w:val="FD9D8DCB"/>
    <w:rsid w:val="FE7E3E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spacing w:before="120" w:after="120"/>
      <w:jc w:val="left"/>
    </w:pPr>
    <w:rPr>
      <w:b/>
      <w:bCs/>
      <w:caps/>
      <w:sz w:val="20"/>
      <w:szCs w:val="20"/>
    </w:rPr>
  </w:style>
  <w:style w:type="paragraph" w:styleId="6">
    <w:name w:val="toc 2"/>
    <w:basedOn w:val="1"/>
    <w:next w:val="1"/>
    <w:qFormat/>
    <w:uiPriority w:val="39"/>
    <w:pPr>
      <w:ind w:left="210"/>
      <w:jc w:val="left"/>
    </w:pPr>
    <w:rPr>
      <w:smallCaps/>
      <w:sz w:val="20"/>
      <w:szCs w:val="20"/>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Emphasis"/>
    <w:basedOn w:val="9"/>
    <w:qFormat/>
    <w:uiPriority w:val="0"/>
    <w:rPr>
      <w:i/>
    </w:rPr>
  </w:style>
  <w:style w:type="paragraph" w:customStyle="1" w:styleId="11">
    <w:name w:val="标题 2 New"/>
    <w:basedOn w:val="12"/>
    <w:next w:val="12"/>
    <w:qFormat/>
    <w:uiPriority w:val="0"/>
    <w:pPr>
      <w:keepLines/>
      <w:tabs>
        <w:tab w:val="left" w:pos="2037"/>
      </w:tabs>
      <w:adjustRightInd w:val="0"/>
      <w:spacing w:before="200" w:after="200" w:line="288" w:lineRule="atLeast"/>
      <w:textAlignment w:val="baseline"/>
      <w:outlineLvl w:val="1"/>
    </w:pPr>
    <w:rPr>
      <w:rFonts w:ascii="宋体" w:hAnsi="宋体"/>
      <w:b/>
    </w:rPr>
  </w:style>
  <w:style w:type="paragraph" w:customStyle="1" w:styleId="12">
    <w:name w:val="正文 New New New New New New New New New New New New"/>
    <w:qFormat/>
    <w:uiPriority w:val="0"/>
    <w:pPr>
      <w:widowControl w:val="0"/>
      <w:jc w:val="both"/>
    </w:pPr>
    <w:rPr>
      <w:rFonts w:ascii="Times New Roman" w:hAnsi="Times New Roman" w:eastAsia="宋体" w:cs="Times New Roman"/>
      <w:bCs/>
      <w:color w:val="000000"/>
      <w:kern w:val="2"/>
      <w:sz w:val="28"/>
      <w:szCs w:val="28"/>
      <w:lang w:val="en-US" w:eastAsia="zh-CN" w:bidi="ar-SA"/>
    </w:rPr>
  </w:style>
  <w:style w:type="character" w:customStyle="1" w:styleId="13">
    <w:name w:val="页眉 Char"/>
    <w:basedOn w:val="9"/>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16713</Words>
  <Characters>17056</Characters>
  <Lines>125</Lines>
  <Paragraphs>35</Paragraphs>
  <TotalTime>38</TotalTime>
  <ScaleCrop>false</ScaleCrop>
  <LinksUpToDate>false</LinksUpToDate>
  <CharactersWithSpaces>17259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2022-01-13T11:09:00Z</dcterms:created>
  <dc:creator>Administrator</dc:creator>
  <cp:lastModifiedBy>享受磨难</cp:lastModifiedBy>
  <cp:lastPrinted>2023-04-07T00:58:29Z</cp:lastPrinted>
  <dcterms:modified xsi:type="dcterms:W3CDTF">2023-04-07T01:48:08Z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C914B80CED8F4B8D9DCE9ED9B41C8EEA</vt:lpwstr>
  </property>
</Properties>
</file>