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44"/>
        </w:rPr>
      </w:pPr>
      <w:r>
        <w:rPr>
          <w:rFonts w:hint="eastAsia" w:ascii="黑体" w:eastAsia="黑体"/>
          <w:sz w:val="44"/>
          <w:szCs w:val="44"/>
        </w:rPr>
        <w:t>第一部分</w:t>
      </w:r>
    </w:p>
    <w:p>
      <w:pPr>
        <w:jc w:val="center"/>
        <w:rPr>
          <w:rFonts w:hint="eastAsia" w:ascii="黑体" w:eastAsia="黑体"/>
          <w:sz w:val="44"/>
          <w:szCs w:val="44"/>
        </w:rPr>
      </w:pPr>
      <w:r>
        <w:rPr>
          <w:rFonts w:hint="eastAsia" w:ascii="黑体" w:eastAsia="黑体"/>
          <w:sz w:val="44"/>
          <w:szCs w:val="44"/>
        </w:rPr>
        <w:t>罗山县人大常委会概况</w:t>
      </w:r>
    </w:p>
    <w:p>
      <w:pPr>
        <w:jc w:val="center"/>
        <w:rPr>
          <w:rFonts w:hint="eastAsia" w:ascii="黑体" w:eastAsia="黑体"/>
          <w:sz w:val="44"/>
          <w:szCs w:val="44"/>
        </w:rPr>
      </w:pPr>
    </w:p>
    <w:p>
      <w:pPr>
        <w:ind w:firstLine="643" w:firstLineChars="200"/>
        <w:rPr>
          <w:rFonts w:hint="eastAsia" w:ascii="仿宋_GB2312" w:eastAsia="仿宋_GB2312"/>
          <w:b/>
          <w:sz w:val="32"/>
          <w:szCs w:val="32"/>
        </w:rPr>
      </w:pPr>
      <w:r>
        <w:rPr>
          <w:rFonts w:hint="eastAsia" w:ascii="仿宋_GB2312" w:eastAsia="仿宋_GB2312"/>
          <w:b/>
          <w:sz w:val="32"/>
          <w:szCs w:val="32"/>
        </w:rPr>
        <w:t>一、主要职能</w:t>
      </w:r>
    </w:p>
    <w:p>
      <w:pPr>
        <w:ind w:firstLine="645"/>
        <w:rPr>
          <w:rFonts w:hint="eastAsia" w:ascii="仿宋_GB2312" w:eastAsia="仿宋_GB2312"/>
          <w:sz w:val="32"/>
          <w:szCs w:val="32"/>
        </w:rPr>
      </w:pPr>
      <w:r>
        <w:rPr>
          <w:rFonts w:hint="eastAsia" w:ascii="仿宋_GB2312" w:eastAsia="仿宋_GB2312"/>
          <w:sz w:val="32"/>
          <w:szCs w:val="32"/>
        </w:rPr>
        <w:t>罗山县人大常委会是县级地方国家权力机关，是罗山县人民代表大会的常设机关，对它负责并报告工作，在县人民代表大会闭会期间行使地方国家权力。其主要职责是：</w:t>
      </w:r>
    </w:p>
    <w:p>
      <w:pPr>
        <w:ind w:firstLine="645"/>
        <w:rPr>
          <w:rFonts w:hint="eastAsia" w:ascii="仿宋_GB2312" w:eastAsia="仿宋_GB2312"/>
          <w:sz w:val="32"/>
          <w:szCs w:val="32"/>
        </w:rPr>
      </w:pPr>
      <w:r>
        <w:rPr>
          <w:rFonts w:hint="eastAsia" w:ascii="仿宋_GB2312" w:eastAsia="仿宋_GB2312"/>
          <w:sz w:val="32"/>
          <w:szCs w:val="32"/>
        </w:rPr>
        <w:t>1、在本行政区域内，保证宪法、法律、行政法规和上级人民代表大会及其常务委员会决议的遵守和执行；</w:t>
      </w:r>
    </w:p>
    <w:p>
      <w:pPr>
        <w:ind w:firstLine="645"/>
        <w:rPr>
          <w:rFonts w:hint="eastAsia" w:ascii="仿宋_GB2312" w:eastAsia="仿宋_GB2312"/>
          <w:sz w:val="32"/>
          <w:szCs w:val="32"/>
        </w:rPr>
      </w:pPr>
      <w:r>
        <w:rPr>
          <w:rFonts w:hint="eastAsia" w:ascii="仿宋_GB2312" w:eastAsia="仿宋_GB2312"/>
          <w:sz w:val="32"/>
          <w:szCs w:val="32"/>
        </w:rPr>
        <w:t>2、领导或者主持本级人民代表大会代表的选举；</w:t>
      </w:r>
    </w:p>
    <w:p>
      <w:pPr>
        <w:ind w:firstLine="645"/>
        <w:rPr>
          <w:rFonts w:hint="eastAsia" w:ascii="仿宋_GB2312" w:eastAsia="仿宋_GB2312"/>
          <w:sz w:val="32"/>
          <w:szCs w:val="32"/>
        </w:rPr>
      </w:pPr>
      <w:r>
        <w:rPr>
          <w:rFonts w:hint="eastAsia" w:ascii="仿宋_GB2312" w:eastAsia="仿宋_GB2312"/>
          <w:sz w:val="32"/>
          <w:szCs w:val="32"/>
        </w:rPr>
        <w:t>3、召集本级人民代表大会会议；</w:t>
      </w:r>
    </w:p>
    <w:p>
      <w:pPr>
        <w:ind w:firstLine="645"/>
        <w:rPr>
          <w:rFonts w:hint="eastAsia" w:ascii="仿宋_GB2312" w:eastAsia="仿宋_GB2312"/>
          <w:sz w:val="32"/>
          <w:szCs w:val="32"/>
        </w:rPr>
      </w:pPr>
      <w:r>
        <w:rPr>
          <w:rFonts w:hint="eastAsia" w:ascii="仿宋_GB2312" w:eastAsia="仿宋_GB2312"/>
          <w:sz w:val="32"/>
          <w:szCs w:val="32"/>
        </w:rPr>
        <w:t>4、讨论、决定本行政区域内的政治、经济、教育、科学、文化、卫生、环境和资源保护、民政、民族等工作的重大事项；</w:t>
      </w:r>
    </w:p>
    <w:p>
      <w:pPr>
        <w:ind w:firstLine="645"/>
        <w:rPr>
          <w:rFonts w:hint="eastAsia" w:ascii="仿宋_GB2312" w:eastAsia="仿宋_GB2312"/>
          <w:sz w:val="32"/>
          <w:szCs w:val="32"/>
        </w:rPr>
      </w:pPr>
      <w:r>
        <w:rPr>
          <w:rFonts w:hint="eastAsia" w:ascii="仿宋_GB2312" w:eastAsia="仿宋_GB2312"/>
          <w:sz w:val="32"/>
          <w:szCs w:val="32"/>
        </w:rPr>
        <w:t>5、根据本级人民政府的建议，决定对本行政区域内的国民经济和社会发展计划、预算的部分变更；批准决算；</w:t>
      </w:r>
    </w:p>
    <w:p>
      <w:pPr>
        <w:ind w:firstLine="645"/>
        <w:rPr>
          <w:rFonts w:hint="eastAsia" w:ascii="仿宋_GB2312" w:eastAsia="仿宋_GB2312"/>
          <w:sz w:val="32"/>
          <w:szCs w:val="32"/>
        </w:rPr>
      </w:pPr>
      <w:r>
        <w:rPr>
          <w:rFonts w:hint="eastAsia" w:ascii="仿宋_GB2312" w:eastAsia="仿宋_GB2312"/>
          <w:sz w:val="32"/>
          <w:szCs w:val="32"/>
        </w:rPr>
        <w:t>6、监督本级人民政府、人民法院和人民检察院的工作，联系本级人民代表大会代表，受理人民群众对上述机关和国家工作人员的申诉和意见；</w:t>
      </w:r>
    </w:p>
    <w:p>
      <w:pPr>
        <w:ind w:firstLine="645"/>
        <w:rPr>
          <w:rFonts w:hint="eastAsia" w:ascii="仿宋_GB2312" w:eastAsia="仿宋_GB2312"/>
          <w:sz w:val="32"/>
          <w:szCs w:val="32"/>
        </w:rPr>
      </w:pPr>
      <w:r>
        <w:rPr>
          <w:rFonts w:hint="eastAsia" w:ascii="仿宋_GB2312" w:eastAsia="仿宋_GB2312"/>
          <w:sz w:val="32"/>
          <w:szCs w:val="32"/>
        </w:rPr>
        <w:t>7、撤销下一级人民代表大会及其主席团的不适当决议；</w:t>
      </w:r>
    </w:p>
    <w:p>
      <w:pPr>
        <w:ind w:firstLine="645"/>
        <w:rPr>
          <w:rFonts w:hint="eastAsia" w:ascii="仿宋_GB2312" w:eastAsia="仿宋_GB2312"/>
          <w:sz w:val="32"/>
          <w:szCs w:val="32"/>
        </w:rPr>
      </w:pPr>
      <w:r>
        <w:rPr>
          <w:rFonts w:hint="eastAsia" w:ascii="仿宋_GB2312" w:eastAsia="仿宋_GB2312"/>
          <w:sz w:val="32"/>
          <w:szCs w:val="32"/>
        </w:rPr>
        <w:t>8、撤销本级人民政府的不适当的决定和命令；</w:t>
      </w:r>
    </w:p>
    <w:p>
      <w:pPr>
        <w:ind w:firstLine="645"/>
        <w:rPr>
          <w:rFonts w:hint="eastAsia" w:ascii="仿宋_GB2312" w:eastAsia="仿宋_GB2312"/>
          <w:sz w:val="32"/>
          <w:szCs w:val="32"/>
        </w:rPr>
      </w:pPr>
      <w:r>
        <w:rPr>
          <w:rFonts w:hint="eastAsia" w:ascii="仿宋_GB2312" w:eastAsia="仿宋_GB2312"/>
          <w:sz w:val="32"/>
          <w:szCs w:val="32"/>
        </w:rPr>
        <w:t>9、在本级人民代表大会闭会期间，决定副县长的个别任免；在县长和人民法院院长、人民检察院检察长因故不能担任职务的时候，从本级人民政府、人民法院、人民检察院副职领导人员中决定代理的人选；</w:t>
      </w:r>
    </w:p>
    <w:p>
      <w:pPr>
        <w:ind w:firstLine="645"/>
        <w:rPr>
          <w:rFonts w:hint="eastAsia" w:ascii="仿宋_GB2312" w:eastAsia="仿宋_GB2312"/>
          <w:sz w:val="32"/>
          <w:szCs w:val="32"/>
        </w:rPr>
      </w:pPr>
      <w:r>
        <w:rPr>
          <w:rFonts w:hint="eastAsia" w:ascii="仿宋_GB2312" w:eastAsia="仿宋_GB2312"/>
          <w:sz w:val="32"/>
          <w:szCs w:val="32"/>
        </w:rPr>
        <w:t>10、根据县长的提名，决定本级人民政府局长、主任；</w:t>
      </w:r>
    </w:p>
    <w:p>
      <w:pPr>
        <w:ind w:firstLine="645"/>
        <w:rPr>
          <w:rFonts w:hint="eastAsia" w:ascii="仿宋_GB2312" w:eastAsia="仿宋_GB2312"/>
          <w:sz w:val="32"/>
          <w:szCs w:val="32"/>
        </w:rPr>
      </w:pPr>
      <w:r>
        <w:rPr>
          <w:rFonts w:hint="eastAsia" w:ascii="仿宋_GB2312" w:eastAsia="仿宋_GB2312"/>
          <w:sz w:val="32"/>
          <w:szCs w:val="32"/>
        </w:rPr>
        <w:t>11、人民人民法院副院长、审判委员会委员、庭长、副庭长、审判员，任免人民检察院副检察长、监察委员会委员、检察员；</w:t>
      </w:r>
    </w:p>
    <w:p>
      <w:pPr>
        <w:ind w:firstLine="645"/>
        <w:rPr>
          <w:rFonts w:hint="eastAsia" w:ascii="仿宋_GB2312" w:eastAsia="仿宋_GB2312"/>
          <w:sz w:val="32"/>
          <w:szCs w:val="32"/>
        </w:rPr>
      </w:pPr>
      <w:r>
        <w:rPr>
          <w:rFonts w:hint="eastAsia" w:ascii="仿宋_GB2312" w:eastAsia="仿宋_GB2312"/>
          <w:sz w:val="32"/>
          <w:szCs w:val="32"/>
        </w:rPr>
        <w:t>12在本级人民代表大会闭会期间，决定撤销个别副县长的职务；决定撤销由它任命的本级人民政府其它组成人员和人民法院副院长、庭长、副庭长、审判委员会委员、审判员、人民检察院副检察长、检察委员会委员、检察员职务；</w:t>
      </w:r>
    </w:p>
    <w:p>
      <w:pPr>
        <w:ind w:firstLine="645"/>
        <w:rPr>
          <w:rFonts w:hint="eastAsia" w:ascii="仿宋_GB2312" w:eastAsia="仿宋_GB2312"/>
          <w:sz w:val="32"/>
          <w:szCs w:val="32"/>
        </w:rPr>
      </w:pPr>
      <w:r>
        <w:rPr>
          <w:rFonts w:hint="eastAsia" w:ascii="仿宋_GB2312" w:eastAsia="仿宋_GB2312"/>
          <w:sz w:val="32"/>
          <w:szCs w:val="32"/>
        </w:rPr>
        <w:t>13、在本级人民代表大会闭会期间，补选上一级人民代表大会出缺的代表和罢免个别代表；</w:t>
      </w:r>
    </w:p>
    <w:p>
      <w:pPr>
        <w:ind w:firstLine="645"/>
        <w:rPr>
          <w:rFonts w:hint="eastAsia" w:ascii="仿宋_GB2312" w:eastAsia="仿宋_GB2312"/>
          <w:sz w:val="32"/>
          <w:szCs w:val="32"/>
        </w:rPr>
      </w:pPr>
      <w:r>
        <w:rPr>
          <w:rFonts w:hint="eastAsia" w:ascii="仿宋_GB2312" w:eastAsia="仿宋_GB2312"/>
          <w:sz w:val="32"/>
          <w:szCs w:val="32"/>
        </w:rPr>
        <w:t>14、决定授予地方的荣誉称号。</w:t>
      </w:r>
    </w:p>
    <w:p>
      <w:pPr>
        <w:ind w:firstLine="643" w:firstLineChars="200"/>
        <w:rPr>
          <w:rFonts w:hint="eastAsia" w:ascii="仿宋_GB2312" w:eastAsia="仿宋_GB2312"/>
          <w:b/>
          <w:sz w:val="32"/>
          <w:szCs w:val="32"/>
        </w:rPr>
      </w:pPr>
      <w:r>
        <w:rPr>
          <w:rFonts w:hint="eastAsia" w:ascii="仿宋_GB2312" w:eastAsia="仿宋_GB2312"/>
          <w:b/>
          <w:sz w:val="32"/>
          <w:szCs w:val="32"/>
        </w:rPr>
        <w:t>二、部门预算单位构成</w:t>
      </w:r>
    </w:p>
    <w:p>
      <w:pPr>
        <w:ind w:firstLine="640" w:firstLineChars="200"/>
        <w:rPr>
          <w:rFonts w:hint="eastAsia" w:ascii="仿宋_GB2312" w:eastAsia="仿宋_GB2312"/>
          <w:sz w:val="32"/>
          <w:szCs w:val="32"/>
        </w:rPr>
      </w:pPr>
      <w:r>
        <w:rPr>
          <w:rFonts w:hint="eastAsia" w:ascii="仿宋_GB2312" w:eastAsia="仿宋_GB2312"/>
          <w:sz w:val="32"/>
          <w:szCs w:val="32"/>
        </w:rPr>
        <w:t>罗山县人大常委会机关。</w:t>
      </w: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第二部分</w:t>
      </w: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罗山县人大办公室</w:t>
      </w:r>
      <w:r>
        <w:rPr>
          <w:rFonts w:ascii="黑体" w:hAnsi="黑体" w:eastAsia="黑体"/>
          <w:sz w:val="28"/>
          <w:szCs w:val="28"/>
        </w:rPr>
        <w:t>2016</w:t>
      </w:r>
      <w:r>
        <w:rPr>
          <w:rFonts w:hint="eastAsia" w:ascii="黑体" w:hAnsi="黑体" w:eastAsia="黑体"/>
          <w:sz w:val="28"/>
          <w:szCs w:val="28"/>
        </w:rPr>
        <w:t>年度部门决算表</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收入支出决算总表</w:t>
      </w:r>
    </w:p>
    <w:p>
      <w:pPr>
        <w:widowControl/>
        <w:adjustRightInd w:val="0"/>
        <w:snapToGrid w:val="0"/>
        <w:ind w:right="12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01</w:t>
      </w:r>
      <w:r>
        <w:rPr>
          <w:rFonts w:hint="eastAsia" w:ascii="宋体" w:hAnsi="宋体" w:cs="宋体"/>
          <w:color w:val="000000"/>
          <w:kern w:val="0"/>
          <w:sz w:val="20"/>
          <w:szCs w:val="20"/>
        </w:rPr>
        <w:t>表</w:t>
      </w:r>
    </w:p>
    <w:p>
      <w:pPr>
        <w:widowControl/>
        <w:adjustRightInd w:val="0"/>
        <w:snapToGrid w:val="0"/>
        <w:ind w:firstLine="800" w:firstLineChars="400"/>
        <w:jc w:val="left"/>
        <w:rPr>
          <w:rFonts w:ascii="宋体" w:cs="宋体"/>
          <w:color w:val="000000"/>
          <w:kern w:val="0"/>
          <w:sz w:val="20"/>
          <w:szCs w:val="20"/>
        </w:rPr>
      </w:pPr>
      <w:r>
        <w:rPr>
          <w:rFonts w:hint="eastAsia" w:ascii="宋体" w:hAnsi="宋体" w:cs="宋体"/>
          <w:color w:val="000000"/>
          <w:kern w:val="0"/>
          <w:sz w:val="20"/>
          <w:szCs w:val="20"/>
        </w:rPr>
        <w:t>部门：</w:t>
      </w:r>
      <w:r>
        <w:rPr>
          <w:rFonts w:ascii="宋体" w:hAnsi="宋体" w:cs="宋体"/>
          <w:color w:val="000000"/>
          <w:kern w:val="0"/>
          <w:sz w:val="20"/>
          <w:szCs w:val="20"/>
        </w:rPr>
        <w:t xml:space="preserve">  </w:t>
      </w:r>
      <w:r>
        <w:rPr>
          <w:rFonts w:hint="eastAsia" w:ascii="宋体" w:hAnsi="宋体" w:cs="宋体"/>
          <w:color w:val="000000"/>
          <w:kern w:val="0"/>
          <w:sz w:val="20"/>
          <w:szCs w:val="20"/>
        </w:rPr>
        <w:t>罗山县人大办公室</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2860" w:type="dxa"/>
        <w:jc w:val="center"/>
        <w:tblInd w:w="93" w:type="dxa"/>
        <w:tblLayout w:type="fixed"/>
        <w:tblCellMar>
          <w:top w:w="0" w:type="dxa"/>
          <w:left w:w="108" w:type="dxa"/>
          <w:bottom w:w="0" w:type="dxa"/>
          <w:right w:w="108" w:type="dxa"/>
        </w:tblCellMar>
      </w:tblPr>
      <w:tblGrid>
        <w:gridCol w:w="4929"/>
        <w:gridCol w:w="616"/>
        <w:gridCol w:w="1075"/>
        <w:gridCol w:w="4607"/>
        <w:gridCol w:w="595"/>
        <w:gridCol w:w="1038"/>
      </w:tblGrid>
      <w:tr>
        <w:tblPrEx>
          <w:tblLayout w:type="fixed"/>
          <w:tblCellMar>
            <w:top w:w="0" w:type="dxa"/>
            <w:left w:w="108" w:type="dxa"/>
            <w:bottom w:w="0" w:type="dxa"/>
            <w:right w:w="108" w:type="dxa"/>
          </w:tblCellMar>
        </w:tblPrEx>
        <w:trPr>
          <w:trHeight w:val="439" w:hRule="atLeast"/>
          <w:jc w:val="center"/>
        </w:trPr>
        <w:tc>
          <w:tcPr>
            <w:tcW w:w="6620" w:type="dxa"/>
            <w:gridSpan w:val="3"/>
            <w:tcBorders>
              <w:top w:val="single" w:color="auto" w:sz="8" w:space="0"/>
              <w:left w:val="single" w:color="auto" w:sz="8" w:space="0"/>
              <w:bottom w:val="single" w:color="auto" w:sz="4" w:space="0"/>
              <w:right w:val="single" w:color="auto" w:sz="4" w:space="0"/>
            </w:tcBorders>
            <w:shd w:val="clear" w:color="000000" w:fill="FFFFFF"/>
            <w:vAlign w:val="center"/>
          </w:tcPr>
          <w:p>
            <w:pPr>
              <w:widowControl/>
              <w:adjustRightInd w:val="0"/>
              <w:snapToGrid w:val="0"/>
              <w:ind w:firstLine="640"/>
              <w:jc w:val="center"/>
              <w:rPr>
                <w:rFonts w:ascii="宋体" w:cs="宋体"/>
                <w:kern w:val="0"/>
                <w:sz w:val="24"/>
              </w:rPr>
            </w:pPr>
            <w:r>
              <w:rPr>
                <w:rFonts w:ascii="方正小标宋简体" w:eastAsia="方正小标宋简体"/>
                <w:sz w:val="36"/>
                <w:szCs w:val="36"/>
              </w:rPr>
              <w:t xml:space="preserve"> </w:t>
            </w:r>
            <w:r>
              <w:rPr>
                <w:rFonts w:hint="eastAsia" w:ascii="宋体" w:hAnsi="宋体" w:cs="宋体"/>
                <w:kern w:val="0"/>
                <w:sz w:val="24"/>
              </w:rPr>
              <w:t>收入</w:t>
            </w:r>
          </w:p>
        </w:tc>
        <w:tc>
          <w:tcPr>
            <w:tcW w:w="6240" w:type="dxa"/>
            <w:gridSpan w:val="3"/>
            <w:tcBorders>
              <w:top w:val="single" w:color="auto" w:sz="8" w:space="0"/>
              <w:left w:val="nil"/>
              <w:bottom w:val="single" w:color="auto" w:sz="4" w:space="0"/>
              <w:right w:val="single" w:color="000000" w:sz="8"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0"/>
                <w:szCs w:val="20"/>
              </w:rPr>
            </w:pPr>
            <w:r>
              <w:rPr>
                <w:rFonts w:hint="eastAsia" w:ascii="宋体" w:hAnsi="宋体" w:cs="宋体"/>
                <w:kern w:val="0"/>
                <w:sz w:val="20"/>
                <w:szCs w:val="20"/>
              </w:rPr>
              <w:t>行次</w:t>
            </w:r>
          </w:p>
        </w:tc>
        <w:tc>
          <w:tcPr>
            <w:tcW w:w="107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决算数</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0"/>
                <w:szCs w:val="20"/>
              </w:rPr>
            </w:pPr>
            <w:r>
              <w:rPr>
                <w:rFonts w:hint="eastAsia" w:ascii="宋体" w:hAnsi="宋体" w:cs="宋体"/>
                <w:kern w:val="0"/>
                <w:sz w:val="20"/>
                <w:szCs w:val="20"/>
              </w:rPr>
              <w:t>行次</w:t>
            </w:r>
          </w:p>
        </w:tc>
        <w:tc>
          <w:tcPr>
            <w:tcW w:w="1038" w:type="dxa"/>
            <w:tcBorders>
              <w:top w:val="nil"/>
              <w:left w:val="nil"/>
              <w:bottom w:val="single" w:color="auto" w:sz="4" w:space="0"/>
              <w:right w:val="single" w:color="auto" w:sz="8"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决算数</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　</w:t>
            </w:r>
          </w:p>
        </w:tc>
        <w:tc>
          <w:tcPr>
            <w:tcW w:w="107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4"/>
              </w:rPr>
            </w:pPr>
            <w:r>
              <w:rPr>
                <w:rFonts w:ascii="宋体" w:hAnsi="宋体" w:cs="宋体"/>
                <w:kern w:val="0"/>
                <w:sz w:val="24"/>
              </w:rPr>
              <w:t>1</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　</w:t>
            </w:r>
          </w:p>
        </w:tc>
        <w:tc>
          <w:tcPr>
            <w:tcW w:w="1038" w:type="dxa"/>
            <w:tcBorders>
              <w:top w:val="nil"/>
              <w:left w:val="nil"/>
              <w:bottom w:val="single" w:color="auto" w:sz="4" w:space="0"/>
              <w:right w:val="single" w:color="auto" w:sz="8" w:space="0"/>
            </w:tcBorders>
            <w:shd w:val="clear" w:color="000000" w:fill="FFFFFF"/>
            <w:vAlign w:val="center"/>
          </w:tcPr>
          <w:p>
            <w:pPr>
              <w:widowControl/>
              <w:adjustRightInd w:val="0"/>
              <w:snapToGrid w:val="0"/>
              <w:jc w:val="center"/>
              <w:rPr>
                <w:rFonts w:ascii="宋体" w:hAnsi="宋体" w:cs="宋体"/>
                <w:kern w:val="0"/>
                <w:sz w:val="24"/>
              </w:rPr>
            </w:pPr>
            <w:r>
              <w:rPr>
                <w:rFonts w:ascii="宋体" w:hAnsi="宋体" w:cs="宋体"/>
                <w:kern w:val="0"/>
                <w:sz w:val="24"/>
              </w:rPr>
              <w:t>2</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一、财政拨款收入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w:t>
            </w:r>
          </w:p>
        </w:tc>
        <w:tc>
          <w:tcPr>
            <w:tcW w:w="1075" w:type="dxa"/>
            <w:tcBorders>
              <w:top w:val="nil"/>
              <w:left w:val="nil"/>
              <w:bottom w:val="single" w:color="auto" w:sz="4" w:space="0"/>
              <w:right w:val="single" w:color="auto" w:sz="4" w:space="0"/>
            </w:tcBorders>
            <w:vAlign w:val="center"/>
          </w:tcPr>
          <w:p>
            <w:pPr>
              <w:widowControl/>
              <w:adjustRightInd w:val="0"/>
              <w:snapToGrid w:val="0"/>
              <w:jc w:val="center"/>
              <w:rPr>
                <w:rFonts w:ascii="宋体" w:cs="宋体"/>
                <w:kern w:val="0"/>
                <w:sz w:val="22"/>
              </w:rPr>
            </w:pPr>
            <w:r>
              <w:rPr>
                <w:rFonts w:ascii="宋体" w:hAnsi="宋体" w:cs="宋体"/>
                <w:kern w:val="0"/>
                <w:sz w:val="22"/>
              </w:rPr>
              <w:t>454.61</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一、一般公共服务支出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14</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ascii="宋体" w:hAnsi="宋体" w:cs="宋体"/>
                <w:kern w:val="0"/>
                <w:sz w:val="22"/>
              </w:rPr>
              <w:t>454.61</w:t>
            </w: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二、上级补助收入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二、外交支出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15</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三、事业收入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3</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三、国防支出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16</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四、经营收入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4</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四、公共安全支出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17</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五、附属单位上缴收入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5</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五、教育支出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18</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六、其他收入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6</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六、科学技术支出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19</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7</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vAlign w:val="center"/>
          </w:tcPr>
          <w:p>
            <w:pPr>
              <w:widowControl/>
              <w:adjustRightInd w:val="0"/>
              <w:snapToGrid w:val="0"/>
              <w:jc w:val="left"/>
              <w:rPr>
                <w:rFonts w:ascii="宋体" w:cs="宋体"/>
                <w:kern w:val="0"/>
                <w:sz w:val="24"/>
              </w:rPr>
            </w:pPr>
            <w:r>
              <w:rPr>
                <w:rFonts w:hint="eastAsia" w:ascii="宋体" w:hAnsi="宋体" w:cs="宋体"/>
                <w:kern w:val="0"/>
                <w:sz w:val="24"/>
              </w:rPr>
              <w:t>……</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20</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8</w:t>
            </w:r>
          </w:p>
        </w:tc>
        <w:tc>
          <w:tcPr>
            <w:tcW w:w="1075" w:type="dxa"/>
            <w:tcBorders>
              <w:top w:val="nil"/>
              <w:left w:val="nil"/>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十二、农林水支出</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21</w:t>
            </w:r>
          </w:p>
        </w:tc>
        <w:tc>
          <w:tcPr>
            <w:tcW w:w="1038" w:type="dxa"/>
            <w:tcBorders>
              <w:top w:val="nil"/>
              <w:left w:val="nil"/>
              <w:bottom w:val="single" w:color="auto" w:sz="4" w:space="0"/>
              <w:right w:val="single" w:color="auto" w:sz="8" w:space="0"/>
            </w:tcBorders>
            <w:vAlign w:val="center"/>
          </w:tcPr>
          <w:p>
            <w:pPr>
              <w:widowControl/>
              <w:adjustRightInd w:val="0"/>
              <w:snapToGrid w:val="0"/>
              <w:jc w:val="center"/>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本年收入合计</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9</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b/>
                <w:kern w:val="0"/>
                <w:sz w:val="22"/>
              </w:rPr>
            </w:pPr>
            <w:r>
              <w:rPr>
                <w:rFonts w:ascii="宋体" w:hAnsi="宋体" w:cs="宋体"/>
                <w:b/>
                <w:kern w:val="0"/>
                <w:sz w:val="22"/>
              </w:rPr>
              <w:t>454.61</w:t>
            </w:r>
            <w:r>
              <w:rPr>
                <w:rFonts w:hint="eastAsia" w:ascii="宋体" w:hAnsi="宋体" w:cs="宋体"/>
                <w:b/>
                <w:kern w:val="0"/>
                <w:sz w:val="22"/>
              </w:rPr>
              <w:t>　</w:t>
            </w:r>
          </w:p>
        </w:tc>
        <w:tc>
          <w:tcPr>
            <w:tcW w:w="4607" w:type="dxa"/>
            <w:tcBorders>
              <w:top w:val="nil"/>
              <w:left w:val="nil"/>
              <w:bottom w:val="single" w:color="auto" w:sz="4" w:space="0"/>
              <w:right w:val="nil"/>
            </w:tcBorders>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本年支出合计</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22</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b/>
                <w:bCs/>
                <w:kern w:val="0"/>
                <w:sz w:val="22"/>
              </w:rPr>
            </w:pPr>
            <w:r>
              <w:rPr>
                <w:rFonts w:ascii="宋体" w:hAnsi="宋体" w:cs="宋体"/>
                <w:b/>
                <w:bCs/>
                <w:kern w:val="0"/>
                <w:sz w:val="22"/>
              </w:rPr>
              <w:t>454.61</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用事业基金弥补收支差额</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10</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结余分配</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23</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年初结转和结余</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11</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ascii="宋体" w:hAnsi="宋体" w:cs="宋体"/>
                <w:kern w:val="0"/>
                <w:sz w:val="22"/>
              </w:rPr>
              <w:t>0.5</w:t>
            </w: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年末结转和结余</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24</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r>
              <w:rPr>
                <w:rFonts w:ascii="宋体" w:hAnsi="宋体" w:cs="宋体"/>
                <w:kern w:val="0"/>
                <w:sz w:val="22"/>
              </w:rPr>
              <w:t>0.5</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nil"/>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12</w:t>
            </w:r>
          </w:p>
        </w:tc>
        <w:tc>
          <w:tcPr>
            <w:tcW w:w="1075" w:type="dxa"/>
            <w:tcBorders>
              <w:top w:val="nil"/>
              <w:left w:val="nil"/>
              <w:bottom w:val="nil"/>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nil"/>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25</w:t>
            </w:r>
          </w:p>
        </w:tc>
        <w:tc>
          <w:tcPr>
            <w:tcW w:w="1038" w:type="dxa"/>
            <w:tcBorders>
              <w:top w:val="nil"/>
              <w:left w:val="nil"/>
              <w:bottom w:val="nil"/>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single" w:color="auto" w:sz="4" w:space="0"/>
              <w:left w:val="single" w:color="auto" w:sz="8" w:space="0"/>
              <w:bottom w:val="single" w:color="auto" w:sz="8" w:space="0"/>
              <w:right w:val="nil"/>
            </w:tcBorders>
            <w:shd w:val="clear" w:color="000000" w:fill="FFFFFF"/>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合计</w:t>
            </w:r>
          </w:p>
        </w:tc>
        <w:tc>
          <w:tcPr>
            <w:tcW w:w="616"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13</w:t>
            </w:r>
          </w:p>
        </w:tc>
        <w:tc>
          <w:tcPr>
            <w:tcW w:w="1075" w:type="dxa"/>
            <w:tcBorders>
              <w:top w:val="single" w:color="auto" w:sz="4" w:space="0"/>
              <w:left w:val="nil"/>
              <w:bottom w:val="single" w:color="auto" w:sz="8" w:space="0"/>
              <w:right w:val="single" w:color="auto" w:sz="4" w:space="0"/>
            </w:tcBorders>
            <w:vAlign w:val="center"/>
          </w:tcPr>
          <w:p>
            <w:pPr>
              <w:widowControl/>
              <w:adjustRightInd w:val="0"/>
              <w:snapToGrid w:val="0"/>
              <w:jc w:val="right"/>
              <w:rPr>
                <w:rFonts w:ascii="宋体" w:cs="宋体"/>
                <w:b/>
                <w:kern w:val="0"/>
                <w:sz w:val="22"/>
              </w:rPr>
            </w:pPr>
            <w:r>
              <w:rPr>
                <w:rFonts w:ascii="宋体" w:hAnsi="宋体" w:cs="宋体"/>
                <w:b/>
                <w:kern w:val="0"/>
                <w:sz w:val="22"/>
              </w:rPr>
              <w:t>455.11</w:t>
            </w:r>
            <w:r>
              <w:rPr>
                <w:rFonts w:hint="eastAsia" w:ascii="宋体" w:hAnsi="宋体" w:cs="宋体"/>
                <w:b/>
                <w:kern w:val="0"/>
                <w:sz w:val="22"/>
              </w:rPr>
              <w:t>　</w:t>
            </w:r>
          </w:p>
        </w:tc>
        <w:tc>
          <w:tcPr>
            <w:tcW w:w="4607" w:type="dxa"/>
            <w:tcBorders>
              <w:top w:val="single" w:color="auto" w:sz="4" w:space="0"/>
              <w:left w:val="nil"/>
              <w:bottom w:val="single" w:color="auto" w:sz="8" w:space="0"/>
              <w:right w:val="nil"/>
            </w:tcBorders>
            <w:shd w:val="clear" w:color="000000" w:fill="FFFFFF"/>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合计</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26</w:t>
            </w:r>
          </w:p>
        </w:tc>
        <w:tc>
          <w:tcPr>
            <w:tcW w:w="1038" w:type="dxa"/>
            <w:tcBorders>
              <w:top w:val="single" w:color="auto" w:sz="4" w:space="0"/>
              <w:left w:val="nil"/>
              <w:bottom w:val="single" w:color="auto" w:sz="8" w:space="0"/>
              <w:right w:val="single" w:color="auto" w:sz="8" w:space="0"/>
            </w:tcBorders>
            <w:vAlign w:val="center"/>
          </w:tcPr>
          <w:p>
            <w:pPr>
              <w:widowControl/>
              <w:adjustRightInd w:val="0"/>
              <w:snapToGrid w:val="0"/>
              <w:jc w:val="left"/>
              <w:rPr>
                <w:rFonts w:ascii="宋体" w:cs="宋体"/>
                <w:b/>
                <w:bCs/>
                <w:kern w:val="0"/>
                <w:sz w:val="22"/>
              </w:rPr>
            </w:pPr>
            <w:r>
              <w:rPr>
                <w:rFonts w:ascii="宋体" w:hAnsi="宋体" w:cs="宋体"/>
                <w:b/>
                <w:bCs/>
                <w:kern w:val="0"/>
                <w:sz w:val="22"/>
              </w:rPr>
              <w:t>455.11</w:t>
            </w:r>
          </w:p>
        </w:tc>
      </w:tr>
    </w:tbl>
    <w:p>
      <w:pPr>
        <w:widowControl/>
        <w:adjustRightInd w:val="0"/>
        <w:snapToGrid w:val="0"/>
        <w:ind w:right="102" w:firstLine="900" w:firstLineChars="450"/>
        <w:rPr>
          <w:rFonts w:ascii="宋体" w:cs="宋体"/>
          <w:color w:val="000000"/>
          <w:kern w:val="0"/>
          <w:sz w:val="20"/>
          <w:szCs w:val="20"/>
        </w:rPr>
      </w:pPr>
      <w:r>
        <w:rPr>
          <w:rFonts w:hint="eastAsia" w:ascii="宋体" w:hAnsi="宋体" w:cs="宋体"/>
          <w:color w:val="000000"/>
          <w:kern w:val="0"/>
          <w:sz w:val="20"/>
          <w:szCs w:val="20"/>
        </w:rPr>
        <w:t>注：本表反映部门本年度的总收支和年末结转结余情况。</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收入决算表</w:t>
      </w:r>
    </w:p>
    <w:p>
      <w:pPr>
        <w:widowControl/>
        <w:adjustRightInd w:val="0"/>
        <w:snapToGrid w:val="0"/>
        <w:ind w:right="8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02</w:t>
      </w:r>
      <w:r>
        <w:rPr>
          <w:rFonts w:hint="eastAsia" w:ascii="宋体" w:hAnsi="宋体" w:cs="宋体"/>
          <w:color w:val="000000"/>
          <w:kern w:val="0"/>
          <w:sz w:val="20"/>
          <w:szCs w:val="20"/>
        </w:rPr>
        <w:t>表</w:t>
      </w:r>
    </w:p>
    <w:p>
      <w:pPr>
        <w:widowControl/>
        <w:adjustRightInd w:val="0"/>
        <w:snapToGrid w:val="0"/>
        <w:ind w:firstLine="600" w:firstLineChars="300"/>
        <w:jc w:val="left"/>
        <w:rPr>
          <w:rFonts w:ascii="宋体" w:cs="宋体"/>
          <w:color w:val="000000"/>
          <w:kern w:val="0"/>
          <w:sz w:val="20"/>
          <w:szCs w:val="20"/>
        </w:rPr>
      </w:pPr>
      <w:r>
        <w:rPr>
          <w:rFonts w:hint="eastAsia" w:ascii="宋体" w:hAnsi="宋体" w:cs="宋体"/>
          <w:color w:val="000000"/>
          <w:kern w:val="0"/>
          <w:sz w:val="20"/>
          <w:szCs w:val="20"/>
        </w:rPr>
        <w:t>部门：罗山县人大办公室</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3236" w:type="dxa"/>
        <w:jc w:val="center"/>
        <w:tblInd w:w="0" w:type="dxa"/>
        <w:tblLayout w:type="fixed"/>
        <w:tblCellMar>
          <w:top w:w="0" w:type="dxa"/>
          <w:left w:w="108" w:type="dxa"/>
          <w:bottom w:w="0" w:type="dxa"/>
          <w:right w:w="108" w:type="dxa"/>
        </w:tblCellMar>
      </w:tblPr>
      <w:tblGrid>
        <w:gridCol w:w="1244"/>
        <w:gridCol w:w="2856"/>
        <w:gridCol w:w="1191"/>
        <w:gridCol w:w="995"/>
        <w:gridCol w:w="1548"/>
        <w:gridCol w:w="1262"/>
        <w:gridCol w:w="1299"/>
        <w:gridCol w:w="1517"/>
        <w:gridCol w:w="1324"/>
      </w:tblGrid>
      <w:tr>
        <w:tblPrEx>
          <w:tblLayout w:type="fixed"/>
          <w:tblCellMar>
            <w:top w:w="0" w:type="dxa"/>
            <w:left w:w="108" w:type="dxa"/>
            <w:bottom w:w="0" w:type="dxa"/>
            <w:right w:w="108" w:type="dxa"/>
          </w:tblCellMar>
        </w:tblPrEx>
        <w:trPr>
          <w:trHeight w:val="450" w:hRule="atLeast"/>
          <w:jc w:val="center"/>
        </w:trPr>
        <w:tc>
          <w:tcPr>
            <w:tcW w:w="4100" w:type="dxa"/>
            <w:gridSpan w:val="2"/>
            <w:tcBorders>
              <w:top w:val="single" w:color="auto" w:sz="8" w:space="0"/>
              <w:left w:val="single" w:color="auto" w:sz="8" w:space="0"/>
              <w:bottom w:val="single" w:color="auto" w:sz="4" w:space="0"/>
              <w:right w:val="nil"/>
            </w:tcBorders>
            <w:shd w:val="clear" w:color="000000" w:fill="FFFFFF"/>
            <w:vAlign w:val="center"/>
          </w:tcPr>
          <w:p>
            <w:pPr>
              <w:widowControl/>
              <w:ind w:firstLine="87"/>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1191"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本年收入合计</w:t>
            </w:r>
          </w:p>
        </w:tc>
        <w:tc>
          <w:tcPr>
            <w:tcW w:w="995"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财政拨款收入</w:t>
            </w:r>
          </w:p>
        </w:tc>
        <w:tc>
          <w:tcPr>
            <w:tcW w:w="1548"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上级补助收入</w:t>
            </w:r>
          </w:p>
        </w:tc>
        <w:tc>
          <w:tcPr>
            <w:tcW w:w="1262"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事业收入</w:t>
            </w:r>
          </w:p>
        </w:tc>
        <w:tc>
          <w:tcPr>
            <w:tcW w:w="1299"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经营收入</w:t>
            </w:r>
          </w:p>
        </w:tc>
        <w:tc>
          <w:tcPr>
            <w:tcW w:w="1517"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附属单位上缴收入</w:t>
            </w:r>
          </w:p>
        </w:tc>
        <w:tc>
          <w:tcPr>
            <w:tcW w:w="1324" w:type="dxa"/>
            <w:vMerge w:val="restart"/>
            <w:tcBorders>
              <w:top w:val="single" w:color="auto" w:sz="8" w:space="0"/>
              <w:left w:val="single" w:color="auto" w:sz="4" w:space="0"/>
              <w:bottom w:val="single" w:color="000000"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其他收入</w:t>
            </w:r>
          </w:p>
        </w:tc>
      </w:tr>
      <w:tr>
        <w:tblPrEx>
          <w:tblLayout w:type="fixed"/>
          <w:tblCellMar>
            <w:top w:w="0" w:type="dxa"/>
            <w:left w:w="108" w:type="dxa"/>
            <w:bottom w:w="0" w:type="dxa"/>
            <w:right w:w="108" w:type="dxa"/>
          </w:tblCellMar>
        </w:tblPrEx>
        <w:trPr>
          <w:trHeight w:val="450" w:hRule="atLeast"/>
          <w:jc w:val="center"/>
        </w:trPr>
        <w:tc>
          <w:tcPr>
            <w:tcW w:w="1244" w:type="dxa"/>
            <w:vMerge w:val="restart"/>
            <w:tcBorders>
              <w:top w:val="single" w:color="auto" w:sz="4" w:space="0"/>
              <w:left w:val="single" w:color="auto" w:sz="8" w:space="0"/>
              <w:bottom w:val="single" w:color="000000" w:sz="4" w:space="0"/>
              <w:right w:val="nil"/>
            </w:tcBorders>
            <w:shd w:val="clear" w:color="000000" w:fill="FFFFFF"/>
            <w:vAlign w:val="center"/>
          </w:tcPr>
          <w:p>
            <w:pPr>
              <w:widowControl/>
              <w:rPr>
                <w:rFonts w:ascii="宋体" w:cs="宋体"/>
                <w:kern w:val="0"/>
                <w:sz w:val="24"/>
              </w:rPr>
            </w:pPr>
            <w:r>
              <w:rPr>
                <w:rFonts w:hint="eastAsia" w:ascii="宋体" w:hAnsi="宋体" w:cs="宋体"/>
                <w:kern w:val="0"/>
                <w:sz w:val="24"/>
              </w:rPr>
              <w:t>功能分类科目编码</w:t>
            </w:r>
          </w:p>
        </w:tc>
        <w:tc>
          <w:tcPr>
            <w:tcW w:w="285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科目名称</w:t>
            </w:r>
          </w:p>
        </w:tc>
        <w:tc>
          <w:tcPr>
            <w:tcW w:w="119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99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4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6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1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2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44"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cs="宋体"/>
                <w:kern w:val="0"/>
                <w:sz w:val="24"/>
              </w:rPr>
            </w:pPr>
          </w:p>
        </w:tc>
        <w:tc>
          <w:tcPr>
            <w:tcW w:w="2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9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99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4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6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1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2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100" w:type="dxa"/>
            <w:gridSpan w:val="2"/>
            <w:tcBorders>
              <w:top w:val="single" w:color="auto" w:sz="4" w:space="0"/>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栏次</w:t>
            </w:r>
          </w:p>
        </w:tc>
        <w:tc>
          <w:tcPr>
            <w:tcW w:w="119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99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5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2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c>
          <w:tcPr>
            <w:tcW w:w="129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5</w:t>
            </w:r>
          </w:p>
        </w:tc>
        <w:tc>
          <w:tcPr>
            <w:tcW w:w="151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6</w:t>
            </w:r>
          </w:p>
        </w:tc>
        <w:tc>
          <w:tcPr>
            <w:tcW w:w="1324"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7</w:t>
            </w:r>
          </w:p>
        </w:tc>
      </w:tr>
      <w:tr>
        <w:tblPrEx>
          <w:tblLayout w:type="fixed"/>
          <w:tblCellMar>
            <w:top w:w="0" w:type="dxa"/>
            <w:left w:w="108" w:type="dxa"/>
            <w:bottom w:w="0" w:type="dxa"/>
            <w:right w:w="108" w:type="dxa"/>
          </w:tblCellMar>
        </w:tblPrEx>
        <w:trPr>
          <w:trHeight w:val="450" w:hRule="atLeast"/>
          <w:jc w:val="center"/>
        </w:trPr>
        <w:tc>
          <w:tcPr>
            <w:tcW w:w="4100" w:type="dxa"/>
            <w:gridSpan w:val="2"/>
            <w:tcBorders>
              <w:top w:val="nil"/>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454.61</w:t>
            </w: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454.61</w:t>
            </w: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18"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rPr>
                <w:rFonts w:ascii="宋体" w:hAnsi="宋体" w:cs="宋体"/>
                <w:kern w:val="0"/>
                <w:sz w:val="24"/>
              </w:rPr>
            </w:pPr>
            <w:r>
              <w:rPr>
                <w:rFonts w:ascii="宋体" w:hAnsi="宋体" w:cs="宋体"/>
                <w:kern w:val="0"/>
                <w:sz w:val="24"/>
              </w:rPr>
              <w:t>2019999</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454.61</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454.61</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571"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rPr>
                <w:rFonts w:ascii="宋体" w:cs="宋体"/>
                <w:kern w:val="0"/>
                <w:sz w:val="24"/>
              </w:rPr>
            </w:pP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p>
        </w:tc>
        <w:tc>
          <w:tcPr>
            <w:tcW w:w="1191" w:type="dxa"/>
            <w:tcBorders>
              <w:top w:val="nil"/>
              <w:left w:val="nil"/>
              <w:bottom w:val="single" w:color="auto" w:sz="4" w:space="0"/>
              <w:right w:val="single" w:color="auto" w:sz="4" w:space="0"/>
            </w:tcBorders>
            <w:vAlign w:val="center"/>
          </w:tcPr>
          <w:p>
            <w:pPr>
              <w:widowControl/>
              <w:jc w:val="right"/>
              <w:rPr>
                <w:rFonts w:ascii="华文中宋" w:hAnsi="华文中宋" w:eastAsia="华文中宋" w:cs="宋体"/>
                <w:kern w:val="0"/>
                <w:sz w:val="24"/>
              </w:rPr>
            </w:pP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8"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bl>
    <w:p>
      <w:pPr>
        <w:adjustRightInd w:val="0"/>
        <w:snapToGrid w:val="0"/>
        <w:ind w:firstLine="700" w:firstLineChars="350"/>
        <w:rPr>
          <w:sz w:val="20"/>
          <w:szCs w:val="20"/>
        </w:rPr>
      </w:pPr>
      <w:r>
        <w:rPr>
          <w:rFonts w:hint="eastAsia"/>
          <w:sz w:val="20"/>
          <w:szCs w:val="20"/>
        </w:rPr>
        <w:t>注：本表反映部门本年度取得的各项收入情况。</w:t>
      </w:r>
    </w:p>
    <w:p>
      <w:pPr>
        <w:spacing w:line="580" w:lineRule="exact"/>
        <w:ind w:firstLine="640"/>
        <w:rPr>
          <w:szCs w:val="32"/>
        </w:rPr>
      </w:pPr>
    </w:p>
    <w:p>
      <w:pPr>
        <w:spacing w:line="580" w:lineRule="exact"/>
        <w:ind w:firstLine="640"/>
        <w:rPr>
          <w:szCs w:val="32"/>
        </w:rPr>
      </w:pPr>
    </w:p>
    <w:p>
      <w:pPr>
        <w:spacing w:line="580" w:lineRule="exact"/>
        <w:ind w:firstLine="640"/>
        <w:rPr>
          <w:szCs w:val="32"/>
        </w:rPr>
      </w:pPr>
    </w:p>
    <w:p>
      <w:pPr>
        <w:spacing w:line="580" w:lineRule="exact"/>
        <w:ind w:firstLine="640"/>
        <w:rPr>
          <w:szCs w:val="32"/>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支出决算总表</w:t>
      </w:r>
    </w:p>
    <w:p>
      <w:pPr>
        <w:widowControl/>
        <w:adjustRightInd w:val="0"/>
        <w:snapToGrid w:val="0"/>
        <w:ind w:right="8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03</w:t>
      </w:r>
      <w:r>
        <w:rPr>
          <w:rFonts w:hint="eastAsia" w:ascii="宋体" w:hAnsi="宋体" w:cs="宋体"/>
          <w:color w:val="000000"/>
          <w:kern w:val="0"/>
          <w:sz w:val="20"/>
          <w:szCs w:val="20"/>
        </w:rPr>
        <w:t>表</w:t>
      </w:r>
    </w:p>
    <w:p>
      <w:pPr>
        <w:widowControl/>
        <w:tabs>
          <w:tab w:val="left" w:pos="14034"/>
        </w:tabs>
        <w:adjustRightInd w:val="0"/>
        <w:snapToGrid w:val="0"/>
        <w:ind w:right="395" w:firstLine="500" w:firstLineChars="250"/>
        <w:rPr>
          <w:rFonts w:ascii="宋体" w:cs="宋体"/>
          <w:color w:val="000000"/>
          <w:kern w:val="0"/>
          <w:sz w:val="20"/>
          <w:szCs w:val="20"/>
        </w:rPr>
      </w:pPr>
      <w:r>
        <w:rPr>
          <w:rFonts w:hint="eastAsia" w:ascii="宋体" w:hAnsi="宋体" w:cs="宋体"/>
          <w:color w:val="000000"/>
          <w:kern w:val="0"/>
          <w:sz w:val="20"/>
          <w:szCs w:val="20"/>
        </w:rPr>
        <w:t>部门：罗山县人大办公室</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3541" w:type="dxa"/>
        <w:jc w:val="center"/>
        <w:tblInd w:w="0" w:type="dxa"/>
        <w:tblLayout w:type="fixed"/>
        <w:tblCellMar>
          <w:top w:w="0" w:type="dxa"/>
          <w:left w:w="108" w:type="dxa"/>
          <w:bottom w:w="0" w:type="dxa"/>
          <w:right w:w="108" w:type="dxa"/>
        </w:tblCellMar>
      </w:tblPr>
      <w:tblGrid>
        <w:gridCol w:w="1298"/>
        <w:gridCol w:w="2857"/>
        <w:gridCol w:w="1557"/>
        <w:gridCol w:w="1606"/>
        <w:gridCol w:w="1416"/>
        <w:gridCol w:w="1709"/>
        <w:gridCol w:w="1714"/>
        <w:gridCol w:w="1384"/>
      </w:tblGrid>
      <w:tr>
        <w:tblPrEx>
          <w:tblLayout w:type="fixed"/>
          <w:tblCellMar>
            <w:top w:w="0" w:type="dxa"/>
            <w:left w:w="108" w:type="dxa"/>
            <w:bottom w:w="0" w:type="dxa"/>
            <w:right w:w="108" w:type="dxa"/>
          </w:tblCellMar>
        </w:tblPrEx>
        <w:trPr>
          <w:trHeight w:val="450" w:hRule="atLeast"/>
          <w:jc w:val="center"/>
        </w:trPr>
        <w:tc>
          <w:tcPr>
            <w:tcW w:w="4155" w:type="dxa"/>
            <w:gridSpan w:val="2"/>
            <w:tcBorders>
              <w:top w:val="single" w:color="auto" w:sz="8" w:space="0"/>
              <w:left w:val="single" w:color="auto" w:sz="8" w:space="0"/>
              <w:bottom w:val="single" w:color="auto" w:sz="4" w:space="0"/>
              <w:right w:val="nil"/>
            </w:tcBorders>
            <w:shd w:val="clear" w:color="000000" w:fill="FFFFFF"/>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1557"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本年支出合计</w:t>
            </w:r>
          </w:p>
        </w:tc>
        <w:tc>
          <w:tcPr>
            <w:tcW w:w="1606"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基本支出</w:t>
            </w:r>
          </w:p>
        </w:tc>
        <w:tc>
          <w:tcPr>
            <w:tcW w:w="1416"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项目支出</w:t>
            </w:r>
          </w:p>
        </w:tc>
        <w:tc>
          <w:tcPr>
            <w:tcW w:w="1709"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上缴上级支出</w:t>
            </w:r>
          </w:p>
        </w:tc>
        <w:tc>
          <w:tcPr>
            <w:tcW w:w="1714"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经营支出</w:t>
            </w:r>
          </w:p>
        </w:tc>
        <w:tc>
          <w:tcPr>
            <w:tcW w:w="1384" w:type="dxa"/>
            <w:vMerge w:val="restart"/>
            <w:tcBorders>
              <w:top w:val="single" w:color="auto" w:sz="8" w:space="0"/>
              <w:left w:val="single" w:color="auto" w:sz="4" w:space="0"/>
              <w:bottom w:val="single" w:color="000000"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对附属单位补助支出</w:t>
            </w:r>
          </w:p>
        </w:tc>
      </w:tr>
      <w:tr>
        <w:tblPrEx>
          <w:tblLayout w:type="fixed"/>
          <w:tblCellMar>
            <w:top w:w="0" w:type="dxa"/>
            <w:left w:w="108" w:type="dxa"/>
            <w:bottom w:w="0" w:type="dxa"/>
            <w:right w:w="108" w:type="dxa"/>
          </w:tblCellMar>
        </w:tblPrEx>
        <w:trPr>
          <w:trHeight w:val="450" w:hRule="atLeast"/>
          <w:jc w:val="center"/>
        </w:trPr>
        <w:tc>
          <w:tcPr>
            <w:tcW w:w="1298" w:type="dxa"/>
            <w:vMerge w:val="restart"/>
            <w:tcBorders>
              <w:top w:val="single" w:color="auto" w:sz="4" w:space="0"/>
              <w:left w:val="single" w:color="auto" w:sz="8" w:space="0"/>
              <w:bottom w:val="single" w:color="000000" w:sz="4" w:space="0"/>
              <w:right w:val="nil"/>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857"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科目名称</w:t>
            </w:r>
          </w:p>
        </w:tc>
        <w:tc>
          <w:tcPr>
            <w:tcW w:w="155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60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1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0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14"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8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98"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cs="宋体"/>
                <w:kern w:val="0"/>
                <w:sz w:val="24"/>
              </w:rPr>
            </w:pPr>
          </w:p>
        </w:tc>
        <w:tc>
          <w:tcPr>
            <w:tcW w:w="28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5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60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1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0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14"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8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155" w:type="dxa"/>
            <w:gridSpan w:val="2"/>
            <w:tcBorders>
              <w:top w:val="single" w:color="auto" w:sz="4" w:space="0"/>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栏次</w:t>
            </w:r>
          </w:p>
        </w:tc>
        <w:tc>
          <w:tcPr>
            <w:tcW w:w="15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16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41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c>
          <w:tcPr>
            <w:tcW w:w="171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5</w:t>
            </w:r>
          </w:p>
        </w:tc>
        <w:tc>
          <w:tcPr>
            <w:tcW w:w="1384"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6</w:t>
            </w:r>
          </w:p>
        </w:tc>
      </w:tr>
      <w:tr>
        <w:tblPrEx>
          <w:tblLayout w:type="fixed"/>
          <w:tblCellMar>
            <w:top w:w="0" w:type="dxa"/>
            <w:left w:w="108" w:type="dxa"/>
            <w:bottom w:w="0" w:type="dxa"/>
            <w:right w:w="108" w:type="dxa"/>
          </w:tblCellMar>
        </w:tblPrEx>
        <w:trPr>
          <w:trHeight w:val="450" w:hRule="atLeast"/>
          <w:jc w:val="center"/>
        </w:trPr>
        <w:tc>
          <w:tcPr>
            <w:tcW w:w="4155" w:type="dxa"/>
            <w:gridSpan w:val="2"/>
            <w:tcBorders>
              <w:top w:val="nil"/>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454.61</w:t>
            </w: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454.61</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2019999</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454.61</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cs="宋体"/>
                <w:kern w:val="0"/>
                <w:sz w:val="24"/>
              </w:rPr>
              <w:t>454.61</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8"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8"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bl>
    <w:p>
      <w:pPr>
        <w:adjustRightInd w:val="0"/>
        <w:snapToGrid w:val="0"/>
        <w:ind w:firstLine="600" w:firstLineChars="300"/>
        <w:rPr>
          <w:sz w:val="20"/>
          <w:szCs w:val="20"/>
        </w:rPr>
      </w:pPr>
      <w:r>
        <w:rPr>
          <w:rFonts w:hint="eastAsia"/>
          <w:sz w:val="20"/>
          <w:szCs w:val="20"/>
        </w:rPr>
        <w:t>注：本表反映部门本年度取得的各项支出情况。</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财政拨款收入支出决算总表</w:t>
      </w:r>
    </w:p>
    <w:p>
      <w:pPr>
        <w:widowControl/>
        <w:adjustRightInd w:val="0"/>
        <w:snapToGrid w:val="0"/>
        <w:ind w:right="83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04</w:t>
      </w:r>
      <w:r>
        <w:rPr>
          <w:rFonts w:hint="eastAsia" w:ascii="宋体" w:hAnsi="宋体" w:cs="宋体"/>
          <w:color w:val="000000"/>
          <w:kern w:val="0"/>
          <w:sz w:val="22"/>
        </w:rPr>
        <w:t>表</w:t>
      </w:r>
    </w:p>
    <w:p>
      <w:pPr>
        <w:widowControl/>
        <w:adjustRightInd w:val="0"/>
        <w:snapToGrid w:val="0"/>
        <w:ind w:firstLine="770" w:firstLineChars="350"/>
        <w:jc w:val="left"/>
        <w:rPr>
          <w:rFonts w:ascii="宋体" w:cs="宋体"/>
          <w:color w:val="000000"/>
          <w:kern w:val="0"/>
          <w:sz w:val="22"/>
        </w:rPr>
      </w:pPr>
      <w:r>
        <w:rPr>
          <w:rFonts w:hint="eastAsia" w:ascii="宋体" w:hAnsi="宋体" w:cs="宋体"/>
          <w:color w:val="000000"/>
          <w:kern w:val="0"/>
          <w:sz w:val="22"/>
        </w:rPr>
        <w:t>部门：</w:t>
      </w:r>
      <w:r>
        <w:rPr>
          <w:rFonts w:hint="eastAsia" w:ascii="宋体" w:hAnsi="宋体" w:cs="宋体"/>
          <w:color w:val="000000"/>
          <w:kern w:val="0"/>
          <w:sz w:val="20"/>
          <w:szCs w:val="20"/>
        </w:rPr>
        <w:t>罗山县人大办公室</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6"/>
        <w:tblW w:w="13223" w:type="dxa"/>
        <w:jc w:val="center"/>
        <w:tblInd w:w="93" w:type="dxa"/>
        <w:tblLayout w:type="fixed"/>
        <w:tblCellMar>
          <w:top w:w="0" w:type="dxa"/>
          <w:left w:w="108" w:type="dxa"/>
          <w:bottom w:w="0" w:type="dxa"/>
          <w:right w:w="108" w:type="dxa"/>
        </w:tblCellMar>
      </w:tblPr>
      <w:tblGrid>
        <w:gridCol w:w="3984"/>
        <w:gridCol w:w="709"/>
        <w:gridCol w:w="876"/>
        <w:gridCol w:w="2409"/>
        <w:gridCol w:w="993"/>
        <w:gridCol w:w="992"/>
        <w:gridCol w:w="1559"/>
        <w:gridCol w:w="1701"/>
      </w:tblGrid>
      <w:tr>
        <w:tblPrEx>
          <w:tblLayout w:type="fixed"/>
          <w:tblCellMar>
            <w:top w:w="0" w:type="dxa"/>
            <w:left w:w="108" w:type="dxa"/>
            <w:bottom w:w="0" w:type="dxa"/>
            <w:right w:w="108" w:type="dxa"/>
          </w:tblCellMar>
        </w:tblPrEx>
        <w:trPr>
          <w:trHeight w:val="402" w:hRule="atLeast"/>
          <w:jc w:val="center"/>
        </w:trPr>
        <w:tc>
          <w:tcPr>
            <w:tcW w:w="5569" w:type="dxa"/>
            <w:gridSpan w:val="3"/>
            <w:tcBorders>
              <w:top w:val="single" w:color="auto" w:sz="8" w:space="0"/>
              <w:left w:val="single" w:color="auto" w:sz="8" w:space="0"/>
              <w:bottom w:val="single" w:color="auto" w:sz="4" w:space="0"/>
              <w:right w:val="single" w:color="auto" w:sz="4" w:space="0"/>
            </w:tcBorders>
            <w:shd w:val="clear" w:color="000000" w:fill="FFFFFF"/>
            <w:vAlign w:val="center"/>
          </w:tcPr>
          <w:p>
            <w:pPr>
              <w:widowControl/>
              <w:ind w:firstLine="640"/>
              <w:jc w:val="center"/>
              <w:rPr>
                <w:rFonts w:ascii="宋体" w:cs="宋体"/>
                <w:kern w:val="0"/>
                <w:sz w:val="24"/>
              </w:rPr>
            </w:pPr>
            <w:r>
              <w:rPr>
                <w:rFonts w:hint="eastAsia" w:ascii="宋体" w:hAnsi="宋体" w:cs="宋体"/>
                <w:kern w:val="0"/>
                <w:sz w:val="24"/>
              </w:rPr>
              <w:t>收入</w:t>
            </w:r>
          </w:p>
        </w:tc>
        <w:tc>
          <w:tcPr>
            <w:tcW w:w="7654" w:type="dxa"/>
            <w:gridSpan w:val="5"/>
            <w:tcBorders>
              <w:top w:val="single" w:color="auto" w:sz="8" w:space="0"/>
              <w:left w:val="nil"/>
              <w:bottom w:val="single" w:color="auto" w:sz="4" w:space="0"/>
              <w:right w:val="single" w:color="000000"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630"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行次</w:t>
            </w:r>
          </w:p>
        </w:tc>
        <w:tc>
          <w:tcPr>
            <w:tcW w:w="87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金额</w:t>
            </w:r>
          </w:p>
        </w:tc>
        <w:tc>
          <w:tcPr>
            <w:tcW w:w="24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行次</w:t>
            </w:r>
          </w:p>
        </w:tc>
        <w:tc>
          <w:tcPr>
            <w:tcW w:w="992"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一般公共预算财政拨款</w:t>
            </w:r>
          </w:p>
        </w:tc>
        <w:tc>
          <w:tcPr>
            <w:tcW w:w="1701" w:type="dxa"/>
            <w:tcBorders>
              <w:top w:val="nil"/>
              <w:left w:val="nil"/>
              <w:bottom w:val="single" w:color="auto"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政府性基金预算财政拨款</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　</w:t>
            </w:r>
          </w:p>
        </w:tc>
        <w:tc>
          <w:tcPr>
            <w:tcW w:w="8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24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701"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一、一般公共预算财政拨款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ascii="宋体" w:hAnsi="宋体" w:cs="宋体"/>
                <w:kern w:val="0"/>
                <w:sz w:val="22"/>
              </w:rPr>
              <w:t>454.61</w:t>
            </w: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一、一般公共服务支出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15</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ascii="宋体" w:hAnsi="宋体" w:cs="宋体"/>
                <w:kern w:val="0"/>
                <w:sz w:val="22"/>
              </w:rPr>
              <w:t>454.61</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二、政府性基金预算财政拨款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二、外交支出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16</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3</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三、国防支出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17</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4</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四、公共安全支出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18</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5</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五、教育支出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19</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6</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六、科学技术支出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20</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7</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21</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8</w:t>
            </w:r>
          </w:p>
        </w:tc>
        <w:tc>
          <w:tcPr>
            <w:tcW w:w="876" w:type="dxa"/>
            <w:tcBorders>
              <w:top w:val="nil"/>
              <w:left w:val="nil"/>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left"/>
              <w:rPr>
                <w:rFonts w:ascii="宋体" w:cs="宋体"/>
                <w:kern w:val="0"/>
                <w:sz w:val="22"/>
              </w:rPr>
            </w:pPr>
            <w:r>
              <w:rPr>
                <w:rFonts w:hint="eastAsia" w:ascii="宋体" w:hAnsi="宋体" w:cs="宋体"/>
                <w:kern w:val="0"/>
                <w:sz w:val="22"/>
              </w:rPr>
              <w:t>十二、农林水支出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22</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p>
        </w:tc>
        <w:tc>
          <w:tcPr>
            <w:tcW w:w="1701" w:type="dxa"/>
            <w:tcBorders>
              <w:top w:val="nil"/>
              <w:left w:val="nil"/>
              <w:bottom w:val="single" w:color="auto" w:sz="4" w:space="0"/>
              <w:right w:val="single" w:color="auto" w:sz="8" w:space="0"/>
            </w:tcBorders>
            <w:vAlign w:val="center"/>
          </w:tcPr>
          <w:p>
            <w:pPr>
              <w:widowControl/>
              <w:jc w:val="center"/>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b/>
                <w:bCs/>
                <w:kern w:val="0"/>
                <w:sz w:val="22"/>
              </w:rPr>
            </w:pPr>
            <w:r>
              <w:rPr>
                <w:rFonts w:hint="eastAsia" w:ascii="宋体" w:hAnsi="宋体" w:cs="宋体"/>
                <w:b/>
                <w:bCs/>
                <w:kern w:val="0"/>
                <w:sz w:val="22"/>
              </w:rPr>
              <w:t>本年收入合计</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9</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ascii="宋体" w:hAnsi="宋体" w:cs="宋体"/>
                <w:kern w:val="0"/>
                <w:sz w:val="22"/>
              </w:rPr>
              <w:t>454.61</w:t>
            </w: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center"/>
              <w:rPr>
                <w:rFonts w:ascii="宋体" w:cs="宋体"/>
                <w:b/>
                <w:bCs/>
                <w:kern w:val="0"/>
                <w:sz w:val="22"/>
              </w:rPr>
            </w:pPr>
            <w:r>
              <w:rPr>
                <w:rFonts w:hint="eastAsia" w:ascii="宋体" w:hAnsi="宋体" w:cs="宋体"/>
                <w:b/>
                <w:bCs/>
                <w:kern w:val="0"/>
                <w:sz w:val="22"/>
              </w:rPr>
              <w:t>本年支出合计</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23</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454.61</w:t>
            </w:r>
          </w:p>
        </w:tc>
        <w:tc>
          <w:tcPr>
            <w:tcW w:w="1701" w:type="dxa"/>
            <w:tcBorders>
              <w:top w:val="nil"/>
              <w:left w:val="nil"/>
              <w:bottom w:val="single" w:color="auto" w:sz="4" w:space="0"/>
              <w:right w:val="single" w:color="auto" w:sz="8" w:space="0"/>
            </w:tcBorders>
            <w:vAlign w:val="center"/>
          </w:tcPr>
          <w:p>
            <w:pPr>
              <w:widowControl/>
              <w:jc w:val="left"/>
              <w:rPr>
                <w:rFonts w:ascii="宋体" w:cs="宋体"/>
                <w:b/>
                <w:bCs/>
                <w:kern w:val="0"/>
                <w:sz w:val="22"/>
              </w:rPr>
            </w:pPr>
            <w:r>
              <w:rPr>
                <w:rFonts w:hint="eastAsia" w:ascii="宋体" w:hAnsi="宋体" w:cs="宋体"/>
                <w:b/>
                <w:bCs/>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年初财政拨款结转和结余</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10</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ascii="宋体" w:hAnsi="宋体" w:cs="宋体"/>
                <w:kern w:val="0"/>
                <w:sz w:val="22"/>
              </w:rPr>
              <w:t>0.5</w:t>
            </w: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center"/>
              <w:rPr>
                <w:rFonts w:ascii="宋体" w:cs="宋体"/>
                <w:kern w:val="0"/>
                <w:sz w:val="22"/>
              </w:rPr>
            </w:pPr>
            <w:r>
              <w:rPr>
                <w:rFonts w:hint="eastAsia" w:ascii="宋体" w:hAnsi="宋体" w:cs="宋体"/>
                <w:kern w:val="0"/>
                <w:sz w:val="22"/>
              </w:rPr>
              <w:t>年末结转和结余</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24</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0.5</w:t>
            </w: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kern w:val="0"/>
                <w:sz w:val="22"/>
              </w:rPr>
            </w:pPr>
            <w:r>
              <w:rPr>
                <w:rFonts w:ascii="宋体" w:hAnsi="宋体" w:cs="宋体"/>
                <w:kern w:val="0"/>
                <w:sz w:val="22"/>
              </w:rPr>
              <w:t xml:space="preserve">      </w:t>
            </w:r>
            <w:r>
              <w:rPr>
                <w:rFonts w:hint="eastAsia" w:ascii="宋体" w:hAnsi="宋体" w:cs="宋体"/>
                <w:kern w:val="0"/>
                <w:sz w:val="22"/>
              </w:rPr>
              <w:t>一般公共预算财政拨款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11</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25</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nil"/>
              <w:right w:val="nil"/>
            </w:tcBorders>
            <w:vAlign w:val="center"/>
          </w:tcPr>
          <w:p>
            <w:pPr>
              <w:widowControl/>
              <w:jc w:val="center"/>
              <w:rPr>
                <w:rFonts w:ascii="宋体" w:cs="宋体"/>
                <w:kern w:val="0"/>
                <w:sz w:val="22"/>
              </w:rPr>
            </w:pPr>
            <w:r>
              <w:rPr>
                <w:rFonts w:ascii="宋体" w:hAnsi="宋体" w:cs="宋体"/>
                <w:kern w:val="0"/>
                <w:sz w:val="22"/>
              </w:rPr>
              <w:t xml:space="preserve">        </w:t>
            </w:r>
            <w:r>
              <w:rPr>
                <w:rFonts w:hint="eastAsia" w:ascii="宋体" w:hAnsi="宋体" w:cs="宋体"/>
                <w:kern w:val="0"/>
                <w:sz w:val="22"/>
              </w:rPr>
              <w:t>政府性基金预算财政拨款</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12</w:t>
            </w:r>
          </w:p>
        </w:tc>
        <w:tc>
          <w:tcPr>
            <w:tcW w:w="876" w:type="dxa"/>
            <w:tcBorders>
              <w:top w:val="nil"/>
              <w:left w:val="nil"/>
              <w:bottom w:val="nil"/>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nil"/>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26</w:t>
            </w:r>
          </w:p>
        </w:tc>
        <w:tc>
          <w:tcPr>
            <w:tcW w:w="992" w:type="dxa"/>
            <w:tcBorders>
              <w:top w:val="nil"/>
              <w:left w:val="nil"/>
              <w:bottom w:val="nil"/>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nil"/>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single" w:color="auto" w:sz="4" w:space="0"/>
              <w:left w:val="single" w:color="auto" w:sz="8" w:space="0"/>
              <w:bottom w:val="nil"/>
              <w:right w:val="nil"/>
            </w:tcBorders>
            <w:vAlign w:val="center"/>
          </w:tcPr>
          <w:p>
            <w:pPr>
              <w:widowControl/>
              <w:jc w:val="center"/>
              <w:rPr>
                <w:rFonts w:ascii="宋体" w:cs="宋体"/>
                <w:kern w:val="0"/>
                <w:sz w:val="22"/>
              </w:rPr>
            </w:pPr>
            <w:r>
              <w:rPr>
                <w:rFonts w:hint="eastAsia" w:ascii="宋体" w:hAnsi="宋体" w:cs="宋体"/>
                <w:kern w:val="0"/>
                <w:sz w:val="22"/>
              </w:rPr>
              <w:t>　</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13</w:t>
            </w:r>
          </w:p>
        </w:tc>
        <w:tc>
          <w:tcPr>
            <w:tcW w:w="876" w:type="dxa"/>
            <w:tcBorders>
              <w:top w:val="single" w:color="auto" w:sz="4" w:space="0"/>
              <w:left w:val="nil"/>
              <w:bottom w:val="nil"/>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single" w:color="auto" w:sz="4" w:space="0"/>
              <w:left w:val="nil"/>
              <w:bottom w:val="nil"/>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27</w:t>
            </w:r>
          </w:p>
        </w:tc>
        <w:tc>
          <w:tcPr>
            <w:tcW w:w="992" w:type="dxa"/>
            <w:tcBorders>
              <w:top w:val="single" w:color="auto" w:sz="4" w:space="0"/>
              <w:left w:val="nil"/>
              <w:bottom w:val="nil"/>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single" w:color="auto" w:sz="4" w:space="0"/>
              <w:left w:val="nil"/>
              <w:bottom w:val="nil"/>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single" w:color="auto" w:sz="4" w:space="0"/>
              <w:left w:val="single" w:color="auto" w:sz="8" w:space="0"/>
              <w:bottom w:val="single" w:color="auto" w:sz="8" w:space="0"/>
              <w:right w:val="nil"/>
            </w:tcBorders>
            <w:shd w:val="clear" w:color="000000" w:fill="FFFFFF"/>
            <w:vAlign w:val="center"/>
          </w:tcPr>
          <w:p>
            <w:pPr>
              <w:widowControl/>
              <w:jc w:val="center"/>
              <w:rPr>
                <w:rFonts w:ascii="宋体" w:cs="宋体"/>
                <w:b/>
                <w:bCs/>
                <w:kern w:val="0"/>
                <w:sz w:val="22"/>
              </w:rPr>
            </w:pPr>
            <w:r>
              <w:rPr>
                <w:rFonts w:hint="eastAsia" w:ascii="宋体" w:hAnsi="宋体" w:cs="宋体"/>
                <w:b/>
                <w:bCs/>
                <w:kern w:val="0"/>
                <w:sz w:val="22"/>
              </w:rPr>
              <w:t>合计</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14</w:t>
            </w:r>
          </w:p>
        </w:tc>
        <w:tc>
          <w:tcPr>
            <w:tcW w:w="876" w:type="dxa"/>
            <w:tcBorders>
              <w:top w:val="single" w:color="auto" w:sz="4" w:space="0"/>
              <w:left w:val="nil"/>
              <w:bottom w:val="single" w:color="auto" w:sz="8" w:space="0"/>
              <w:right w:val="single" w:color="auto" w:sz="4" w:space="0"/>
            </w:tcBorders>
            <w:vAlign w:val="center"/>
          </w:tcPr>
          <w:p>
            <w:pPr>
              <w:widowControl/>
              <w:jc w:val="right"/>
              <w:rPr>
                <w:rFonts w:ascii="宋体" w:cs="宋体"/>
                <w:kern w:val="0"/>
                <w:sz w:val="22"/>
              </w:rPr>
            </w:pPr>
            <w:r>
              <w:rPr>
                <w:rFonts w:ascii="宋体" w:hAnsi="宋体" w:cs="宋体"/>
                <w:kern w:val="0"/>
                <w:sz w:val="22"/>
              </w:rPr>
              <w:t>455.11</w:t>
            </w:r>
          </w:p>
        </w:tc>
        <w:tc>
          <w:tcPr>
            <w:tcW w:w="2409" w:type="dxa"/>
            <w:tcBorders>
              <w:top w:val="single" w:color="auto" w:sz="4" w:space="0"/>
              <w:left w:val="nil"/>
              <w:bottom w:val="single" w:color="auto" w:sz="8" w:space="0"/>
              <w:right w:val="nil"/>
            </w:tcBorders>
            <w:shd w:val="clear" w:color="000000" w:fill="FFFFFF"/>
            <w:vAlign w:val="center"/>
          </w:tcPr>
          <w:p>
            <w:pPr>
              <w:widowControl/>
              <w:jc w:val="center"/>
              <w:rPr>
                <w:rFonts w:ascii="宋体" w:cs="宋体"/>
                <w:b/>
                <w:bCs/>
                <w:kern w:val="0"/>
                <w:sz w:val="22"/>
              </w:rPr>
            </w:pPr>
            <w:r>
              <w:rPr>
                <w:rFonts w:hint="eastAsia" w:ascii="宋体" w:hAnsi="宋体" w:cs="宋体"/>
                <w:b/>
                <w:bCs/>
                <w:kern w:val="0"/>
                <w:sz w:val="22"/>
              </w:rPr>
              <w:t>合计</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28</w:t>
            </w:r>
          </w:p>
        </w:tc>
        <w:tc>
          <w:tcPr>
            <w:tcW w:w="992" w:type="dxa"/>
            <w:tcBorders>
              <w:top w:val="single" w:color="auto" w:sz="4" w:space="0"/>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8"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455.11</w:t>
            </w:r>
            <w:r>
              <w:rPr>
                <w:rFonts w:hint="eastAsia" w:ascii="宋体" w:hAnsi="宋体" w:cs="宋体"/>
                <w:kern w:val="0"/>
                <w:sz w:val="22"/>
              </w:rPr>
              <w:t>　</w:t>
            </w:r>
          </w:p>
        </w:tc>
        <w:tc>
          <w:tcPr>
            <w:tcW w:w="1701" w:type="dxa"/>
            <w:tcBorders>
              <w:top w:val="single" w:color="auto" w:sz="4" w:space="0"/>
              <w:left w:val="nil"/>
              <w:bottom w:val="single" w:color="auto" w:sz="8" w:space="0"/>
              <w:right w:val="single" w:color="auto" w:sz="8" w:space="0"/>
            </w:tcBorders>
            <w:vAlign w:val="center"/>
          </w:tcPr>
          <w:p>
            <w:pPr>
              <w:widowControl/>
              <w:jc w:val="left"/>
              <w:rPr>
                <w:rFonts w:ascii="宋体" w:cs="宋体"/>
                <w:b/>
                <w:bCs/>
                <w:kern w:val="0"/>
                <w:sz w:val="22"/>
              </w:rPr>
            </w:pPr>
            <w:r>
              <w:rPr>
                <w:rFonts w:hint="eastAsia" w:ascii="宋体" w:hAnsi="宋体" w:cs="宋体"/>
                <w:b/>
                <w:bCs/>
                <w:kern w:val="0"/>
                <w:sz w:val="22"/>
              </w:rPr>
              <w:t>　</w:t>
            </w:r>
          </w:p>
        </w:tc>
      </w:tr>
    </w:tbl>
    <w:p>
      <w:pPr>
        <w:adjustRightInd w:val="0"/>
        <w:snapToGrid w:val="0"/>
        <w:ind w:firstLine="700" w:firstLineChars="350"/>
        <w:rPr>
          <w:sz w:val="20"/>
          <w:szCs w:val="20"/>
        </w:rPr>
      </w:pPr>
      <w:r>
        <w:rPr>
          <w:rFonts w:hint="eastAsia"/>
          <w:sz w:val="20"/>
          <w:szCs w:val="20"/>
        </w:rPr>
        <w:t>注：本表反映部门本年度一般公共预算财政拨款和政府性基金预算财政拨款的总收支和年末结转结余情况。</w:t>
      </w:r>
    </w:p>
    <w:p>
      <w:pPr>
        <w:widowControl/>
        <w:adjustRightInd w:val="0"/>
        <w:snapToGrid w:val="0"/>
        <w:ind w:right="100"/>
        <w:jc w:val="center"/>
        <w:rPr>
          <w:rFonts w:ascii="方正小标宋简体" w:eastAsia="方正小标宋简体"/>
          <w:sz w:val="36"/>
          <w:szCs w:val="36"/>
        </w:rPr>
      </w:pPr>
    </w:p>
    <w:p>
      <w:pPr>
        <w:widowControl/>
        <w:adjustRightInd w:val="0"/>
        <w:snapToGrid w:val="0"/>
        <w:ind w:right="100"/>
        <w:jc w:val="center"/>
        <w:rPr>
          <w:rFonts w:ascii="方正小标宋简体" w:eastAsia="方正小标宋简体"/>
          <w:sz w:val="36"/>
          <w:szCs w:val="36"/>
        </w:rPr>
      </w:pPr>
      <w:r>
        <w:rPr>
          <w:rFonts w:hint="eastAsia" w:ascii="方正小标宋简体" w:eastAsia="方正小标宋简体"/>
          <w:sz w:val="36"/>
          <w:szCs w:val="36"/>
        </w:rPr>
        <w:t>一般公共预算财政拨款支出决算表</w:t>
      </w:r>
    </w:p>
    <w:p>
      <w:pPr>
        <w:widowControl/>
        <w:adjustRightInd w:val="0"/>
        <w:snapToGrid w:val="0"/>
        <w:ind w:right="72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05</w:t>
      </w:r>
      <w:r>
        <w:rPr>
          <w:rFonts w:hint="eastAsia" w:ascii="宋体" w:hAnsi="宋体" w:cs="宋体"/>
          <w:color w:val="000000"/>
          <w:kern w:val="0"/>
          <w:sz w:val="20"/>
          <w:szCs w:val="20"/>
        </w:rPr>
        <w:t>表</w:t>
      </w:r>
    </w:p>
    <w:p>
      <w:pPr>
        <w:widowControl/>
        <w:adjustRightInd w:val="0"/>
        <w:snapToGrid w:val="0"/>
        <w:ind w:firstLine="700" w:firstLineChars="350"/>
        <w:jc w:val="left"/>
        <w:rPr>
          <w:rFonts w:ascii="宋体" w:cs="宋体"/>
          <w:color w:val="000000"/>
          <w:kern w:val="0"/>
          <w:sz w:val="20"/>
          <w:szCs w:val="20"/>
        </w:rPr>
      </w:pPr>
      <w:r>
        <w:rPr>
          <w:rFonts w:hint="eastAsia" w:ascii="宋体" w:hAnsi="宋体" w:cs="宋体"/>
          <w:color w:val="000000"/>
          <w:kern w:val="0"/>
          <w:sz w:val="20"/>
          <w:szCs w:val="20"/>
        </w:rPr>
        <w:t>部门：罗山县人大办公室</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6"/>
        <w:tblW w:w="12781" w:type="dxa"/>
        <w:jc w:val="center"/>
        <w:tblInd w:w="93" w:type="dxa"/>
        <w:tblLayout w:type="fixed"/>
        <w:tblCellMar>
          <w:top w:w="0" w:type="dxa"/>
          <w:left w:w="108" w:type="dxa"/>
          <w:bottom w:w="0" w:type="dxa"/>
          <w:right w:w="108" w:type="dxa"/>
        </w:tblCellMar>
      </w:tblPr>
      <w:tblGrid>
        <w:gridCol w:w="1120"/>
        <w:gridCol w:w="2948"/>
        <w:gridCol w:w="2212"/>
        <w:gridCol w:w="3599"/>
        <w:gridCol w:w="2902"/>
      </w:tblGrid>
      <w:tr>
        <w:tblPrEx>
          <w:tblLayout w:type="fixed"/>
          <w:tblCellMar>
            <w:top w:w="0" w:type="dxa"/>
            <w:left w:w="108" w:type="dxa"/>
            <w:bottom w:w="0" w:type="dxa"/>
            <w:right w:w="108" w:type="dxa"/>
          </w:tblCellMar>
        </w:tblPrEx>
        <w:trPr>
          <w:trHeight w:val="405" w:hRule="atLeast"/>
          <w:jc w:val="center"/>
        </w:trPr>
        <w:tc>
          <w:tcPr>
            <w:tcW w:w="4068" w:type="dxa"/>
            <w:gridSpan w:val="2"/>
            <w:tcBorders>
              <w:top w:val="single" w:color="auto" w:sz="8" w:space="0"/>
              <w:left w:val="single" w:color="auto" w:sz="8" w:space="0"/>
              <w:bottom w:val="single" w:color="auto" w:sz="4" w:space="0"/>
              <w:right w:val="single" w:color="auto" w:sz="4" w:space="0"/>
            </w:tcBorders>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hint="eastAsia" w:ascii="宋体" w:hAnsi="宋体" w:cs="宋体"/>
                <w:kern w:val="0"/>
                <w:sz w:val="24"/>
              </w:rPr>
              <w:t>目</w:t>
            </w:r>
          </w:p>
        </w:tc>
        <w:tc>
          <w:tcPr>
            <w:tcW w:w="2212" w:type="dxa"/>
            <w:vMerge w:val="restart"/>
            <w:tcBorders>
              <w:top w:val="single" w:color="auto" w:sz="8" w:space="0"/>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本年支出合计</w:t>
            </w:r>
          </w:p>
        </w:tc>
        <w:tc>
          <w:tcPr>
            <w:tcW w:w="3599"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基本支出</w:t>
            </w:r>
            <w:r>
              <w:rPr>
                <w:rFonts w:ascii="宋体" w:hAnsi="宋体" w:cs="宋体"/>
                <w:kern w:val="0"/>
                <w:sz w:val="24"/>
              </w:rPr>
              <w:t xml:space="preserve">  </w:t>
            </w:r>
          </w:p>
        </w:tc>
        <w:tc>
          <w:tcPr>
            <w:tcW w:w="2902"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项目支出</w:t>
            </w:r>
          </w:p>
        </w:tc>
      </w:tr>
      <w:tr>
        <w:tblPrEx>
          <w:tblLayout w:type="fixed"/>
          <w:tblCellMar>
            <w:top w:w="0" w:type="dxa"/>
            <w:left w:w="108" w:type="dxa"/>
            <w:bottom w:w="0" w:type="dxa"/>
            <w:right w:w="108" w:type="dxa"/>
          </w:tblCellMar>
        </w:tblPrEx>
        <w:trPr>
          <w:trHeight w:val="495" w:hRule="atLeast"/>
          <w:jc w:val="center"/>
        </w:trPr>
        <w:tc>
          <w:tcPr>
            <w:tcW w:w="1120"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948"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科目名称</w:t>
            </w: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12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9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12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9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068"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栏次</w:t>
            </w:r>
          </w:p>
        </w:tc>
        <w:tc>
          <w:tcPr>
            <w:tcW w:w="221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1</w:t>
            </w:r>
          </w:p>
        </w:tc>
        <w:tc>
          <w:tcPr>
            <w:tcW w:w="3599"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2</w:t>
            </w:r>
          </w:p>
        </w:tc>
        <w:tc>
          <w:tcPr>
            <w:tcW w:w="2902"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ascii="宋体" w:hAnsi="宋体" w:cs="宋体"/>
                <w:kern w:val="0"/>
                <w:sz w:val="24"/>
              </w:rPr>
              <w:t>3</w:t>
            </w:r>
          </w:p>
        </w:tc>
      </w:tr>
      <w:tr>
        <w:tblPrEx>
          <w:tblLayout w:type="fixed"/>
          <w:tblCellMar>
            <w:top w:w="0" w:type="dxa"/>
            <w:left w:w="108" w:type="dxa"/>
            <w:bottom w:w="0" w:type="dxa"/>
            <w:right w:w="108" w:type="dxa"/>
          </w:tblCellMar>
        </w:tblPrEx>
        <w:trPr>
          <w:trHeight w:val="450" w:hRule="atLeast"/>
          <w:jc w:val="center"/>
        </w:trPr>
        <w:tc>
          <w:tcPr>
            <w:tcW w:w="4068"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合计</w:t>
            </w:r>
          </w:p>
        </w:tc>
        <w:tc>
          <w:tcPr>
            <w:tcW w:w="2212"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ascii="宋体" w:cs="宋体"/>
                <w:kern w:val="0"/>
                <w:sz w:val="24"/>
              </w:rPr>
              <w:t>454.61</w:t>
            </w:r>
          </w:p>
        </w:tc>
        <w:tc>
          <w:tcPr>
            <w:tcW w:w="3599" w:type="dxa"/>
            <w:tcBorders>
              <w:top w:val="nil"/>
              <w:left w:val="nil"/>
              <w:bottom w:val="single" w:color="auto" w:sz="4" w:space="0"/>
              <w:right w:val="single" w:color="auto" w:sz="4" w:space="0"/>
            </w:tcBorders>
            <w:vAlign w:val="center"/>
          </w:tcPr>
          <w:p>
            <w:pPr>
              <w:widowControl/>
              <w:ind w:firstLine="1200" w:firstLineChars="500"/>
              <w:rPr>
                <w:rFonts w:ascii="宋体" w:cs="宋体"/>
                <w:kern w:val="0"/>
                <w:sz w:val="24"/>
              </w:rPr>
            </w:pPr>
            <w:r>
              <w:rPr>
                <w:rFonts w:ascii="宋体" w:cs="宋体"/>
                <w:kern w:val="0"/>
                <w:sz w:val="24"/>
              </w:rPr>
              <w:t>454.61</w:t>
            </w:r>
          </w:p>
        </w:tc>
        <w:tc>
          <w:tcPr>
            <w:tcW w:w="2902" w:type="dxa"/>
            <w:tcBorders>
              <w:top w:val="nil"/>
              <w:left w:val="nil"/>
              <w:bottom w:val="single" w:color="auto"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r>
              <w:rPr>
                <w:rFonts w:ascii="宋体" w:hAnsi="宋体" w:cs="宋体"/>
                <w:kern w:val="0"/>
                <w:sz w:val="24"/>
              </w:rPr>
              <w:t>2019999</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4"/>
              </w:rPr>
              <w:t>其他一般公共服务支出</w:t>
            </w:r>
          </w:p>
        </w:tc>
        <w:tc>
          <w:tcPr>
            <w:tcW w:w="221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 xml:space="preserve">    454.61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r>
              <w:rPr>
                <w:rFonts w:ascii="宋体" w:hAnsi="宋体" w:cs="宋体"/>
                <w:kern w:val="0"/>
                <w:sz w:val="24"/>
              </w:rPr>
              <w:t xml:space="preserve">     454.61</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p>
        </w:tc>
        <w:tc>
          <w:tcPr>
            <w:tcW w:w="3599" w:type="dxa"/>
            <w:tcBorders>
              <w:top w:val="nil"/>
              <w:left w:val="nil"/>
              <w:bottom w:val="single" w:color="auto" w:sz="4" w:space="0"/>
              <w:right w:val="single" w:color="auto" w:sz="4" w:space="0"/>
            </w:tcBorders>
            <w:vAlign w:val="center"/>
          </w:tcPr>
          <w:p>
            <w:pPr>
              <w:widowControl/>
              <w:ind w:firstLine="960" w:firstLineChars="400"/>
              <w:jc w:val="left"/>
              <w:rPr>
                <w:rFonts w:ascii="宋体" w:cs="宋体"/>
                <w:kern w:val="0"/>
                <w:sz w:val="24"/>
              </w:rPr>
            </w:pP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8"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8"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bl>
    <w:p>
      <w:pPr>
        <w:adjustRightInd w:val="0"/>
        <w:snapToGrid w:val="0"/>
        <w:ind w:firstLine="700" w:firstLineChars="350"/>
        <w:rPr>
          <w:sz w:val="20"/>
          <w:szCs w:val="20"/>
        </w:rPr>
      </w:pPr>
      <w:r>
        <w:rPr>
          <w:rFonts w:hint="eastAsia"/>
          <w:sz w:val="20"/>
          <w:szCs w:val="20"/>
        </w:rPr>
        <w:t>注：本表反映部门本年度一般公共预算财政拨款实际支出情况。</w:t>
      </w:r>
    </w:p>
    <w:p>
      <w:pPr>
        <w:spacing w:line="580" w:lineRule="exact"/>
        <w:ind w:firstLine="640"/>
        <w:rPr>
          <w:szCs w:val="32"/>
        </w:rPr>
      </w:pPr>
    </w:p>
    <w:p>
      <w:pPr>
        <w:spacing w:line="580" w:lineRule="exact"/>
        <w:ind w:firstLine="640"/>
        <w:rPr>
          <w:szCs w:val="32"/>
        </w:rPr>
      </w:pPr>
    </w:p>
    <w:tbl>
      <w:tblPr>
        <w:tblStyle w:val="6"/>
        <w:tblW w:w="12899" w:type="dxa"/>
        <w:tblInd w:w="866" w:type="dxa"/>
        <w:tblLayout w:type="fixed"/>
        <w:tblCellMar>
          <w:top w:w="15" w:type="dxa"/>
          <w:left w:w="15" w:type="dxa"/>
          <w:bottom w:w="15" w:type="dxa"/>
          <w:right w:w="15" w:type="dxa"/>
        </w:tblCellMar>
      </w:tblPr>
      <w:tblGrid>
        <w:gridCol w:w="1063"/>
        <w:gridCol w:w="3094"/>
        <w:gridCol w:w="1779"/>
        <w:gridCol w:w="1830"/>
        <w:gridCol w:w="3197"/>
        <w:gridCol w:w="1936"/>
      </w:tblGrid>
      <w:tr>
        <w:tblPrEx>
          <w:tblLayout w:type="fixed"/>
          <w:tblCellMar>
            <w:top w:w="15" w:type="dxa"/>
            <w:left w:w="15" w:type="dxa"/>
            <w:bottom w:w="15" w:type="dxa"/>
            <w:right w:w="15" w:type="dxa"/>
          </w:tblCellMar>
        </w:tblPrEx>
        <w:trPr>
          <w:trHeight w:val="375" w:hRule="atLeast"/>
        </w:trPr>
        <w:tc>
          <w:tcPr>
            <w:tcW w:w="12899" w:type="dxa"/>
            <w:gridSpan w:val="6"/>
            <w:vAlign w:val="center"/>
          </w:tcPr>
          <w:p>
            <w:pPr>
              <w:widowControl/>
              <w:jc w:val="center"/>
              <w:textAlignment w:val="bottom"/>
              <w:rPr>
                <w:rFonts w:ascii="方正小标宋简体" w:eastAsia="方正小标宋简体"/>
                <w:sz w:val="36"/>
                <w:szCs w:val="36"/>
              </w:rPr>
            </w:pPr>
            <w:r>
              <w:rPr>
                <w:rFonts w:hint="eastAsia" w:ascii="方正小标宋简体" w:eastAsia="方正小标宋简体"/>
                <w:sz w:val="36"/>
                <w:szCs w:val="36"/>
              </w:rPr>
              <w:t>一般公共预算财政拨款基本支出决算表</w:t>
            </w:r>
          </w:p>
          <w:p>
            <w:pPr>
              <w:widowControl/>
              <w:adjustRightInd w:val="0"/>
              <w:snapToGrid w:val="0"/>
              <w:ind w:right="12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06</w:t>
            </w:r>
            <w:r>
              <w:rPr>
                <w:rFonts w:hint="eastAsia" w:ascii="宋体" w:hAnsi="宋体" w:cs="宋体"/>
                <w:color w:val="000000"/>
                <w:kern w:val="0"/>
                <w:sz w:val="20"/>
                <w:szCs w:val="20"/>
              </w:rPr>
              <w:t>表</w:t>
            </w:r>
          </w:p>
          <w:p>
            <w:pPr>
              <w:widowControl/>
              <w:adjustRightInd w:val="0"/>
              <w:snapToGrid w:val="0"/>
              <w:jc w:val="left"/>
              <w:rPr>
                <w:rFonts w:ascii="宋体" w:cs="宋体"/>
                <w:color w:val="000000"/>
                <w:kern w:val="0"/>
                <w:sz w:val="20"/>
                <w:szCs w:val="20"/>
              </w:rPr>
            </w:pPr>
            <w:r>
              <w:rPr>
                <w:rFonts w:hint="eastAsia" w:ascii="宋体" w:hAnsi="宋体" w:cs="宋体"/>
                <w:color w:val="000000"/>
                <w:kern w:val="0"/>
                <w:sz w:val="20"/>
                <w:szCs w:val="20"/>
              </w:rPr>
              <w:t>部门：罗山县人大办公室</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c>
      </w:tr>
      <w:tr>
        <w:tblPrEx>
          <w:tblLayout w:type="fixed"/>
          <w:tblCellMar>
            <w:top w:w="15" w:type="dxa"/>
            <w:left w:w="15" w:type="dxa"/>
            <w:bottom w:w="15" w:type="dxa"/>
            <w:right w:w="15" w:type="dxa"/>
          </w:tblCellMar>
        </w:tblPrEx>
        <w:trPr>
          <w:trHeight w:val="300" w:hRule="atLeast"/>
        </w:trPr>
        <w:tc>
          <w:tcPr>
            <w:tcW w:w="5936"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sz w:val="28"/>
                <w:szCs w:val="16"/>
              </w:rPr>
            </w:pPr>
            <w:r>
              <w:rPr>
                <w:rFonts w:hint="eastAsia" w:ascii="宋体" w:hAnsi="宋体" w:cs="宋体"/>
                <w:color w:val="000000"/>
                <w:kern w:val="0"/>
                <w:sz w:val="28"/>
                <w:szCs w:val="16"/>
              </w:rPr>
              <w:t>人员经费</w:t>
            </w:r>
          </w:p>
        </w:tc>
        <w:tc>
          <w:tcPr>
            <w:tcW w:w="6963" w:type="dxa"/>
            <w:gridSpan w:val="3"/>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8"/>
                <w:szCs w:val="16"/>
              </w:rPr>
            </w:pPr>
            <w:r>
              <w:rPr>
                <w:rFonts w:hint="eastAsia" w:ascii="宋体" w:hAnsi="宋体" w:cs="宋体"/>
                <w:color w:val="000000"/>
                <w:kern w:val="0"/>
                <w:sz w:val="28"/>
                <w:szCs w:val="16"/>
              </w:rPr>
              <w:t>公用经费</w:t>
            </w:r>
          </w:p>
        </w:tc>
      </w:tr>
      <w:tr>
        <w:tblPrEx>
          <w:tblLayout w:type="fixed"/>
          <w:tblCellMar>
            <w:top w:w="15" w:type="dxa"/>
            <w:left w:w="15" w:type="dxa"/>
            <w:bottom w:w="15" w:type="dxa"/>
            <w:right w:w="15" w:type="dxa"/>
          </w:tblCellMar>
        </w:tblPrEx>
        <w:trPr>
          <w:trHeight w:val="6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kern w:val="0"/>
                <w:szCs w:val="16"/>
              </w:rPr>
            </w:pPr>
            <w:r>
              <w:rPr>
                <w:rFonts w:hint="eastAsia" w:ascii="宋体" w:hAnsi="宋体" w:cs="宋体"/>
                <w:color w:val="000000"/>
                <w:kern w:val="0"/>
                <w:szCs w:val="16"/>
              </w:rPr>
              <w:t>经济分类</w:t>
            </w:r>
          </w:p>
          <w:p>
            <w:pPr>
              <w:widowControl/>
              <w:jc w:val="center"/>
              <w:textAlignment w:val="center"/>
              <w:rPr>
                <w:rFonts w:ascii="宋体" w:cs="宋体"/>
                <w:color w:val="000000"/>
                <w:szCs w:val="16"/>
              </w:rPr>
            </w:pPr>
            <w:r>
              <w:rPr>
                <w:rFonts w:hint="eastAsia" w:ascii="宋体" w:hAnsi="宋体" w:cs="宋体"/>
                <w:color w:val="000000"/>
                <w:kern w:val="0"/>
                <w:szCs w:val="16"/>
              </w:rPr>
              <w:t>科目编码</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科目名称</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金额</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Cs w:val="16"/>
              </w:rPr>
            </w:pPr>
            <w:r>
              <w:rPr>
                <w:rFonts w:hint="eastAsia" w:ascii="宋体" w:hAnsi="宋体" w:cs="宋体"/>
                <w:color w:val="000000"/>
                <w:kern w:val="0"/>
                <w:szCs w:val="16"/>
              </w:rPr>
              <w:t>经济分类</w:t>
            </w:r>
          </w:p>
          <w:p>
            <w:pPr>
              <w:widowControl/>
              <w:jc w:val="center"/>
              <w:textAlignment w:val="center"/>
              <w:rPr>
                <w:rFonts w:ascii="宋体" w:cs="宋体"/>
                <w:color w:val="000000"/>
                <w:szCs w:val="16"/>
              </w:rPr>
            </w:pPr>
            <w:r>
              <w:rPr>
                <w:rFonts w:hint="eastAsia" w:ascii="宋体" w:hAnsi="宋体" w:cs="宋体"/>
                <w:color w:val="000000"/>
                <w:kern w:val="0"/>
                <w:szCs w:val="16"/>
              </w:rPr>
              <w:t>科目编码</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科目名称</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金额</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工资福利支出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0"/>
                <w:szCs w:val="16"/>
              </w:rPr>
            </w:pPr>
            <w:r>
              <w:rPr>
                <w:rFonts w:ascii="宋体" w:hAnsi="宋体" w:cs="宋体"/>
                <w:b/>
                <w:color w:val="000000"/>
                <w:sz w:val="20"/>
                <w:szCs w:val="16"/>
              </w:rPr>
              <w:t>174.79</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商品和服务支出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20"/>
                <w:szCs w:val="16"/>
              </w:rPr>
            </w:pPr>
            <w:r>
              <w:rPr>
                <w:rFonts w:ascii="宋体" w:hAnsi="宋体" w:cs="宋体"/>
                <w:b/>
                <w:color w:val="000000"/>
                <w:kern w:val="0"/>
                <w:sz w:val="20"/>
                <w:szCs w:val="16"/>
              </w:rPr>
              <w:t>177.32</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基本工资</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76.66</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办公费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29.12</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津贴补贴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74.06</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印刷费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奖金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9.14</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咨询费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其他社会保障缴费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手续费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30106</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伙食补助费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水费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30107</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绩效工资</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电费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30108</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机关事业单位基本养老保险缴费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5.57</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邮电费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职业年金缴费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取暖费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30199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其他工资福利支出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物业管理费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对个人和家庭的补助</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0"/>
                <w:szCs w:val="16"/>
              </w:rPr>
            </w:pPr>
            <w:r>
              <w:rPr>
                <w:rFonts w:ascii="宋体" w:hAnsi="宋体" w:cs="宋体"/>
                <w:b/>
                <w:color w:val="000000"/>
                <w:kern w:val="0"/>
                <w:sz w:val="20"/>
                <w:szCs w:val="16"/>
              </w:rPr>
              <w:t>102.50</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差旅费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23.55</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离休费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7</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因公出国</w:t>
            </w:r>
            <w:r>
              <w:rPr>
                <w:rFonts w:ascii="宋体" w:hAnsi="宋体" w:cs="宋体"/>
                <w:color w:val="000000"/>
                <w:kern w:val="0"/>
                <w:sz w:val="20"/>
                <w:szCs w:val="16"/>
              </w:rPr>
              <w:t>(</w:t>
            </w:r>
            <w:r>
              <w:rPr>
                <w:rFonts w:hint="eastAsia" w:ascii="宋体" w:hAnsi="宋体" w:cs="宋体"/>
                <w:color w:val="000000"/>
                <w:kern w:val="0"/>
                <w:sz w:val="20"/>
                <w:szCs w:val="16"/>
              </w:rPr>
              <w:t>境</w:t>
            </w:r>
            <w:r>
              <w:rPr>
                <w:rFonts w:ascii="宋体" w:hAnsi="宋体" w:cs="宋体"/>
                <w:color w:val="000000"/>
                <w:kern w:val="0"/>
                <w:sz w:val="20"/>
                <w:szCs w:val="16"/>
              </w:rPr>
              <w:t>)</w:t>
            </w:r>
            <w:r>
              <w:rPr>
                <w:rFonts w:hint="eastAsia" w:ascii="宋体" w:hAnsi="宋体" w:cs="宋体"/>
                <w:color w:val="000000"/>
                <w:kern w:val="0"/>
                <w:sz w:val="20"/>
                <w:szCs w:val="16"/>
              </w:rPr>
              <w:t>费用</w:t>
            </w:r>
            <w:r>
              <w:rPr>
                <w:rFonts w:ascii="宋体" w:hAnsi="宋体" w:cs="宋体"/>
                <w:color w:val="000000"/>
                <w:kern w:val="0"/>
                <w:sz w:val="20"/>
                <w:szCs w:val="16"/>
              </w:rPr>
              <w:t xml:space="preserve"> </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退休费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95.5</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维修</w:t>
            </w:r>
            <w:r>
              <w:rPr>
                <w:rFonts w:ascii="宋体" w:hAnsi="宋体" w:cs="宋体"/>
                <w:color w:val="000000"/>
                <w:kern w:val="0"/>
                <w:sz w:val="20"/>
                <w:szCs w:val="16"/>
              </w:rPr>
              <w:t>(</w:t>
            </w:r>
            <w:r>
              <w:rPr>
                <w:rFonts w:hint="eastAsia" w:ascii="宋体" w:hAnsi="宋体" w:cs="宋体"/>
                <w:color w:val="000000"/>
                <w:kern w:val="0"/>
                <w:sz w:val="20"/>
                <w:szCs w:val="16"/>
              </w:rPr>
              <w:t>护</w:t>
            </w:r>
            <w:r>
              <w:rPr>
                <w:rFonts w:ascii="宋体" w:hAnsi="宋体" w:cs="宋体"/>
                <w:color w:val="000000"/>
                <w:kern w:val="0"/>
                <w:sz w:val="20"/>
                <w:szCs w:val="16"/>
              </w:rPr>
              <w:t>)</w:t>
            </w:r>
            <w:r>
              <w:rPr>
                <w:rFonts w:hint="eastAsia" w:ascii="宋体" w:hAnsi="宋体" w:cs="宋体"/>
                <w:color w:val="000000"/>
                <w:kern w:val="0"/>
                <w:sz w:val="20"/>
                <w:szCs w:val="16"/>
              </w:rPr>
              <w:t>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退职</w:t>
            </w:r>
            <w:r>
              <w:rPr>
                <w:rFonts w:ascii="宋体" w:hAnsi="宋体" w:cs="宋体"/>
                <w:color w:val="000000"/>
                <w:kern w:val="0"/>
                <w:sz w:val="20"/>
                <w:szCs w:val="16"/>
              </w:rPr>
              <w:t>(</w:t>
            </w:r>
            <w:r>
              <w:rPr>
                <w:rFonts w:hint="eastAsia" w:ascii="宋体" w:hAnsi="宋体" w:cs="宋体"/>
                <w:color w:val="000000"/>
                <w:kern w:val="0"/>
                <w:sz w:val="20"/>
                <w:szCs w:val="16"/>
              </w:rPr>
              <w:t>役</w:t>
            </w:r>
            <w:r>
              <w:rPr>
                <w:rFonts w:ascii="宋体" w:hAnsi="宋体" w:cs="宋体"/>
                <w:color w:val="000000"/>
                <w:kern w:val="0"/>
                <w:sz w:val="20"/>
                <w:szCs w:val="16"/>
              </w:rPr>
              <w:t>)</w:t>
            </w:r>
            <w:r>
              <w:rPr>
                <w:rFonts w:hint="eastAsia" w:ascii="宋体" w:hAnsi="宋体" w:cs="宋体"/>
                <w:color w:val="000000"/>
                <w:kern w:val="0"/>
                <w:sz w:val="20"/>
                <w:szCs w:val="16"/>
              </w:rPr>
              <w:t>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租赁费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抚恤金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会议费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90.00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30305</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生活补助</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培训费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30306</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救济费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公务接待费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30307</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医疗费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16"/>
              </w:rPr>
            </w:pPr>
            <w:r>
              <w:rPr>
                <w:rFonts w:ascii="宋体" w:hAnsi="宋体" w:cs="宋体"/>
                <w:color w:val="000000"/>
                <w:sz w:val="20"/>
                <w:szCs w:val="16"/>
              </w:rPr>
              <w:t>25.18</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专用材料费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30308</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助学金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30224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被装购置费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奖励金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30225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专用燃料费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30310</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生产补贴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劳务费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住房公积金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委托业务费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提租补贴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工会经费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r>
              <w:rPr>
                <w:rFonts w:ascii="宋体" w:hAnsi="宋体" w:cs="宋体"/>
                <w:color w:val="000000"/>
                <w:kern w:val="0"/>
                <w:sz w:val="20"/>
                <w:szCs w:val="16"/>
              </w:rPr>
              <w:t>1.4</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购房补贴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福利费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r>
              <w:rPr>
                <w:rFonts w:ascii="宋体" w:cs="宋体"/>
                <w:color w:val="000000"/>
                <w:kern w:val="0"/>
                <w:sz w:val="20"/>
                <w:szCs w:val="16"/>
              </w:rPr>
              <w:t>5.25</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采暖补贴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30231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公务用车运行维护费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r>
              <w:rPr>
                <w:rFonts w:ascii="宋体" w:cs="宋体"/>
                <w:color w:val="000000"/>
                <w:kern w:val="0"/>
                <w:sz w:val="20"/>
                <w:szCs w:val="16"/>
              </w:rPr>
              <w:t>28.00</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30315</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物业服务补贴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30239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其他交通费用</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30399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其他对个人和家庭的补助支出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30240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税金及附加费用</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30299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其他商品和服务支出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b/>
                <w:color w:val="000000"/>
                <w:kern w:val="0"/>
                <w:sz w:val="20"/>
                <w:szCs w:val="16"/>
              </w:rPr>
            </w:pPr>
            <w:r>
              <w:rPr>
                <w:rFonts w:ascii="宋体" w:hAnsi="宋体" w:cs="宋体"/>
                <w:b/>
                <w:color w:val="000000"/>
                <w:kern w:val="0"/>
                <w:sz w:val="20"/>
                <w:szCs w:val="16"/>
              </w:rPr>
              <w:t>310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kern w:val="0"/>
                <w:sz w:val="20"/>
                <w:szCs w:val="16"/>
              </w:rPr>
            </w:pPr>
            <w:r>
              <w:rPr>
                <w:rFonts w:hint="eastAsia" w:ascii="宋体" w:hAnsi="宋体" w:cs="宋体"/>
                <w:b/>
                <w:color w:val="000000"/>
                <w:kern w:val="0"/>
                <w:sz w:val="20"/>
                <w:szCs w:val="16"/>
              </w:rPr>
              <w:t>其他资本性支出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房屋建筑物购建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办公设备购置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专用设备购置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基础设施建设</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大型修缮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信息网络及软件购置更新</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物资储备</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土地补偿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安置补助</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b/>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b/>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b/>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地上附着物和青苗补偿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拆迁补偿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公务用车购置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其他交通工具购置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31020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产权参股</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12"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31099</w:t>
            </w:r>
          </w:p>
        </w:tc>
        <w:tc>
          <w:tcPr>
            <w:tcW w:w="3197" w:type="dxa"/>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其他资本性支出</w:t>
            </w:r>
          </w:p>
        </w:tc>
        <w:tc>
          <w:tcPr>
            <w:tcW w:w="1936"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477" w:hRule="atLeast"/>
        </w:trPr>
        <w:tc>
          <w:tcPr>
            <w:tcW w:w="12899" w:type="dxa"/>
            <w:gridSpan w:val="6"/>
            <w:vAlign w:val="center"/>
          </w:tcPr>
          <w:p>
            <w:pPr>
              <w:widowControl/>
              <w:jc w:val="left"/>
              <w:textAlignment w:val="center"/>
              <w:rPr>
                <w:rFonts w:ascii="宋体" w:cs="宋体"/>
                <w:color w:val="000000"/>
                <w:sz w:val="16"/>
                <w:szCs w:val="16"/>
              </w:rPr>
            </w:pPr>
            <w:r>
              <w:rPr>
                <w:rFonts w:hint="eastAsia" w:ascii="宋体" w:hAnsi="宋体" w:cs="宋体"/>
                <w:color w:val="000000"/>
                <w:kern w:val="0"/>
                <w:sz w:val="20"/>
                <w:szCs w:val="16"/>
              </w:rPr>
              <w:t>注：本表反映部门本年度一般公共预算财政拨款基本支出明细情况。</w:t>
            </w:r>
          </w:p>
        </w:tc>
      </w:tr>
    </w:tbl>
    <w:p>
      <w:pPr>
        <w:spacing w:line="580" w:lineRule="exact"/>
        <w:jc w:val="center"/>
        <w:rPr>
          <w:rFonts w:ascii="方正小标宋简体" w:eastAsia="方正小标宋简体"/>
          <w:sz w:val="36"/>
          <w:szCs w:val="36"/>
        </w:rPr>
      </w:pPr>
      <w:r>
        <w:rPr>
          <w:rFonts w:hint="eastAsia" w:ascii="方正小标宋简体" w:eastAsia="方正小标宋简体"/>
          <w:sz w:val="36"/>
          <w:szCs w:val="36"/>
        </w:rPr>
        <w:t>一般公共预算财政拨款“三公”经费支出决算表</w:t>
      </w:r>
    </w:p>
    <w:p>
      <w:pPr>
        <w:widowControl/>
        <w:adjustRightInd w:val="0"/>
        <w:snapToGrid w:val="0"/>
        <w:ind w:right="72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07</w:t>
      </w:r>
      <w:r>
        <w:rPr>
          <w:rFonts w:hint="eastAsia" w:ascii="宋体" w:hAnsi="宋体" w:cs="宋体"/>
          <w:color w:val="000000"/>
          <w:kern w:val="0"/>
          <w:sz w:val="22"/>
        </w:rPr>
        <w:t>表</w:t>
      </w:r>
    </w:p>
    <w:p>
      <w:pPr>
        <w:widowControl/>
        <w:adjustRightInd w:val="0"/>
        <w:snapToGrid w:val="0"/>
        <w:ind w:firstLine="770" w:firstLineChars="350"/>
        <w:jc w:val="left"/>
        <w:rPr>
          <w:rFonts w:ascii="宋体" w:cs="宋体"/>
          <w:color w:val="000000"/>
          <w:kern w:val="0"/>
          <w:sz w:val="22"/>
        </w:rPr>
      </w:pPr>
      <w:r>
        <w:rPr>
          <w:rFonts w:hint="eastAsia" w:ascii="宋体" w:hAnsi="宋体" w:cs="宋体"/>
          <w:color w:val="000000"/>
          <w:kern w:val="0"/>
          <w:sz w:val="22"/>
        </w:rPr>
        <w:t>部门：</w:t>
      </w:r>
      <w:r>
        <w:rPr>
          <w:rFonts w:hint="eastAsia" w:ascii="宋体" w:hAnsi="宋体" w:cs="宋体"/>
          <w:color w:val="000000"/>
          <w:kern w:val="0"/>
          <w:sz w:val="20"/>
          <w:szCs w:val="20"/>
        </w:rPr>
        <w:t>罗山县人大办公室</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6"/>
        <w:tblW w:w="13198" w:type="dxa"/>
        <w:jc w:val="center"/>
        <w:tblInd w:w="93" w:type="dxa"/>
        <w:tblLayout w:type="fixed"/>
        <w:tblCellMar>
          <w:top w:w="0" w:type="dxa"/>
          <w:left w:w="108" w:type="dxa"/>
          <w:bottom w:w="0" w:type="dxa"/>
          <w:right w:w="108" w:type="dxa"/>
        </w:tblCellMar>
      </w:tblPr>
      <w:tblGrid>
        <w:gridCol w:w="724"/>
        <w:gridCol w:w="1134"/>
        <w:gridCol w:w="851"/>
        <w:gridCol w:w="1134"/>
        <w:gridCol w:w="1275"/>
        <w:gridCol w:w="1142"/>
        <w:gridCol w:w="1126"/>
        <w:gridCol w:w="1134"/>
        <w:gridCol w:w="1134"/>
        <w:gridCol w:w="1276"/>
        <w:gridCol w:w="1276"/>
        <w:gridCol w:w="992"/>
      </w:tblGrid>
      <w:tr>
        <w:tblPrEx>
          <w:tblLayout w:type="fixed"/>
          <w:tblCellMar>
            <w:top w:w="0" w:type="dxa"/>
            <w:left w:w="108" w:type="dxa"/>
            <w:bottom w:w="0" w:type="dxa"/>
            <w:right w:w="108" w:type="dxa"/>
          </w:tblCellMar>
        </w:tblPrEx>
        <w:trPr>
          <w:trHeight w:val="559" w:hRule="atLeast"/>
          <w:jc w:val="center"/>
        </w:trPr>
        <w:tc>
          <w:tcPr>
            <w:tcW w:w="6260" w:type="dxa"/>
            <w:gridSpan w:val="6"/>
            <w:tcBorders>
              <w:top w:val="single" w:color="auto" w:sz="8" w:space="0"/>
              <w:left w:val="single" w:color="auto" w:sz="8" w:space="0"/>
              <w:bottom w:val="single" w:color="auto" w:sz="4" w:space="0"/>
              <w:right w:val="single" w:color="000000" w:sz="4" w:space="0"/>
            </w:tcBorders>
            <w:vAlign w:val="center"/>
          </w:tcPr>
          <w:p>
            <w:pPr>
              <w:widowControl/>
              <w:ind w:firstLine="440"/>
              <w:jc w:val="center"/>
              <w:rPr>
                <w:rFonts w:ascii="宋体" w:cs="宋体"/>
                <w:kern w:val="0"/>
                <w:sz w:val="22"/>
              </w:rPr>
            </w:pPr>
            <w:r>
              <w:rPr>
                <w:rFonts w:ascii="宋体" w:hAnsi="宋体" w:cs="宋体"/>
                <w:kern w:val="0"/>
                <w:sz w:val="22"/>
              </w:rPr>
              <w:t>2016</w:t>
            </w:r>
            <w:r>
              <w:rPr>
                <w:rFonts w:hint="eastAsia" w:ascii="宋体" w:hAnsi="宋体" w:cs="宋体"/>
                <w:kern w:val="0"/>
                <w:sz w:val="22"/>
              </w:rPr>
              <w:t>年度预算数</w:t>
            </w:r>
          </w:p>
        </w:tc>
        <w:tc>
          <w:tcPr>
            <w:tcW w:w="6938" w:type="dxa"/>
            <w:gridSpan w:val="6"/>
            <w:tcBorders>
              <w:top w:val="single" w:color="auto" w:sz="8" w:space="0"/>
              <w:left w:val="nil"/>
              <w:bottom w:val="single" w:color="auto" w:sz="4" w:space="0"/>
              <w:right w:val="single" w:color="000000" w:sz="8" w:space="0"/>
            </w:tcBorders>
            <w:vAlign w:val="center"/>
          </w:tcPr>
          <w:p>
            <w:pPr>
              <w:widowControl/>
              <w:jc w:val="center"/>
              <w:rPr>
                <w:rFonts w:ascii="宋体" w:cs="宋体"/>
                <w:kern w:val="0"/>
                <w:sz w:val="22"/>
              </w:rPr>
            </w:pPr>
            <w:r>
              <w:rPr>
                <w:rFonts w:ascii="宋体" w:hAnsi="宋体" w:cs="宋体"/>
                <w:kern w:val="0"/>
                <w:sz w:val="22"/>
              </w:rPr>
              <w:t>2016</w:t>
            </w:r>
            <w:r>
              <w:rPr>
                <w:rFonts w:hint="eastAsia" w:ascii="宋体" w:hAnsi="宋体" w:cs="宋体"/>
                <w:kern w:val="0"/>
                <w:sz w:val="22"/>
              </w:rPr>
              <w:t>年度决算数</w:t>
            </w:r>
          </w:p>
        </w:tc>
      </w:tr>
      <w:tr>
        <w:tblPrEx>
          <w:tblLayout w:type="fixed"/>
          <w:tblCellMar>
            <w:top w:w="0" w:type="dxa"/>
            <w:left w:w="108" w:type="dxa"/>
            <w:bottom w:w="0" w:type="dxa"/>
            <w:right w:w="108" w:type="dxa"/>
          </w:tblCellMar>
        </w:tblPrEx>
        <w:trPr>
          <w:trHeight w:val="600" w:hRule="atLeast"/>
          <w:jc w:val="center"/>
        </w:trPr>
        <w:tc>
          <w:tcPr>
            <w:tcW w:w="724" w:type="dxa"/>
            <w:vMerge w:val="restart"/>
            <w:tcBorders>
              <w:top w:val="nil"/>
              <w:left w:val="single" w:color="auto" w:sz="8"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合计</w:t>
            </w:r>
          </w:p>
        </w:tc>
        <w:tc>
          <w:tcPr>
            <w:tcW w:w="113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因公出国（境）费</w:t>
            </w:r>
          </w:p>
        </w:tc>
        <w:tc>
          <w:tcPr>
            <w:tcW w:w="3260"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2"/>
              </w:rPr>
            </w:pPr>
            <w:r>
              <w:rPr>
                <w:rFonts w:hint="eastAsia" w:ascii="宋体" w:hAnsi="宋体" w:cs="宋体"/>
                <w:kern w:val="0"/>
                <w:sz w:val="22"/>
              </w:rPr>
              <w:t>公务用车购置及运行费</w:t>
            </w:r>
          </w:p>
        </w:tc>
        <w:tc>
          <w:tcPr>
            <w:tcW w:w="114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公务接待费</w:t>
            </w:r>
          </w:p>
        </w:tc>
        <w:tc>
          <w:tcPr>
            <w:tcW w:w="1126" w:type="dxa"/>
            <w:vMerge w:val="restart"/>
            <w:tcBorders>
              <w:top w:val="nil"/>
              <w:left w:val="nil"/>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合计</w:t>
            </w:r>
          </w:p>
        </w:tc>
        <w:tc>
          <w:tcPr>
            <w:tcW w:w="113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因公出国（境）费</w:t>
            </w:r>
          </w:p>
        </w:tc>
        <w:tc>
          <w:tcPr>
            <w:tcW w:w="3686"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2"/>
              </w:rPr>
            </w:pPr>
            <w:r>
              <w:rPr>
                <w:rFonts w:hint="eastAsia" w:ascii="宋体" w:hAnsi="宋体" w:cs="宋体"/>
                <w:kern w:val="0"/>
                <w:sz w:val="22"/>
              </w:rPr>
              <w:t>公务用车购置及运行费</w:t>
            </w:r>
          </w:p>
        </w:tc>
        <w:tc>
          <w:tcPr>
            <w:tcW w:w="992" w:type="dxa"/>
            <w:vMerge w:val="restart"/>
            <w:tcBorders>
              <w:top w:val="nil"/>
              <w:left w:val="single" w:color="auto" w:sz="4" w:space="0"/>
              <w:bottom w:val="single" w:color="000000" w:sz="4" w:space="0"/>
              <w:right w:val="single" w:color="auto" w:sz="8" w:space="0"/>
            </w:tcBorders>
            <w:vAlign w:val="center"/>
          </w:tcPr>
          <w:p>
            <w:pPr>
              <w:widowControl/>
              <w:jc w:val="center"/>
              <w:rPr>
                <w:rFonts w:ascii="宋体" w:cs="宋体"/>
                <w:kern w:val="0"/>
                <w:sz w:val="22"/>
              </w:rPr>
            </w:pPr>
            <w:r>
              <w:rPr>
                <w:rFonts w:hint="eastAsia" w:ascii="宋体" w:hAnsi="宋体" w:cs="宋体"/>
                <w:kern w:val="0"/>
                <w:sz w:val="22"/>
              </w:rPr>
              <w:t>公务接待费</w:t>
            </w:r>
          </w:p>
        </w:tc>
      </w:tr>
      <w:tr>
        <w:tblPrEx>
          <w:tblLayout w:type="fixed"/>
          <w:tblCellMar>
            <w:top w:w="0" w:type="dxa"/>
            <w:left w:w="108" w:type="dxa"/>
            <w:bottom w:w="0" w:type="dxa"/>
            <w:right w:w="108" w:type="dxa"/>
          </w:tblCellMar>
        </w:tblPrEx>
        <w:trPr>
          <w:trHeight w:val="600" w:hRule="atLeast"/>
          <w:jc w:val="center"/>
        </w:trPr>
        <w:tc>
          <w:tcPr>
            <w:tcW w:w="724" w:type="dxa"/>
            <w:vMerge w:val="continue"/>
            <w:tcBorders>
              <w:top w:val="nil"/>
              <w:left w:val="single" w:color="auto" w:sz="8" w:space="0"/>
              <w:bottom w:val="single" w:color="000000" w:sz="4" w:space="0"/>
              <w:right w:val="single" w:color="auto" w:sz="4" w:space="0"/>
            </w:tcBorders>
            <w:vAlign w:val="center"/>
          </w:tcPr>
          <w:p>
            <w:pPr>
              <w:widowControl/>
              <w:jc w:val="left"/>
              <w:rPr>
                <w:rFonts w:ascii="宋体" w:cs="宋体"/>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2"/>
              </w:rPr>
            </w:pP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小计</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购置费</w:t>
            </w:r>
          </w:p>
        </w:tc>
        <w:tc>
          <w:tcPr>
            <w:tcW w:w="1275"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运行费</w:t>
            </w:r>
          </w:p>
        </w:tc>
        <w:tc>
          <w:tcPr>
            <w:tcW w:w="11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1126" w:type="dxa"/>
            <w:vMerge w:val="continue"/>
            <w:tcBorders>
              <w:top w:val="nil"/>
              <w:left w:val="nil"/>
              <w:bottom w:val="single" w:color="000000" w:sz="4" w:space="0"/>
              <w:right w:val="single" w:color="auto" w:sz="4" w:space="0"/>
            </w:tcBorders>
            <w:vAlign w:val="center"/>
          </w:tcPr>
          <w:p>
            <w:pPr>
              <w:widowControl/>
              <w:jc w:val="left"/>
              <w:rPr>
                <w:rFonts w:ascii="宋体" w:cs="宋体"/>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2"/>
              </w:rPr>
            </w:pP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小计</w:t>
            </w:r>
          </w:p>
        </w:tc>
        <w:tc>
          <w:tcPr>
            <w:tcW w:w="1276"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购置费</w:t>
            </w:r>
          </w:p>
        </w:tc>
        <w:tc>
          <w:tcPr>
            <w:tcW w:w="1276"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运行费</w:t>
            </w:r>
          </w:p>
        </w:tc>
        <w:tc>
          <w:tcPr>
            <w:tcW w:w="992" w:type="dxa"/>
            <w:vMerge w:val="continue"/>
            <w:tcBorders>
              <w:top w:val="nil"/>
              <w:left w:val="single" w:color="auto" w:sz="4" w:space="0"/>
              <w:bottom w:val="single" w:color="000000" w:sz="4" w:space="0"/>
              <w:right w:val="single" w:color="auto" w:sz="8" w:space="0"/>
            </w:tcBorders>
            <w:vAlign w:val="center"/>
          </w:tcPr>
          <w:p>
            <w:pPr>
              <w:widowControl/>
              <w:jc w:val="left"/>
              <w:rPr>
                <w:rFonts w:ascii="宋体" w:cs="宋体"/>
                <w:kern w:val="0"/>
                <w:sz w:val="22"/>
              </w:rPr>
            </w:pPr>
          </w:p>
        </w:tc>
      </w:tr>
      <w:tr>
        <w:tblPrEx>
          <w:tblLayout w:type="fixed"/>
          <w:tblCellMar>
            <w:top w:w="0" w:type="dxa"/>
            <w:left w:w="108" w:type="dxa"/>
            <w:bottom w:w="0" w:type="dxa"/>
            <w:right w:w="108" w:type="dxa"/>
          </w:tblCellMar>
        </w:tblPrEx>
        <w:trPr>
          <w:trHeight w:val="559" w:hRule="atLeast"/>
          <w:jc w:val="center"/>
        </w:trPr>
        <w:tc>
          <w:tcPr>
            <w:tcW w:w="724"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2</w:t>
            </w:r>
          </w:p>
        </w:tc>
        <w:tc>
          <w:tcPr>
            <w:tcW w:w="851"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3</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4</w:t>
            </w:r>
          </w:p>
        </w:tc>
        <w:tc>
          <w:tcPr>
            <w:tcW w:w="127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5</w:t>
            </w:r>
          </w:p>
        </w:tc>
        <w:tc>
          <w:tcPr>
            <w:tcW w:w="114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6</w:t>
            </w:r>
          </w:p>
        </w:tc>
        <w:tc>
          <w:tcPr>
            <w:tcW w:w="112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7</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8</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9</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10</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11</w:t>
            </w:r>
          </w:p>
        </w:tc>
        <w:tc>
          <w:tcPr>
            <w:tcW w:w="992" w:type="dxa"/>
            <w:tcBorders>
              <w:top w:val="nil"/>
              <w:left w:val="nil"/>
              <w:bottom w:val="single" w:color="auto" w:sz="4" w:space="0"/>
              <w:right w:val="single" w:color="auto" w:sz="8" w:space="0"/>
            </w:tcBorders>
            <w:vAlign w:val="center"/>
          </w:tcPr>
          <w:p>
            <w:pPr>
              <w:widowControl/>
              <w:jc w:val="center"/>
              <w:rPr>
                <w:rFonts w:ascii="宋体" w:hAnsi="宋体" w:cs="宋体"/>
                <w:kern w:val="0"/>
                <w:sz w:val="22"/>
              </w:rPr>
            </w:pPr>
            <w:r>
              <w:rPr>
                <w:rFonts w:ascii="宋体" w:hAnsi="宋体" w:cs="宋体"/>
                <w:kern w:val="0"/>
                <w:sz w:val="22"/>
              </w:rPr>
              <w:t>12</w:t>
            </w:r>
          </w:p>
        </w:tc>
      </w:tr>
      <w:tr>
        <w:tblPrEx>
          <w:tblLayout w:type="fixed"/>
          <w:tblCellMar>
            <w:top w:w="0" w:type="dxa"/>
            <w:left w:w="108" w:type="dxa"/>
            <w:bottom w:w="0" w:type="dxa"/>
            <w:right w:w="108" w:type="dxa"/>
          </w:tblCellMar>
        </w:tblPrEx>
        <w:trPr>
          <w:trHeight w:val="855" w:hRule="atLeast"/>
          <w:jc w:val="center"/>
        </w:trPr>
        <w:tc>
          <w:tcPr>
            <w:tcW w:w="724" w:type="dxa"/>
            <w:tcBorders>
              <w:top w:val="nil"/>
              <w:left w:val="single" w:color="auto" w:sz="8" w:space="0"/>
              <w:bottom w:val="single" w:color="auto" w:sz="8" w:space="0"/>
              <w:right w:val="single" w:color="auto" w:sz="4" w:space="0"/>
            </w:tcBorders>
            <w:vAlign w:val="center"/>
          </w:tcPr>
          <w:p>
            <w:pPr>
              <w:widowControl/>
              <w:jc w:val="left"/>
              <w:rPr>
                <w:rFonts w:ascii="宋体" w:cs="宋体"/>
                <w:kern w:val="0"/>
                <w:sz w:val="22"/>
              </w:rPr>
            </w:pPr>
            <w:r>
              <w:rPr>
                <w:rFonts w:ascii="宋体" w:cs="宋体"/>
                <w:kern w:val="0"/>
                <w:sz w:val="22"/>
              </w:rPr>
              <w:t>0</w:t>
            </w:r>
          </w:p>
        </w:tc>
        <w:tc>
          <w:tcPr>
            <w:tcW w:w="113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851"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1134" w:type="dxa"/>
            <w:tcBorders>
              <w:top w:val="nil"/>
              <w:left w:val="nil"/>
              <w:bottom w:val="single" w:color="auto" w:sz="8"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r>
              <w:rPr>
                <w:rFonts w:ascii="宋体" w:cs="宋体"/>
                <w:kern w:val="0"/>
                <w:sz w:val="22"/>
              </w:rPr>
              <w:t>0</w:t>
            </w:r>
          </w:p>
        </w:tc>
        <w:tc>
          <w:tcPr>
            <w:tcW w:w="1275" w:type="dxa"/>
            <w:tcBorders>
              <w:top w:val="nil"/>
              <w:left w:val="nil"/>
              <w:bottom w:val="single" w:color="auto" w:sz="8"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r>
              <w:rPr>
                <w:rFonts w:ascii="宋体" w:cs="宋体"/>
                <w:kern w:val="0"/>
                <w:sz w:val="22"/>
              </w:rPr>
              <w:t>0</w:t>
            </w:r>
          </w:p>
        </w:tc>
        <w:tc>
          <w:tcPr>
            <w:tcW w:w="1142"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1126" w:type="dxa"/>
            <w:tcBorders>
              <w:top w:val="nil"/>
              <w:left w:val="nil"/>
              <w:bottom w:val="single" w:color="auto" w:sz="8" w:space="0"/>
              <w:right w:val="single" w:color="auto" w:sz="4" w:space="0"/>
            </w:tcBorders>
            <w:vAlign w:val="center"/>
          </w:tcPr>
          <w:p>
            <w:pPr>
              <w:widowControl/>
              <w:jc w:val="left"/>
              <w:rPr>
                <w:rFonts w:ascii="宋体" w:cs="宋体"/>
                <w:kern w:val="0"/>
                <w:sz w:val="22"/>
              </w:rPr>
            </w:pPr>
            <w:r>
              <w:rPr>
                <w:rFonts w:ascii="宋体" w:hAnsi="宋体" w:cs="宋体"/>
                <w:kern w:val="0"/>
                <w:sz w:val="22"/>
              </w:rPr>
              <w:t>28</w:t>
            </w:r>
          </w:p>
        </w:tc>
        <w:tc>
          <w:tcPr>
            <w:tcW w:w="113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113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hAnsi="宋体" w:cs="宋体"/>
                <w:kern w:val="0"/>
                <w:sz w:val="22"/>
              </w:rPr>
              <w:t>28</w:t>
            </w:r>
          </w:p>
        </w:tc>
        <w:tc>
          <w:tcPr>
            <w:tcW w:w="1276"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1276" w:type="dxa"/>
            <w:tcBorders>
              <w:top w:val="nil"/>
              <w:left w:val="nil"/>
              <w:bottom w:val="single" w:color="auto" w:sz="8" w:space="0"/>
              <w:right w:val="nil"/>
            </w:tcBorders>
            <w:vAlign w:val="center"/>
          </w:tcPr>
          <w:p>
            <w:pPr>
              <w:widowControl/>
              <w:jc w:val="center"/>
              <w:rPr>
                <w:rFonts w:ascii="宋体" w:cs="宋体"/>
                <w:kern w:val="0"/>
                <w:sz w:val="22"/>
              </w:rPr>
            </w:pPr>
            <w:r>
              <w:rPr>
                <w:rFonts w:ascii="宋体" w:hAnsi="宋体" w:cs="宋体"/>
                <w:kern w:val="0"/>
                <w:sz w:val="22"/>
              </w:rPr>
              <w:t>28</w:t>
            </w:r>
          </w:p>
        </w:tc>
        <w:tc>
          <w:tcPr>
            <w:tcW w:w="992" w:type="dxa"/>
            <w:tcBorders>
              <w:top w:val="nil"/>
              <w:left w:val="single" w:color="auto" w:sz="4" w:space="0"/>
              <w:bottom w:val="single" w:color="auto" w:sz="8" w:space="0"/>
              <w:right w:val="single" w:color="auto" w:sz="8" w:space="0"/>
            </w:tcBorders>
            <w:vAlign w:val="center"/>
          </w:tcPr>
          <w:p>
            <w:pPr>
              <w:widowControl/>
              <w:jc w:val="center"/>
              <w:rPr>
                <w:rFonts w:ascii="宋体" w:cs="宋体"/>
                <w:kern w:val="0"/>
                <w:sz w:val="22"/>
              </w:rPr>
            </w:pPr>
            <w:r>
              <w:rPr>
                <w:rFonts w:ascii="宋体" w:cs="宋体"/>
                <w:kern w:val="0"/>
                <w:sz w:val="22"/>
              </w:rPr>
              <w:t>0</w:t>
            </w:r>
          </w:p>
        </w:tc>
      </w:tr>
    </w:tbl>
    <w:p>
      <w:pPr>
        <w:adjustRightInd w:val="0"/>
        <w:snapToGrid w:val="0"/>
        <w:ind w:firstLine="700" w:firstLineChars="350"/>
        <w:rPr>
          <w:rFonts w:ascii="仿宋_GB2312"/>
          <w:sz w:val="20"/>
          <w:szCs w:val="20"/>
        </w:rPr>
      </w:pPr>
      <w:r>
        <w:rPr>
          <w:rFonts w:hint="eastAsia" w:ascii="仿宋_GB2312"/>
          <w:sz w:val="20"/>
          <w:szCs w:val="20"/>
        </w:rPr>
        <w:t>注：本表反映部门本年度“三公”经费支出预决算情况。其中，</w:t>
      </w:r>
      <w:r>
        <w:rPr>
          <w:rFonts w:ascii="仿宋_GB2312"/>
          <w:sz w:val="20"/>
          <w:szCs w:val="20"/>
        </w:rPr>
        <w:t>2016</w:t>
      </w:r>
      <w:r>
        <w:rPr>
          <w:rFonts w:hint="eastAsia" w:ascii="仿宋_GB2312"/>
          <w:sz w:val="20"/>
          <w:szCs w:val="20"/>
        </w:rPr>
        <w:t>年度预算数为“三公”经费年初预算数，决算数是包括当年一般公共预算财政拨款和以前年度结转资金安排的实际支出。</w:t>
      </w:r>
    </w:p>
    <w:p>
      <w:pPr>
        <w:spacing w:line="580" w:lineRule="exact"/>
        <w:ind w:firstLine="640"/>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jc w:val="center"/>
        <w:rPr>
          <w:rFonts w:ascii="方正小标宋简体" w:eastAsia="方正小标宋简体"/>
          <w:sz w:val="36"/>
          <w:szCs w:val="36"/>
        </w:rPr>
      </w:pPr>
      <w:r>
        <w:rPr>
          <w:rFonts w:hint="eastAsia" w:ascii="方正小标宋简体" w:eastAsia="方正小标宋简体"/>
          <w:sz w:val="36"/>
          <w:szCs w:val="36"/>
        </w:rPr>
        <w:t>政府性基金预算财政拨款收入支出决算表</w:t>
      </w:r>
    </w:p>
    <w:p>
      <w:pPr>
        <w:widowControl/>
        <w:adjustRightInd w:val="0"/>
        <w:snapToGrid w:val="0"/>
        <w:ind w:right="94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08</w:t>
      </w:r>
      <w:r>
        <w:rPr>
          <w:rFonts w:hint="eastAsia" w:ascii="宋体" w:hAnsi="宋体" w:cs="宋体"/>
          <w:color w:val="000000"/>
          <w:kern w:val="0"/>
          <w:sz w:val="22"/>
        </w:rPr>
        <w:t>表</w:t>
      </w:r>
    </w:p>
    <w:p>
      <w:pPr>
        <w:widowControl/>
        <w:adjustRightInd w:val="0"/>
        <w:snapToGrid w:val="0"/>
        <w:ind w:firstLine="880" w:firstLineChars="400"/>
        <w:jc w:val="left"/>
        <w:rPr>
          <w:rFonts w:ascii="宋体" w:cs="宋体"/>
          <w:color w:val="000000"/>
          <w:kern w:val="0"/>
          <w:sz w:val="22"/>
        </w:rPr>
      </w:pPr>
      <w:r>
        <w:rPr>
          <w:rFonts w:hint="eastAsia" w:ascii="宋体" w:hAnsi="宋体" w:cs="宋体"/>
          <w:color w:val="000000"/>
          <w:kern w:val="0"/>
          <w:sz w:val="22"/>
        </w:rPr>
        <w:t>部门：</w:t>
      </w:r>
      <w:r>
        <w:rPr>
          <w:rFonts w:hint="eastAsia" w:ascii="宋体" w:hAnsi="宋体" w:cs="宋体"/>
          <w:color w:val="000000"/>
          <w:kern w:val="0"/>
          <w:sz w:val="20"/>
          <w:szCs w:val="20"/>
        </w:rPr>
        <w:t>罗山县人大办公室</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6"/>
        <w:tblW w:w="12466" w:type="dxa"/>
        <w:jc w:val="center"/>
        <w:tblInd w:w="0" w:type="dxa"/>
        <w:tblLayout w:type="fixed"/>
        <w:tblCellMar>
          <w:top w:w="0" w:type="dxa"/>
          <w:left w:w="108" w:type="dxa"/>
          <w:bottom w:w="0" w:type="dxa"/>
          <w:right w:w="108" w:type="dxa"/>
        </w:tblCellMar>
      </w:tblPr>
      <w:tblGrid>
        <w:gridCol w:w="1075"/>
        <w:gridCol w:w="2551"/>
        <w:gridCol w:w="1306"/>
        <w:gridCol w:w="1140"/>
        <w:gridCol w:w="1120"/>
        <w:gridCol w:w="1360"/>
        <w:gridCol w:w="1480"/>
        <w:gridCol w:w="2434"/>
      </w:tblGrid>
      <w:tr>
        <w:tblPrEx>
          <w:tblLayout w:type="fixed"/>
          <w:tblCellMar>
            <w:top w:w="0" w:type="dxa"/>
            <w:left w:w="108" w:type="dxa"/>
            <w:bottom w:w="0" w:type="dxa"/>
            <w:right w:w="108" w:type="dxa"/>
          </w:tblCellMar>
        </w:tblPrEx>
        <w:trPr>
          <w:trHeight w:val="405" w:hRule="atLeast"/>
          <w:jc w:val="center"/>
        </w:trPr>
        <w:tc>
          <w:tcPr>
            <w:tcW w:w="3626" w:type="dxa"/>
            <w:gridSpan w:val="2"/>
            <w:tcBorders>
              <w:top w:val="single" w:color="auto" w:sz="8" w:space="0"/>
              <w:left w:val="single" w:color="auto" w:sz="8" w:space="0"/>
              <w:bottom w:val="single" w:color="auto" w:sz="4" w:space="0"/>
              <w:right w:val="single" w:color="auto" w:sz="4" w:space="0"/>
            </w:tcBorders>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hint="eastAsia" w:ascii="宋体" w:hAnsi="宋体" w:cs="宋体"/>
                <w:kern w:val="0"/>
                <w:sz w:val="24"/>
              </w:rPr>
              <w:t>目</w:t>
            </w:r>
          </w:p>
        </w:tc>
        <w:tc>
          <w:tcPr>
            <w:tcW w:w="1306" w:type="dxa"/>
            <w:vMerge w:val="restart"/>
            <w:tcBorders>
              <w:top w:val="single" w:color="auto" w:sz="8" w:space="0"/>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年初结转和结余</w:t>
            </w:r>
          </w:p>
        </w:tc>
        <w:tc>
          <w:tcPr>
            <w:tcW w:w="1140"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本年收入</w:t>
            </w:r>
          </w:p>
        </w:tc>
        <w:tc>
          <w:tcPr>
            <w:tcW w:w="3960" w:type="dxa"/>
            <w:gridSpan w:val="3"/>
            <w:tcBorders>
              <w:top w:val="single" w:color="auto" w:sz="8" w:space="0"/>
              <w:left w:val="nil"/>
              <w:bottom w:val="single" w:color="auto" w:sz="4" w:space="0"/>
              <w:right w:val="nil"/>
            </w:tcBorders>
            <w:vAlign w:val="center"/>
          </w:tcPr>
          <w:p>
            <w:pPr>
              <w:widowControl/>
              <w:jc w:val="center"/>
              <w:rPr>
                <w:rFonts w:ascii="宋体" w:cs="宋体"/>
                <w:kern w:val="0"/>
                <w:sz w:val="24"/>
              </w:rPr>
            </w:pPr>
            <w:r>
              <w:rPr>
                <w:rFonts w:hint="eastAsia" w:ascii="宋体" w:hAnsi="宋体" w:cs="宋体"/>
                <w:kern w:val="0"/>
                <w:sz w:val="24"/>
              </w:rPr>
              <w:t>本年支出</w:t>
            </w:r>
          </w:p>
        </w:tc>
        <w:tc>
          <w:tcPr>
            <w:tcW w:w="2434"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年末结转和结余</w:t>
            </w:r>
          </w:p>
        </w:tc>
      </w:tr>
      <w:tr>
        <w:tblPrEx>
          <w:tblLayout w:type="fixed"/>
          <w:tblCellMar>
            <w:top w:w="0" w:type="dxa"/>
            <w:left w:w="108" w:type="dxa"/>
            <w:bottom w:w="0" w:type="dxa"/>
            <w:right w:w="108" w:type="dxa"/>
          </w:tblCellMar>
        </w:tblPrEx>
        <w:trPr>
          <w:trHeight w:val="540" w:hRule="atLeast"/>
          <w:jc w:val="center"/>
        </w:trPr>
        <w:tc>
          <w:tcPr>
            <w:tcW w:w="1075"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55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科目名称</w:t>
            </w: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小计</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基本支出</w:t>
            </w:r>
            <w:r>
              <w:rPr>
                <w:rFonts w:ascii="宋体" w:hAnsi="宋体" w:cs="宋体"/>
                <w:kern w:val="0"/>
                <w:sz w:val="24"/>
              </w:rPr>
              <w:t xml:space="preserve">  </w:t>
            </w:r>
          </w:p>
        </w:tc>
        <w:tc>
          <w:tcPr>
            <w:tcW w:w="1480" w:type="dxa"/>
            <w:vMerge w:val="restart"/>
            <w:tcBorders>
              <w:top w:val="nil"/>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项目支出</w:t>
            </w: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075"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80" w:type="dxa"/>
            <w:vMerge w:val="continue"/>
            <w:tcBorders>
              <w:top w:val="nil"/>
              <w:left w:val="single" w:color="auto" w:sz="4" w:space="0"/>
              <w:bottom w:val="single" w:color="000000" w:sz="4" w:space="0"/>
              <w:right w:val="nil"/>
            </w:tcBorders>
            <w:vAlign w:val="center"/>
          </w:tcPr>
          <w:p>
            <w:pPr>
              <w:widowControl/>
              <w:jc w:val="left"/>
              <w:rPr>
                <w:rFonts w:ascii="宋体" w:cs="宋体"/>
                <w:kern w:val="0"/>
                <w:sz w:val="24"/>
              </w:rPr>
            </w:pP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80" w:type="dxa"/>
            <w:vMerge w:val="continue"/>
            <w:tcBorders>
              <w:top w:val="nil"/>
              <w:left w:val="single" w:color="auto" w:sz="4" w:space="0"/>
              <w:bottom w:val="single" w:color="000000" w:sz="4" w:space="0"/>
              <w:right w:val="nil"/>
            </w:tcBorders>
            <w:vAlign w:val="center"/>
          </w:tcPr>
          <w:p>
            <w:pPr>
              <w:widowControl/>
              <w:jc w:val="left"/>
              <w:rPr>
                <w:rFonts w:ascii="宋体" w:cs="宋体"/>
                <w:kern w:val="0"/>
                <w:sz w:val="24"/>
              </w:rPr>
            </w:pP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3626"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栏次</w:t>
            </w:r>
          </w:p>
        </w:tc>
        <w:tc>
          <w:tcPr>
            <w:tcW w:w="1306"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1</w:t>
            </w:r>
          </w:p>
        </w:tc>
        <w:tc>
          <w:tcPr>
            <w:tcW w:w="11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2</w:t>
            </w:r>
          </w:p>
        </w:tc>
        <w:tc>
          <w:tcPr>
            <w:tcW w:w="112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3</w:t>
            </w:r>
          </w:p>
        </w:tc>
        <w:tc>
          <w:tcPr>
            <w:tcW w:w="136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4</w:t>
            </w:r>
          </w:p>
        </w:tc>
        <w:tc>
          <w:tcPr>
            <w:tcW w:w="1480" w:type="dxa"/>
            <w:tcBorders>
              <w:top w:val="nil"/>
              <w:left w:val="nil"/>
              <w:bottom w:val="single" w:color="auto" w:sz="4" w:space="0"/>
              <w:right w:val="nil"/>
            </w:tcBorders>
            <w:vAlign w:val="center"/>
          </w:tcPr>
          <w:p>
            <w:pPr>
              <w:widowControl/>
              <w:jc w:val="center"/>
              <w:rPr>
                <w:rFonts w:ascii="宋体" w:hAnsi="宋体" w:cs="宋体"/>
                <w:kern w:val="0"/>
                <w:sz w:val="24"/>
              </w:rPr>
            </w:pPr>
            <w:r>
              <w:rPr>
                <w:rFonts w:ascii="宋体" w:hAnsi="宋体" w:cs="宋体"/>
                <w:kern w:val="0"/>
                <w:sz w:val="24"/>
              </w:rPr>
              <w:t>5</w:t>
            </w:r>
          </w:p>
        </w:tc>
        <w:tc>
          <w:tcPr>
            <w:tcW w:w="24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ascii="宋体" w:hAnsi="宋体" w:cs="宋体"/>
                <w:kern w:val="0"/>
                <w:sz w:val="24"/>
              </w:rPr>
              <w:t>6</w:t>
            </w:r>
          </w:p>
        </w:tc>
      </w:tr>
      <w:tr>
        <w:tblPrEx>
          <w:tblLayout w:type="fixed"/>
          <w:tblCellMar>
            <w:top w:w="0" w:type="dxa"/>
            <w:left w:w="108" w:type="dxa"/>
            <w:bottom w:w="0" w:type="dxa"/>
            <w:right w:w="108" w:type="dxa"/>
          </w:tblCellMar>
        </w:tblPrEx>
        <w:trPr>
          <w:trHeight w:val="450" w:hRule="atLeast"/>
          <w:jc w:val="center"/>
        </w:trPr>
        <w:tc>
          <w:tcPr>
            <w:tcW w:w="3626" w:type="dxa"/>
            <w:gridSpan w:val="2"/>
            <w:tcBorders>
              <w:top w:val="nil"/>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合计</w:t>
            </w:r>
          </w:p>
        </w:tc>
        <w:tc>
          <w:tcPr>
            <w:tcW w:w="1306"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center"/>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文化体育与传媒支出</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资助国产影片放映</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资助城市影院</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资助少数民族电影译制</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8"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其他国家电影事业发展专项资金支出</w:t>
            </w:r>
          </w:p>
        </w:tc>
        <w:tc>
          <w:tcPr>
            <w:tcW w:w="1306" w:type="dxa"/>
            <w:tcBorders>
              <w:top w:val="nil"/>
              <w:left w:val="nil"/>
              <w:bottom w:val="single" w:color="auto" w:sz="8" w:space="0"/>
              <w:right w:val="single" w:color="auto" w:sz="4" w:space="0"/>
            </w:tcBorders>
            <w:vAlign w:val="center"/>
          </w:tcPr>
          <w:p>
            <w:pPr>
              <w:widowControl/>
              <w:ind w:left="1"/>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社会保障和就业支出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大中型水库移民后期扶持基金支出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其他政府性基金债务付息支出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bl>
    <w:p>
      <w:pPr>
        <w:adjustRightInd w:val="0"/>
        <w:snapToGrid w:val="0"/>
        <w:ind w:firstLine="1000" w:firstLineChars="500"/>
        <w:rPr>
          <w:sz w:val="20"/>
          <w:szCs w:val="20"/>
        </w:rPr>
      </w:pPr>
      <w:r>
        <w:rPr>
          <w:rFonts w:hint="eastAsia"/>
          <w:sz w:val="20"/>
          <w:szCs w:val="20"/>
        </w:rPr>
        <w:t>注：本表反映部门本年度政府性基金预算财政拨款收入支出及结转和结余情况。</w:t>
      </w:r>
    </w:p>
    <w:p>
      <w:pPr>
        <w:adjustRightInd w:val="0"/>
        <w:snapToGrid w:val="0"/>
        <w:ind w:firstLine="1004" w:firstLineChars="500"/>
        <w:rPr>
          <w:sz w:val="20"/>
          <w:szCs w:val="20"/>
        </w:rPr>
        <w:sectPr>
          <w:headerReference r:id="rId5" w:type="first"/>
          <w:footerReference r:id="rId8" w:type="first"/>
          <w:headerReference r:id="rId3" w:type="default"/>
          <w:footerReference r:id="rId6" w:type="default"/>
          <w:headerReference r:id="rId4" w:type="even"/>
          <w:footerReference r:id="rId7" w:type="even"/>
          <w:pgSz w:w="16838" w:h="11906" w:orient="landscape"/>
          <w:pgMar w:top="1134" w:right="1134" w:bottom="1134" w:left="1134" w:header="510" w:footer="992" w:gutter="0"/>
          <w:cols w:space="425" w:num="1"/>
          <w:docGrid w:linePitch="435" w:charSpace="0"/>
        </w:sectPr>
      </w:pPr>
      <w:r>
        <w:rPr>
          <w:rFonts w:hint="eastAsia" w:ascii="宋体" w:hAnsi="宋体" w:cs="宋体"/>
          <w:b/>
          <w:kern w:val="0"/>
          <w:sz w:val="20"/>
          <w:szCs w:val="20"/>
        </w:rPr>
        <w:t>说明：罗山县石山口水库灌区管理局没有政府性基金收入，也没有使用政府性基金安排的支出，故本表无数据。</w:t>
      </w:r>
    </w:p>
    <w:p>
      <w:pPr>
        <w:adjustRightInd w:val="0"/>
        <w:snapToGrid w:val="0"/>
        <w:spacing w:line="360" w:lineRule="auto"/>
        <w:rPr>
          <w:rFonts w:ascii="黑体" w:hAnsi="黑体" w:eastAsia="黑体"/>
          <w:sz w:val="28"/>
          <w:szCs w:val="28"/>
        </w:rPr>
      </w:pPr>
    </w:p>
    <w:p>
      <w:pPr>
        <w:adjustRightInd w:val="0"/>
        <w:snapToGrid w:val="0"/>
        <w:spacing w:line="360" w:lineRule="auto"/>
        <w:jc w:val="center"/>
        <w:rPr>
          <w:rFonts w:ascii="黑体" w:eastAsia="黑体" w:cs="黑体"/>
          <w:spacing w:val="-38"/>
          <w:sz w:val="28"/>
          <w:szCs w:val="28"/>
        </w:rPr>
      </w:pPr>
      <w:r>
        <w:rPr>
          <w:rFonts w:hint="eastAsia" w:ascii="黑体" w:eastAsia="黑体" w:cs="黑体"/>
          <w:sz w:val="28"/>
          <w:szCs w:val="28"/>
        </w:rPr>
        <w:t>第三部分</w:t>
      </w: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罗山县人大办公室</w:t>
      </w:r>
      <w:r>
        <w:rPr>
          <w:rFonts w:ascii="黑体" w:eastAsia="黑体" w:cs="黑体"/>
          <w:sz w:val="28"/>
          <w:szCs w:val="28"/>
        </w:rPr>
        <w:t>2016</w:t>
      </w:r>
      <w:r>
        <w:rPr>
          <w:rFonts w:ascii="黑体" w:eastAsia="黑体" w:cs="黑体"/>
          <w:spacing w:val="-119"/>
          <w:sz w:val="28"/>
          <w:szCs w:val="28"/>
        </w:rPr>
        <w:t xml:space="preserve"> </w:t>
      </w:r>
      <w:r>
        <w:rPr>
          <w:rFonts w:hint="eastAsia" w:ascii="黑体" w:eastAsia="黑体" w:cs="黑体"/>
          <w:sz w:val="28"/>
          <w:szCs w:val="28"/>
        </w:rPr>
        <w:t>年度部门决算情况说明</w:t>
      </w: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一、收入支出决算总体情况说明</w:t>
      </w:r>
    </w:p>
    <w:p>
      <w:pPr>
        <w:adjustRightInd w:val="0"/>
        <w:snapToGrid w:val="0"/>
        <w:spacing w:line="360" w:lineRule="auto"/>
        <w:ind w:firstLine="640"/>
        <w:rPr>
          <w:rFonts w:ascii="仿宋_GB2312" w:hAnsi="宋体" w:eastAsia="仿宋_GB2312" w:cs="Courier New"/>
          <w:sz w:val="28"/>
          <w:szCs w:val="28"/>
        </w:rPr>
      </w:pPr>
      <w:r>
        <w:rPr>
          <w:rFonts w:hint="eastAsia" w:ascii="仿宋_GB2312" w:hAnsi="宋体" w:eastAsia="仿宋_GB2312" w:cs="Courier New"/>
          <w:sz w:val="28"/>
          <w:szCs w:val="28"/>
        </w:rPr>
        <w:t>罗山县人大办公室</w:t>
      </w:r>
      <w:r>
        <w:rPr>
          <w:rFonts w:ascii="仿宋_GB2312" w:hAnsi="宋体" w:eastAsia="仿宋_GB2312" w:cs="Courier New"/>
          <w:sz w:val="28"/>
          <w:szCs w:val="28"/>
        </w:rPr>
        <w:t>2016</w:t>
      </w:r>
      <w:r>
        <w:rPr>
          <w:rFonts w:hint="eastAsia" w:ascii="仿宋_GB2312" w:hAnsi="宋体" w:eastAsia="仿宋_GB2312" w:cs="Courier New"/>
          <w:sz w:val="28"/>
          <w:szCs w:val="28"/>
        </w:rPr>
        <w:t>年收入总计</w:t>
      </w:r>
      <w:r>
        <w:rPr>
          <w:rFonts w:ascii="仿宋_GB2312" w:hAnsi="宋体" w:eastAsia="仿宋_GB2312" w:cs="Courier New"/>
          <w:sz w:val="28"/>
          <w:szCs w:val="28"/>
        </w:rPr>
        <w:t>454.61</w:t>
      </w:r>
      <w:r>
        <w:rPr>
          <w:rFonts w:hint="eastAsia" w:ascii="仿宋_GB2312" w:hAnsi="宋体" w:eastAsia="仿宋_GB2312" w:cs="Courier New"/>
          <w:sz w:val="28"/>
          <w:szCs w:val="28"/>
        </w:rPr>
        <w:t>万元，支出总计</w:t>
      </w:r>
      <w:r>
        <w:rPr>
          <w:rFonts w:ascii="仿宋_GB2312" w:hAnsi="宋体" w:eastAsia="仿宋_GB2312" w:cs="Courier New"/>
          <w:sz w:val="28"/>
          <w:szCs w:val="28"/>
        </w:rPr>
        <w:t>454.61</w:t>
      </w:r>
      <w:r>
        <w:rPr>
          <w:rFonts w:hint="eastAsia" w:ascii="仿宋_GB2312" w:hAnsi="宋体" w:eastAsia="仿宋_GB2312" w:cs="Courier New"/>
          <w:sz w:val="28"/>
          <w:szCs w:val="28"/>
        </w:rPr>
        <w:t>万元，与</w:t>
      </w:r>
      <w:r>
        <w:rPr>
          <w:rFonts w:ascii="仿宋_GB2312" w:hAnsi="宋体" w:eastAsia="仿宋_GB2312" w:cs="Courier New"/>
          <w:sz w:val="28"/>
          <w:szCs w:val="28"/>
        </w:rPr>
        <w:t>2015</w:t>
      </w:r>
      <w:r>
        <w:rPr>
          <w:rFonts w:hint="eastAsia" w:ascii="仿宋_GB2312" w:hAnsi="宋体" w:eastAsia="仿宋_GB2312" w:cs="Courier New"/>
          <w:sz w:val="28"/>
          <w:szCs w:val="28"/>
        </w:rPr>
        <w:t>年相比，收、支总计各增加</w:t>
      </w:r>
      <w:r>
        <w:rPr>
          <w:rFonts w:ascii="仿宋_GB2312" w:hAnsi="宋体" w:eastAsia="仿宋_GB2312" w:cs="Courier New"/>
          <w:sz w:val="28"/>
          <w:szCs w:val="28"/>
        </w:rPr>
        <w:t>30.12</w:t>
      </w:r>
      <w:r>
        <w:rPr>
          <w:rFonts w:hint="eastAsia" w:ascii="仿宋_GB2312" w:hAnsi="宋体" w:eastAsia="仿宋_GB2312" w:cs="Courier New"/>
          <w:sz w:val="28"/>
          <w:szCs w:val="28"/>
        </w:rPr>
        <w:t>万元，增长</w:t>
      </w:r>
      <w:r>
        <w:rPr>
          <w:rFonts w:ascii="仿宋_GB2312" w:hAnsi="宋体" w:eastAsia="仿宋_GB2312" w:cs="Courier New"/>
          <w:sz w:val="28"/>
          <w:szCs w:val="28"/>
        </w:rPr>
        <w:t>7.10%</w:t>
      </w:r>
      <w:r>
        <w:rPr>
          <w:rFonts w:hint="eastAsia" w:ascii="仿宋_GB2312" w:hAnsi="宋体" w:eastAsia="仿宋_GB2312" w:cs="Courier New"/>
          <w:sz w:val="28"/>
          <w:szCs w:val="28"/>
        </w:rPr>
        <w:t>。</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二、收入决算情况说明</w:t>
      </w:r>
    </w:p>
    <w:p>
      <w:pPr>
        <w:adjustRightInd w:val="0"/>
        <w:snapToGrid w:val="0"/>
        <w:spacing w:line="360" w:lineRule="auto"/>
        <w:ind w:firstLine="640"/>
        <w:rPr>
          <w:rFonts w:ascii="仿宋_GB2312" w:eastAsia="仿宋_GB2312"/>
          <w:sz w:val="28"/>
          <w:szCs w:val="28"/>
        </w:rPr>
      </w:pPr>
      <w:r>
        <w:rPr>
          <w:rFonts w:hint="eastAsia" w:ascii="仿宋_GB2312" w:hAnsi="宋体" w:eastAsia="仿宋_GB2312" w:cs="Courier New"/>
          <w:sz w:val="28"/>
          <w:szCs w:val="28"/>
        </w:rPr>
        <w:t>罗山县人大办公室</w:t>
      </w:r>
      <w:r>
        <w:rPr>
          <w:rFonts w:hint="eastAsia" w:ascii="仿宋_GB2312" w:eastAsia="仿宋_GB2312"/>
          <w:sz w:val="28"/>
          <w:szCs w:val="28"/>
        </w:rPr>
        <w:t>本年收入合计</w:t>
      </w:r>
      <w:r>
        <w:rPr>
          <w:rFonts w:ascii="仿宋_GB2312" w:eastAsia="仿宋_GB2312"/>
          <w:sz w:val="28"/>
          <w:szCs w:val="28"/>
        </w:rPr>
        <w:t>454.61</w:t>
      </w:r>
      <w:r>
        <w:rPr>
          <w:rFonts w:hint="eastAsia" w:ascii="仿宋_GB2312" w:eastAsia="仿宋_GB2312"/>
          <w:sz w:val="28"/>
          <w:szCs w:val="28"/>
        </w:rPr>
        <w:t>万元，其中：财政拨款收入</w:t>
      </w:r>
      <w:r>
        <w:rPr>
          <w:rFonts w:ascii="仿宋_GB2312" w:eastAsia="仿宋_GB2312"/>
          <w:sz w:val="28"/>
          <w:szCs w:val="28"/>
        </w:rPr>
        <w:t>454.61</w:t>
      </w:r>
      <w:r>
        <w:rPr>
          <w:rFonts w:hint="eastAsia" w:ascii="仿宋_GB2312" w:eastAsia="仿宋_GB2312"/>
          <w:sz w:val="28"/>
          <w:szCs w:val="28"/>
        </w:rPr>
        <w:t>万元。</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三、支出决算情况说明</w:t>
      </w:r>
    </w:p>
    <w:p>
      <w:pPr>
        <w:adjustRightInd w:val="0"/>
        <w:snapToGrid w:val="0"/>
        <w:spacing w:line="360" w:lineRule="auto"/>
        <w:ind w:firstLine="640"/>
        <w:rPr>
          <w:rFonts w:ascii="仿宋_GB2312" w:hAnsi="宋体" w:eastAsia="仿宋_GB2312" w:cs="Courier New"/>
          <w:sz w:val="28"/>
          <w:szCs w:val="28"/>
        </w:rPr>
      </w:pPr>
      <w:r>
        <w:rPr>
          <w:rFonts w:hint="eastAsia" w:ascii="仿宋_GB2312" w:hAnsi="宋体" w:eastAsia="仿宋_GB2312" w:cs="Courier New"/>
          <w:sz w:val="28"/>
          <w:szCs w:val="28"/>
        </w:rPr>
        <w:t>罗山县人大办公室本年支出合计</w:t>
      </w:r>
      <w:r>
        <w:rPr>
          <w:rFonts w:ascii="仿宋_GB2312" w:eastAsia="仿宋_GB2312"/>
          <w:sz w:val="28"/>
          <w:szCs w:val="28"/>
        </w:rPr>
        <w:t>454.61</w:t>
      </w:r>
      <w:r>
        <w:rPr>
          <w:rFonts w:hint="eastAsia" w:ascii="仿宋_GB2312" w:hAnsi="宋体" w:eastAsia="仿宋_GB2312" w:cs="Courier New"/>
          <w:sz w:val="28"/>
          <w:szCs w:val="28"/>
        </w:rPr>
        <w:t>万元，其中：基本支出</w:t>
      </w:r>
      <w:r>
        <w:rPr>
          <w:rFonts w:ascii="仿宋_GB2312" w:eastAsia="仿宋_GB2312"/>
          <w:sz w:val="28"/>
          <w:szCs w:val="28"/>
        </w:rPr>
        <w:t>454.61</w:t>
      </w:r>
      <w:r>
        <w:rPr>
          <w:rFonts w:hint="eastAsia" w:ascii="仿宋_GB2312" w:hAnsi="宋体" w:eastAsia="仿宋_GB2312" w:cs="Courier New"/>
          <w:sz w:val="28"/>
          <w:szCs w:val="28"/>
        </w:rPr>
        <w:t>万元。</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四、财政拨款收入支出决算总体情况说明</w:t>
      </w:r>
    </w:p>
    <w:p>
      <w:pPr>
        <w:adjustRightInd w:val="0"/>
        <w:snapToGrid w:val="0"/>
        <w:spacing w:line="360" w:lineRule="auto"/>
        <w:ind w:firstLine="640"/>
        <w:rPr>
          <w:rFonts w:ascii="仿宋_GB2312" w:hAnsi="宋体" w:eastAsia="仿宋_GB2312" w:cs="Courier New"/>
          <w:sz w:val="28"/>
          <w:szCs w:val="28"/>
        </w:rPr>
      </w:pPr>
      <w:r>
        <w:rPr>
          <w:rFonts w:ascii="仿宋_GB2312" w:hAnsi="宋体" w:eastAsia="仿宋_GB2312" w:cs="Courier New"/>
          <w:sz w:val="28"/>
          <w:szCs w:val="28"/>
        </w:rPr>
        <w:t>2016</w:t>
      </w:r>
      <w:r>
        <w:rPr>
          <w:rFonts w:hint="eastAsia" w:ascii="仿宋_GB2312" w:hAnsi="宋体" w:eastAsia="仿宋_GB2312" w:cs="Courier New"/>
          <w:sz w:val="28"/>
          <w:szCs w:val="28"/>
        </w:rPr>
        <w:t>年财政拨款收支总决算</w:t>
      </w:r>
      <w:r>
        <w:rPr>
          <w:rFonts w:ascii="仿宋_GB2312" w:eastAsia="仿宋_GB2312"/>
          <w:sz w:val="28"/>
          <w:szCs w:val="28"/>
        </w:rPr>
        <w:t>454.61</w:t>
      </w:r>
      <w:r>
        <w:rPr>
          <w:rFonts w:hint="eastAsia" w:ascii="仿宋_GB2312" w:hAnsi="宋体" w:eastAsia="仿宋_GB2312" w:cs="Courier New"/>
          <w:sz w:val="28"/>
          <w:szCs w:val="28"/>
        </w:rPr>
        <w:t>万元。与</w:t>
      </w:r>
      <w:r>
        <w:rPr>
          <w:rFonts w:ascii="仿宋_GB2312" w:hAnsi="宋体" w:eastAsia="仿宋_GB2312" w:cs="Courier New"/>
          <w:sz w:val="28"/>
          <w:szCs w:val="28"/>
        </w:rPr>
        <w:t xml:space="preserve"> 2015 </w:t>
      </w:r>
      <w:r>
        <w:rPr>
          <w:rFonts w:hint="eastAsia" w:ascii="仿宋_GB2312" w:hAnsi="宋体" w:eastAsia="仿宋_GB2312" w:cs="Courier New"/>
          <w:sz w:val="28"/>
          <w:szCs w:val="28"/>
        </w:rPr>
        <w:t>年相比，财政拨款收、支总计各增加</w:t>
      </w:r>
      <w:r>
        <w:rPr>
          <w:rFonts w:ascii="仿宋_GB2312" w:hAnsi="宋体" w:eastAsia="仿宋_GB2312" w:cs="Courier New"/>
          <w:sz w:val="28"/>
          <w:szCs w:val="28"/>
        </w:rPr>
        <w:t>30.12</w:t>
      </w:r>
      <w:r>
        <w:rPr>
          <w:rFonts w:hint="eastAsia" w:ascii="仿宋_GB2312" w:hAnsi="宋体" w:eastAsia="仿宋_GB2312" w:cs="Courier New"/>
          <w:sz w:val="28"/>
          <w:szCs w:val="28"/>
        </w:rPr>
        <w:t>万元，增长</w:t>
      </w:r>
      <w:r>
        <w:rPr>
          <w:rFonts w:ascii="仿宋_GB2312" w:hAnsi="宋体" w:eastAsia="仿宋_GB2312" w:cs="Courier New"/>
          <w:sz w:val="28"/>
          <w:szCs w:val="28"/>
        </w:rPr>
        <w:t>7.10 %</w:t>
      </w:r>
      <w:r>
        <w:rPr>
          <w:rFonts w:hint="eastAsia" w:ascii="仿宋_GB2312" w:hAnsi="宋体" w:eastAsia="仿宋_GB2312" w:cs="Courier New"/>
          <w:sz w:val="28"/>
          <w:szCs w:val="28"/>
        </w:rPr>
        <w:t>。</w:t>
      </w:r>
    </w:p>
    <w:p>
      <w:pPr>
        <w:adjustRightInd w:val="0"/>
        <w:snapToGrid w:val="0"/>
        <w:spacing w:line="360" w:lineRule="auto"/>
        <w:ind w:firstLine="640"/>
        <w:rPr>
          <w:rFonts w:ascii="黑体" w:hAnsi="黑体" w:eastAsia="黑体"/>
          <w:sz w:val="28"/>
          <w:szCs w:val="28"/>
        </w:rPr>
      </w:pPr>
      <w:r>
        <w:rPr>
          <w:rFonts w:hint="eastAsia" w:ascii="黑体" w:hAnsi="黑体" w:eastAsia="黑体"/>
          <w:sz w:val="28"/>
          <w:szCs w:val="28"/>
        </w:rPr>
        <w:t>五、一般公共预算财政拨款支出决算情况说明</w:t>
      </w:r>
    </w:p>
    <w:p>
      <w:pPr>
        <w:adjustRightInd w:val="0"/>
        <w:snapToGrid w:val="0"/>
        <w:spacing w:line="360" w:lineRule="auto"/>
        <w:ind w:firstLine="640"/>
        <w:rPr>
          <w:rFonts w:ascii="仿宋_GB2312" w:hAnsi="宋体" w:eastAsia="仿宋_GB2312" w:cs="Courier New"/>
          <w:sz w:val="28"/>
          <w:szCs w:val="28"/>
        </w:rPr>
      </w:pPr>
      <w:r>
        <w:rPr>
          <w:rFonts w:hint="eastAsia" w:ascii="仿宋_GB2312" w:hAnsi="宋体" w:eastAsia="仿宋_GB2312" w:cs="Courier New"/>
          <w:sz w:val="28"/>
          <w:szCs w:val="28"/>
        </w:rPr>
        <w:t>罗山县人大办公室</w:t>
      </w:r>
      <w:r>
        <w:rPr>
          <w:rFonts w:ascii="仿宋_GB2312" w:hAnsi="宋体" w:eastAsia="仿宋_GB2312" w:cs="Courier New"/>
          <w:sz w:val="28"/>
          <w:szCs w:val="28"/>
        </w:rPr>
        <w:t>2016</w:t>
      </w:r>
      <w:r>
        <w:rPr>
          <w:rFonts w:hint="eastAsia" w:ascii="仿宋_GB2312" w:hAnsi="宋体" w:eastAsia="仿宋_GB2312" w:cs="Courier New"/>
          <w:sz w:val="28"/>
          <w:szCs w:val="28"/>
        </w:rPr>
        <w:t>年一般公共预算财政拨款支出年初预算为</w:t>
      </w:r>
      <w:r>
        <w:rPr>
          <w:rFonts w:ascii="仿宋_GB2312" w:hAnsi="宋体" w:eastAsia="仿宋_GB2312" w:cs="Courier New"/>
          <w:sz w:val="28"/>
          <w:szCs w:val="28"/>
        </w:rPr>
        <w:t>454.61</w:t>
      </w:r>
      <w:r>
        <w:rPr>
          <w:rFonts w:hint="eastAsia" w:ascii="仿宋_GB2312" w:hAnsi="宋体" w:eastAsia="仿宋_GB2312" w:cs="Courier New"/>
          <w:sz w:val="28"/>
          <w:szCs w:val="28"/>
        </w:rPr>
        <w:t>万元，支出决算为</w:t>
      </w:r>
      <w:r>
        <w:rPr>
          <w:rFonts w:ascii="仿宋_GB2312" w:hAnsi="宋体" w:eastAsia="仿宋_GB2312" w:cs="Courier New"/>
          <w:sz w:val="28"/>
          <w:szCs w:val="28"/>
        </w:rPr>
        <w:t>454.61</w:t>
      </w:r>
      <w:r>
        <w:rPr>
          <w:rFonts w:hint="eastAsia" w:ascii="仿宋_GB2312" w:hAnsi="宋体" w:eastAsia="仿宋_GB2312" w:cs="Courier New"/>
          <w:sz w:val="28"/>
          <w:szCs w:val="28"/>
        </w:rPr>
        <w:t>万元，完成年初预算的</w:t>
      </w:r>
      <w:r>
        <w:rPr>
          <w:rFonts w:ascii="仿宋_GB2312" w:hAnsi="宋体" w:eastAsia="仿宋_GB2312" w:cs="Courier New"/>
          <w:sz w:val="28"/>
          <w:szCs w:val="28"/>
        </w:rPr>
        <w:t>100%</w:t>
      </w:r>
      <w:r>
        <w:rPr>
          <w:rFonts w:hint="eastAsia" w:ascii="仿宋_GB2312" w:hAnsi="宋体" w:eastAsia="仿宋_GB2312" w:cs="Courier New"/>
          <w:sz w:val="28"/>
          <w:szCs w:val="28"/>
        </w:rPr>
        <w:t>。主要用于以下方面：一般公共服务（类）支出</w:t>
      </w:r>
      <w:r>
        <w:rPr>
          <w:rFonts w:ascii="仿宋_GB2312" w:hAnsi="宋体" w:eastAsia="仿宋_GB2312" w:cs="Courier New"/>
          <w:sz w:val="28"/>
          <w:szCs w:val="28"/>
        </w:rPr>
        <w:t>454.61</w:t>
      </w:r>
      <w:r>
        <w:rPr>
          <w:rFonts w:hint="eastAsia" w:ascii="仿宋_GB2312" w:hAnsi="宋体" w:eastAsia="仿宋_GB2312" w:cs="Courier New"/>
          <w:sz w:val="28"/>
          <w:szCs w:val="28"/>
        </w:rPr>
        <w:t>万元，占</w:t>
      </w:r>
      <w:r>
        <w:rPr>
          <w:rFonts w:ascii="仿宋_GB2312" w:hAnsi="宋体" w:eastAsia="仿宋_GB2312" w:cs="Courier New"/>
          <w:sz w:val="28"/>
          <w:szCs w:val="28"/>
        </w:rPr>
        <w:t>100%</w:t>
      </w:r>
      <w:r>
        <w:rPr>
          <w:rFonts w:hint="eastAsia" w:ascii="仿宋_GB2312" w:hAnsi="宋体" w:eastAsia="仿宋_GB2312" w:cs="Courier New"/>
          <w:sz w:val="28"/>
          <w:szCs w:val="28"/>
        </w:rPr>
        <w:t>。</w:t>
      </w:r>
    </w:p>
    <w:p>
      <w:pPr>
        <w:pStyle w:val="2"/>
        <w:kinsoku w:val="0"/>
        <w:overflowPunct w:val="0"/>
        <w:snapToGrid w:val="0"/>
        <w:spacing w:line="360" w:lineRule="auto"/>
        <w:ind w:left="0" w:firstLine="560" w:firstLineChars="200"/>
        <w:rPr>
          <w:rFonts w:ascii="黑体" w:eastAsia="黑体" w:cs="黑体"/>
          <w:sz w:val="28"/>
          <w:szCs w:val="28"/>
        </w:rPr>
      </w:pPr>
      <w:r>
        <w:rPr>
          <w:rFonts w:hint="eastAsia" w:ascii="黑体" w:eastAsia="黑体" w:cs="黑体"/>
          <w:sz w:val="28"/>
          <w:szCs w:val="28"/>
        </w:rPr>
        <w:t>六、一般公共预算财政拨款基本支出决算情况说明</w:t>
      </w:r>
    </w:p>
    <w:p>
      <w:pPr>
        <w:pStyle w:val="2"/>
        <w:kinsoku w:val="0"/>
        <w:overflowPunct w:val="0"/>
        <w:snapToGrid w:val="0"/>
        <w:spacing w:line="360" w:lineRule="auto"/>
        <w:ind w:left="121" w:right="118" w:firstLine="360"/>
        <w:jc w:val="both"/>
        <w:rPr>
          <w:rFonts w:hAnsi="宋体" w:cs="Courier New"/>
          <w:kern w:val="2"/>
          <w:sz w:val="28"/>
          <w:szCs w:val="28"/>
        </w:rPr>
      </w:pPr>
      <w:r>
        <w:rPr>
          <w:rFonts w:hint="eastAsia" w:hAnsi="宋体" w:cs="Courier New"/>
          <w:sz w:val="28"/>
          <w:szCs w:val="28"/>
        </w:rPr>
        <w:t>罗山县人大办公室</w:t>
      </w:r>
      <w:r>
        <w:rPr>
          <w:rFonts w:hAnsi="宋体" w:cs="Courier New"/>
          <w:kern w:val="2"/>
          <w:sz w:val="28"/>
          <w:szCs w:val="28"/>
        </w:rPr>
        <w:t>2016</w:t>
      </w:r>
      <w:r>
        <w:rPr>
          <w:rFonts w:hint="eastAsia" w:hAnsi="宋体" w:cs="Courier New"/>
          <w:kern w:val="2"/>
          <w:sz w:val="28"/>
          <w:szCs w:val="28"/>
        </w:rPr>
        <w:t>年一般公共预算财政拨款基本支出</w:t>
      </w:r>
      <w:r>
        <w:rPr>
          <w:rFonts w:hAnsi="宋体" w:cs="Courier New"/>
          <w:kern w:val="2"/>
          <w:sz w:val="28"/>
          <w:szCs w:val="28"/>
        </w:rPr>
        <w:t>454.61</w:t>
      </w:r>
      <w:r>
        <w:rPr>
          <w:rFonts w:hint="eastAsia" w:hAnsi="宋体" w:cs="Courier New"/>
          <w:kern w:val="2"/>
          <w:sz w:val="28"/>
          <w:szCs w:val="28"/>
        </w:rPr>
        <w:t>万元，其中：</w:t>
      </w:r>
      <w:r>
        <w:rPr>
          <w:rFonts w:hint="eastAsia"/>
          <w:b/>
          <w:spacing w:val="-1"/>
          <w:sz w:val="28"/>
          <w:szCs w:val="28"/>
        </w:rPr>
        <w:t>人员经费</w:t>
      </w:r>
      <w:r>
        <w:rPr>
          <w:spacing w:val="-1"/>
          <w:sz w:val="28"/>
          <w:szCs w:val="28"/>
        </w:rPr>
        <w:t>174.79</w:t>
      </w:r>
      <w:r>
        <w:rPr>
          <w:rFonts w:hint="eastAsia" w:hAnsi="宋体" w:cs="Courier New"/>
          <w:kern w:val="2"/>
          <w:sz w:val="28"/>
          <w:szCs w:val="28"/>
        </w:rPr>
        <w:t>万元，主要包括：基本工资、津贴补贴、</w:t>
      </w:r>
      <w:r>
        <w:rPr>
          <w:rFonts w:hAnsi="宋体" w:cs="Courier New"/>
          <w:kern w:val="2"/>
          <w:sz w:val="28"/>
          <w:szCs w:val="28"/>
        </w:rPr>
        <w:t xml:space="preserve"> </w:t>
      </w:r>
      <w:r>
        <w:rPr>
          <w:rFonts w:hint="eastAsia" w:hAnsi="宋体" w:cs="Courier New"/>
          <w:kern w:val="2"/>
          <w:sz w:val="28"/>
          <w:szCs w:val="28"/>
        </w:rPr>
        <w:t>奖金、社会保障缴费、其他工资福利</w:t>
      </w:r>
      <w:r>
        <w:rPr>
          <w:rFonts w:hAnsi="宋体" w:cs="Courier New"/>
          <w:kern w:val="2"/>
          <w:sz w:val="28"/>
          <w:szCs w:val="28"/>
        </w:rPr>
        <w:t xml:space="preserve"> </w:t>
      </w:r>
      <w:r>
        <w:rPr>
          <w:rFonts w:hint="eastAsia" w:hAnsi="宋体" w:cs="Courier New"/>
          <w:kern w:val="2"/>
          <w:sz w:val="28"/>
          <w:szCs w:val="28"/>
        </w:rPr>
        <w:t>支出、离休费、退休费、住房公积金、提租补贴、购房补贴、</w:t>
      </w:r>
      <w:r>
        <w:rPr>
          <w:rFonts w:hAnsi="宋体" w:cs="Courier New"/>
          <w:kern w:val="2"/>
          <w:sz w:val="28"/>
          <w:szCs w:val="28"/>
        </w:rPr>
        <w:t xml:space="preserve"> </w:t>
      </w:r>
      <w:r>
        <w:rPr>
          <w:rFonts w:hint="eastAsia" w:hAnsi="宋体" w:cs="Courier New"/>
          <w:kern w:val="2"/>
          <w:sz w:val="28"/>
          <w:szCs w:val="28"/>
        </w:rPr>
        <w:t>其他对个人和家庭的补助支出；</w:t>
      </w:r>
      <w:r>
        <w:rPr>
          <w:rFonts w:hint="eastAsia"/>
          <w:b/>
          <w:spacing w:val="-1"/>
          <w:sz w:val="28"/>
          <w:szCs w:val="28"/>
        </w:rPr>
        <w:t>公用经费</w:t>
      </w:r>
      <w:r>
        <w:rPr>
          <w:spacing w:val="-2"/>
          <w:sz w:val="28"/>
          <w:szCs w:val="28"/>
        </w:rPr>
        <w:t>177.32</w:t>
      </w:r>
      <w:r>
        <w:rPr>
          <w:rFonts w:hint="eastAsia" w:hAnsi="宋体" w:cs="Courier New"/>
          <w:kern w:val="2"/>
          <w:sz w:val="28"/>
          <w:szCs w:val="28"/>
        </w:rPr>
        <w:t>万元，主要包括：办公费、印刷费、邮电费、取暖费、物业管理费、差旅费、维</w:t>
      </w:r>
      <w:r>
        <w:rPr>
          <w:rFonts w:hAnsi="宋体" w:cs="Courier New"/>
          <w:kern w:val="2"/>
          <w:sz w:val="28"/>
          <w:szCs w:val="28"/>
        </w:rPr>
        <w:t xml:space="preserve"> </w:t>
      </w:r>
      <w:r>
        <w:rPr>
          <w:rFonts w:hint="eastAsia" w:hAnsi="宋体" w:cs="Courier New"/>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int="eastAsia" w:hAnsi="宋体" w:cs="Courier New"/>
          <w:kern w:val="2"/>
          <w:sz w:val="28"/>
          <w:szCs w:val="28"/>
        </w:rPr>
        <w:t>行维护费、其他交通费用、其他商品和服务</w:t>
      </w:r>
      <w:r>
        <w:rPr>
          <w:rFonts w:hAnsi="宋体" w:cs="Courier New"/>
          <w:kern w:val="2"/>
          <w:sz w:val="28"/>
          <w:szCs w:val="28"/>
        </w:rPr>
        <w:t xml:space="preserve"> </w:t>
      </w:r>
      <w:r>
        <w:rPr>
          <w:rFonts w:hint="eastAsia" w:hAnsi="宋体" w:cs="Courier New"/>
          <w:kern w:val="2"/>
          <w:sz w:val="28"/>
          <w:szCs w:val="28"/>
        </w:rPr>
        <w:t>支出、办公设备购置、专用设备购置、信息网络及软件购置更新、其他资本性支出。</w:t>
      </w:r>
    </w:p>
    <w:p>
      <w:pPr>
        <w:pStyle w:val="2"/>
        <w:kinsoku w:val="0"/>
        <w:overflowPunct w:val="0"/>
        <w:snapToGrid w:val="0"/>
        <w:spacing w:line="360" w:lineRule="auto"/>
        <w:ind w:left="0" w:firstLine="560" w:firstLineChars="200"/>
        <w:jc w:val="both"/>
        <w:rPr>
          <w:rFonts w:ascii="黑体" w:eastAsia="黑体" w:cs="黑体"/>
          <w:sz w:val="28"/>
          <w:szCs w:val="28"/>
        </w:rPr>
      </w:pPr>
      <w:r>
        <w:rPr>
          <w:rFonts w:hint="eastAsia" w:ascii="黑体" w:eastAsia="黑体" w:cs="黑体"/>
          <w:sz w:val="28"/>
          <w:szCs w:val="28"/>
        </w:rPr>
        <w:t>七、一般公共预算财政拨款“三公”经费支出决算情况说明</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kern w:val="2"/>
          <w:sz w:val="28"/>
          <w:szCs w:val="28"/>
        </w:rPr>
        <w:t>罗山县人大办公室</w:t>
      </w:r>
      <w:r>
        <w:rPr>
          <w:rFonts w:hAnsi="宋体" w:cs="Courier New"/>
          <w:kern w:val="2"/>
          <w:sz w:val="28"/>
          <w:szCs w:val="28"/>
        </w:rPr>
        <w:t xml:space="preserve">2016 </w:t>
      </w:r>
      <w:r>
        <w:rPr>
          <w:rFonts w:hint="eastAsia" w:hAnsi="宋体" w:cs="Courier New"/>
          <w:kern w:val="2"/>
          <w:sz w:val="28"/>
          <w:szCs w:val="28"/>
        </w:rPr>
        <w:t>年“三公”经费财政拨款支出预算为</w:t>
      </w:r>
      <w:r>
        <w:rPr>
          <w:rFonts w:hAnsi="宋体" w:cs="Courier New"/>
          <w:kern w:val="2"/>
          <w:sz w:val="28"/>
          <w:szCs w:val="28"/>
        </w:rPr>
        <w:t>0</w:t>
      </w:r>
      <w:r>
        <w:rPr>
          <w:rFonts w:hint="eastAsia" w:hAnsi="宋体" w:cs="Courier New"/>
          <w:kern w:val="2"/>
          <w:sz w:val="28"/>
          <w:szCs w:val="28"/>
        </w:rPr>
        <w:t>万元，支出决算为</w:t>
      </w:r>
      <w:r>
        <w:rPr>
          <w:rFonts w:hAnsi="宋体" w:cs="Courier New"/>
          <w:kern w:val="2"/>
          <w:sz w:val="28"/>
          <w:szCs w:val="28"/>
        </w:rPr>
        <w:t>28</w:t>
      </w:r>
      <w:r>
        <w:rPr>
          <w:rFonts w:hint="eastAsia" w:hAnsi="宋体" w:cs="Courier New"/>
          <w:kern w:val="2"/>
          <w:sz w:val="28"/>
          <w:szCs w:val="28"/>
        </w:rPr>
        <w:t>万元。</w:t>
      </w:r>
    </w:p>
    <w:p>
      <w:pPr>
        <w:pStyle w:val="2"/>
        <w:kinsoku w:val="0"/>
        <w:overflowPunct w:val="0"/>
        <w:snapToGrid w:val="0"/>
        <w:spacing w:line="360" w:lineRule="auto"/>
        <w:ind w:left="0" w:firstLine="558" w:firstLineChars="200"/>
        <w:jc w:val="both"/>
        <w:rPr>
          <w:rFonts w:hAnsi="宋体" w:cs="Courier New"/>
          <w:kern w:val="2"/>
          <w:sz w:val="28"/>
          <w:szCs w:val="28"/>
        </w:rPr>
      </w:pPr>
      <w:r>
        <w:rPr>
          <w:rFonts w:hint="eastAsia" w:ascii="楷体_GB2312" w:eastAsia="楷体_GB2312"/>
          <w:b/>
          <w:spacing w:val="-1"/>
          <w:sz w:val="28"/>
          <w:szCs w:val="28"/>
        </w:rPr>
        <w:t>（一）因公出国（境）费</w:t>
      </w:r>
      <w:r>
        <w:rPr>
          <w:spacing w:val="-1"/>
          <w:sz w:val="28"/>
          <w:szCs w:val="28"/>
        </w:rPr>
        <w:t xml:space="preserve">  0</w:t>
      </w:r>
      <w:r>
        <w:rPr>
          <w:rFonts w:hint="eastAsia"/>
          <w:spacing w:val="-1"/>
          <w:sz w:val="28"/>
          <w:szCs w:val="28"/>
        </w:rPr>
        <w:t>万元</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Ansi="宋体" w:cs="Courier New"/>
          <w:kern w:val="2"/>
          <w:sz w:val="28"/>
          <w:szCs w:val="28"/>
        </w:rPr>
        <w:t>2016</w:t>
      </w:r>
      <w:r>
        <w:rPr>
          <w:rFonts w:hint="eastAsia" w:hAnsi="宋体" w:cs="Courier New"/>
          <w:kern w:val="2"/>
          <w:sz w:val="28"/>
          <w:szCs w:val="28"/>
        </w:rPr>
        <w:t>年及</w:t>
      </w:r>
      <w:r>
        <w:rPr>
          <w:rFonts w:hAnsi="宋体" w:cs="Courier New"/>
          <w:kern w:val="2"/>
          <w:sz w:val="28"/>
          <w:szCs w:val="28"/>
        </w:rPr>
        <w:t>2015</w:t>
      </w:r>
      <w:r>
        <w:rPr>
          <w:rFonts w:hint="eastAsia" w:hAnsi="宋体" w:cs="Courier New"/>
          <w:kern w:val="2"/>
          <w:sz w:val="28"/>
          <w:szCs w:val="28"/>
        </w:rPr>
        <w:t>年本单位没有因公出国（境）人员。</w:t>
      </w:r>
    </w:p>
    <w:p>
      <w:pPr>
        <w:pStyle w:val="2"/>
        <w:kinsoku w:val="0"/>
        <w:overflowPunct w:val="0"/>
        <w:snapToGrid w:val="0"/>
        <w:spacing w:line="360" w:lineRule="auto"/>
        <w:ind w:left="0" w:firstLine="558" w:firstLineChars="200"/>
        <w:jc w:val="both"/>
        <w:rPr>
          <w:rFonts w:hAnsi="宋体" w:cs="Courier New"/>
          <w:kern w:val="2"/>
          <w:sz w:val="28"/>
          <w:szCs w:val="28"/>
        </w:rPr>
      </w:pPr>
      <w:r>
        <w:rPr>
          <w:rFonts w:hint="eastAsia" w:ascii="楷体_GB2312" w:eastAsia="楷体_GB2312"/>
          <w:b/>
          <w:spacing w:val="-1"/>
          <w:sz w:val="28"/>
          <w:szCs w:val="28"/>
        </w:rPr>
        <w:t>（二）公务用车购置及运行费</w:t>
      </w:r>
      <w:r>
        <w:rPr>
          <w:sz w:val="28"/>
          <w:szCs w:val="28"/>
        </w:rPr>
        <w:t xml:space="preserve"> 28</w:t>
      </w:r>
      <w:r>
        <w:rPr>
          <w:rFonts w:hint="eastAsia"/>
          <w:sz w:val="28"/>
          <w:szCs w:val="28"/>
        </w:rPr>
        <w:t>万</w:t>
      </w:r>
      <w:r>
        <w:rPr>
          <w:rFonts w:hint="eastAsia" w:hAnsi="宋体" w:cs="Courier New"/>
          <w:kern w:val="2"/>
          <w:sz w:val="28"/>
          <w:szCs w:val="28"/>
        </w:rPr>
        <w:t>元，公务用车运行维护费</w:t>
      </w:r>
      <w:r>
        <w:rPr>
          <w:rFonts w:hAnsi="宋体" w:cs="Courier New"/>
          <w:kern w:val="2"/>
          <w:sz w:val="28"/>
          <w:szCs w:val="28"/>
        </w:rPr>
        <w:t>28</w:t>
      </w:r>
      <w:r>
        <w:rPr>
          <w:rFonts w:hint="eastAsia" w:hAnsi="宋体" w:cs="Courier New"/>
          <w:kern w:val="2"/>
          <w:sz w:val="28"/>
          <w:szCs w:val="28"/>
        </w:rPr>
        <w:t>万元，主要用于开展工作所需公务用车的燃料费、维修费、过路过桥费、保险费、安全奖励费用等支出。</w:t>
      </w:r>
    </w:p>
    <w:p>
      <w:pPr>
        <w:pStyle w:val="2"/>
        <w:kinsoku w:val="0"/>
        <w:overflowPunct w:val="0"/>
        <w:snapToGrid w:val="0"/>
        <w:spacing w:line="360" w:lineRule="auto"/>
        <w:ind w:left="0" w:firstLine="558" w:firstLineChars="200"/>
        <w:jc w:val="both"/>
        <w:rPr>
          <w:rFonts w:hAnsi="宋体" w:cs="Courier New"/>
          <w:kern w:val="2"/>
          <w:sz w:val="28"/>
          <w:szCs w:val="28"/>
        </w:rPr>
      </w:pPr>
      <w:r>
        <w:rPr>
          <w:rFonts w:hint="eastAsia" w:ascii="楷体_GB2312" w:eastAsia="楷体_GB2312"/>
          <w:b/>
          <w:spacing w:val="-1"/>
          <w:sz w:val="28"/>
          <w:szCs w:val="28"/>
        </w:rPr>
        <w:t>（三）公务接待费</w:t>
      </w:r>
      <w:r>
        <w:rPr>
          <w:sz w:val="28"/>
          <w:szCs w:val="28"/>
        </w:rPr>
        <w:t xml:space="preserve"> 0</w:t>
      </w:r>
      <w:r>
        <w:rPr>
          <w:rFonts w:hint="eastAsia" w:hAnsi="宋体" w:cs="Courier New"/>
          <w:kern w:val="2"/>
          <w:sz w:val="28"/>
          <w:szCs w:val="28"/>
        </w:rPr>
        <w:t>万元。</w:t>
      </w:r>
    </w:p>
    <w:p>
      <w:pPr>
        <w:pStyle w:val="2"/>
        <w:kinsoku w:val="0"/>
        <w:overflowPunct w:val="0"/>
        <w:snapToGrid w:val="0"/>
        <w:spacing w:line="360" w:lineRule="auto"/>
        <w:ind w:left="0" w:firstLine="560" w:firstLineChars="200"/>
        <w:jc w:val="both"/>
        <w:rPr>
          <w:rFonts w:ascii="黑体" w:eastAsia="黑体" w:cs="黑体"/>
          <w:sz w:val="28"/>
          <w:szCs w:val="28"/>
        </w:rPr>
      </w:pPr>
      <w:r>
        <w:rPr>
          <w:rFonts w:hint="eastAsia" w:ascii="黑体" w:eastAsia="黑体" w:cs="黑体"/>
          <w:sz w:val="28"/>
          <w:szCs w:val="28"/>
        </w:rPr>
        <w:t>八、政府性基金预算财政拨款支出决算情况说明</w:t>
      </w:r>
    </w:p>
    <w:p>
      <w:pPr>
        <w:pStyle w:val="2"/>
        <w:kinsoku w:val="0"/>
        <w:overflowPunct w:val="0"/>
        <w:snapToGrid w:val="0"/>
        <w:spacing w:line="360" w:lineRule="auto"/>
        <w:ind w:left="0" w:firstLine="560" w:firstLineChars="200"/>
        <w:jc w:val="both"/>
        <w:rPr>
          <w:rFonts w:hAnsi="宋体" w:cs="Courier New"/>
          <w:kern w:val="2"/>
          <w:sz w:val="28"/>
          <w:szCs w:val="28"/>
        </w:rPr>
      </w:pPr>
      <w:r>
        <w:rPr>
          <w:rFonts w:hint="eastAsia" w:hAnsi="宋体" w:cs="Courier New"/>
          <w:sz w:val="28"/>
          <w:szCs w:val="28"/>
        </w:rPr>
        <w:t>罗山县人大办公室</w:t>
      </w:r>
      <w:r>
        <w:rPr>
          <w:rFonts w:hAnsi="宋体" w:cs="Courier New"/>
          <w:kern w:val="2"/>
          <w:sz w:val="28"/>
          <w:szCs w:val="28"/>
        </w:rPr>
        <w:t>2016</w:t>
      </w:r>
      <w:r>
        <w:rPr>
          <w:rFonts w:hint="eastAsia" w:hAnsi="宋体" w:cs="Courier New"/>
          <w:kern w:val="2"/>
          <w:sz w:val="28"/>
          <w:szCs w:val="28"/>
        </w:rPr>
        <w:t>年府性基金预算财政拨款支出年初预算为</w:t>
      </w:r>
      <w:r>
        <w:rPr>
          <w:rFonts w:hAnsi="宋体" w:cs="Courier New"/>
          <w:kern w:val="2"/>
          <w:sz w:val="28"/>
          <w:szCs w:val="28"/>
        </w:rPr>
        <w:t>0</w:t>
      </w:r>
      <w:r>
        <w:rPr>
          <w:rFonts w:hint="eastAsia" w:hAnsi="宋体" w:cs="Courier New"/>
          <w:kern w:val="2"/>
          <w:sz w:val="28"/>
          <w:szCs w:val="28"/>
        </w:rPr>
        <w:t>万元，支出决算为</w:t>
      </w:r>
      <w:r>
        <w:rPr>
          <w:rFonts w:hAnsi="宋体" w:cs="Courier New"/>
          <w:kern w:val="2"/>
          <w:sz w:val="28"/>
          <w:szCs w:val="28"/>
        </w:rPr>
        <w:t>0</w:t>
      </w:r>
      <w:r>
        <w:rPr>
          <w:rFonts w:hint="eastAsia" w:hAnsi="宋体" w:cs="Courier New"/>
          <w:kern w:val="2"/>
          <w:sz w:val="28"/>
          <w:szCs w:val="28"/>
        </w:rPr>
        <w:t>万元。</w:t>
      </w:r>
    </w:p>
    <w:p>
      <w:pPr>
        <w:pStyle w:val="2"/>
        <w:kinsoku w:val="0"/>
        <w:overflowPunct w:val="0"/>
        <w:snapToGrid w:val="0"/>
        <w:spacing w:line="360" w:lineRule="auto"/>
        <w:ind w:left="0" w:firstLine="616" w:firstLineChars="200"/>
        <w:jc w:val="both"/>
        <w:rPr>
          <w:rFonts w:ascii="黑体" w:eastAsia="黑体"/>
          <w:color w:val="000000"/>
          <w:spacing w:val="-1"/>
          <w:sz w:val="31"/>
          <w:szCs w:val="31"/>
          <w:shd w:val="clear" w:color="auto" w:fill="FFFFFF"/>
        </w:rPr>
      </w:pPr>
      <w:r>
        <w:rPr>
          <w:rFonts w:hint="eastAsia" w:ascii="黑体" w:eastAsia="黑体"/>
          <w:color w:val="000000"/>
          <w:spacing w:val="-1"/>
          <w:sz w:val="31"/>
          <w:szCs w:val="31"/>
          <w:shd w:val="clear" w:color="auto" w:fill="FFFFFF"/>
        </w:rPr>
        <w:t>九、其他重要事项的情况说明</w:t>
      </w:r>
    </w:p>
    <w:p>
      <w:pPr>
        <w:pStyle w:val="2"/>
        <w:kinsoku w:val="0"/>
        <w:overflowPunct w:val="0"/>
        <w:snapToGrid w:val="0"/>
        <w:spacing w:line="360" w:lineRule="auto"/>
        <w:ind w:left="0" w:firstLine="551" w:firstLineChars="196"/>
        <w:rPr>
          <w:rFonts w:hAnsi="宋体" w:cs="Courier New"/>
          <w:b/>
          <w:bCs/>
          <w:sz w:val="28"/>
          <w:szCs w:val="28"/>
        </w:rPr>
      </w:pPr>
      <w:r>
        <w:rPr>
          <w:rFonts w:hint="eastAsia" w:hAnsi="宋体" w:cs="Courier New"/>
          <w:b/>
          <w:bCs/>
          <w:sz w:val="28"/>
          <w:szCs w:val="28"/>
        </w:rPr>
        <w:t>（一）政府采购执行情况说明</w:t>
      </w:r>
    </w:p>
    <w:p>
      <w:pPr>
        <w:pStyle w:val="2"/>
        <w:kinsoku w:val="0"/>
        <w:overflowPunct w:val="0"/>
        <w:snapToGrid w:val="0"/>
        <w:spacing w:line="360" w:lineRule="auto"/>
        <w:ind w:left="0" w:firstLine="560" w:firstLineChars="200"/>
        <w:rPr>
          <w:rFonts w:hAnsi="宋体" w:cs="Courier New"/>
          <w:sz w:val="28"/>
          <w:szCs w:val="28"/>
        </w:rPr>
      </w:pPr>
      <w:r>
        <w:rPr>
          <w:rFonts w:hint="eastAsia" w:hAnsi="宋体" w:cs="Courier New"/>
          <w:sz w:val="28"/>
          <w:szCs w:val="28"/>
        </w:rPr>
        <w:t>罗山县人大办公室</w:t>
      </w:r>
      <w:r>
        <w:rPr>
          <w:rFonts w:hAnsi="宋体" w:cs="Courier New"/>
          <w:sz w:val="28"/>
          <w:szCs w:val="28"/>
        </w:rPr>
        <w:t>2016</w:t>
      </w:r>
      <w:r>
        <w:rPr>
          <w:rFonts w:hint="eastAsia" w:hAnsi="宋体" w:cs="Courier New"/>
          <w:sz w:val="28"/>
          <w:szCs w:val="28"/>
        </w:rPr>
        <w:t>年政府采购支出总额</w:t>
      </w:r>
      <w:r>
        <w:rPr>
          <w:rFonts w:hAnsi="宋体" w:cs="Courier New"/>
          <w:sz w:val="28"/>
          <w:szCs w:val="28"/>
        </w:rPr>
        <w:t>1.7</w:t>
      </w:r>
      <w:r>
        <w:rPr>
          <w:rFonts w:hint="eastAsia" w:hAnsi="宋体" w:cs="Courier New"/>
          <w:sz w:val="28"/>
          <w:szCs w:val="28"/>
        </w:rPr>
        <w:t>万元，主要是办公用品采购。</w:t>
      </w:r>
    </w:p>
    <w:p>
      <w:pPr>
        <w:pStyle w:val="2"/>
        <w:kinsoku w:val="0"/>
        <w:overflowPunct w:val="0"/>
        <w:snapToGrid w:val="0"/>
        <w:spacing w:line="360" w:lineRule="auto"/>
        <w:ind w:left="0" w:firstLine="562" w:firstLineChars="200"/>
        <w:rPr>
          <w:rFonts w:hAnsi="宋体" w:cs="Courier New"/>
          <w:sz w:val="28"/>
          <w:szCs w:val="28"/>
        </w:rPr>
      </w:pPr>
      <w:r>
        <w:rPr>
          <w:rFonts w:hint="eastAsia" w:hAnsi="宋体" w:cs="Courier New"/>
          <w:b/>
          <w:bCs/>
          <w:sz w:val="28"/>
          <w:szCs w:val="28"/>
        </w:rPr>
        <w:t>（二）“三公”经费增减变化原因等说明信息</w:t>
      </w:r>
    </w:p>
    <w:p>
      <w:pPr>
        <w:pStyle w:val="2"/>
        <w:kinsoku w:val="0"/>
        <w:overflowPunct w:val="0"/>
        <w:snapToGrid w:val="0"/>
        <w:spacing w:line="360" w:lineRule="auto"/>
        <w:ind w:left="0" w:firstLine="560" w:firstLineChars="200"/>
        <w:rPr>
          <w:rFonts w:hAnsi="宋体" w:cs="Courier New"/>
          <w:sz w:val="28"/>
          <w:szCs w:val="28"/>
        </w:rPr>
      </w:pPr>
      <w:r>
        <w:rPr>
          <w:rFonts w:hint="eastAsia" w:hAnsi="宋体" w:cs="Courier New"/>
          <w:sz w:val="28"/>
          <w:szCs w:val="28"/>
        </w:rPr>
        <w:t>罗山县人大办公室</w:t>
      </w:r>
      <w:r>
        <w:rPr>
          <w:rFonts w:hAnsi="宋体" w:cs="Courier New"/>
          <w:sz w:val="28"/>
          <w:szCs w:val="28"/>
        </w:rPr>
        <w:t>2016 </w:t>
      </w:r>
      <w:r>
        <w:rPr>
          <w:rFonts w:hint="eastAsia" w:hAnsi="宋体" w:cs="Courier New"/>
          <w:sz w:val="28"/>
          <w:szCs w:val="28"/>
        </w:rPr>
        <w:t>年“三公”经费财政拨款支出预算为</w:t>
      </w:r>
      <w:r>
        <w:rPr>
          <w:rFonts w:hAnsi="宋体" w:cs="Courier New"/>
          <w:sz w:val="28"/>
          <w:szCs w:val="28"/>
        </w:rPr>
        <w:t>0</w:t>
      </w:r>
      <w:r>
        <w:rPr>
          <w:rFonts w:hint="eastAsia" w:hAnsi="宋体" w:cs="Courier New"/>
          <w:sz w:val="28"/>
          <w:szCs w:val="28"/>
        </w:rPr>
        <w:t>万元，支出决算为</w:t>
      </w:r>
      <w:r>
        <w:rPr>
          <w:rFonts w:hAnsi="宋体" w:cs="Courier New"/>
          <w:sz w:val="28"/>
          <w:szCs w:val="28"/>
        </w:rPr>
        <w:t>28</w:t>
      </w:r>
      <w:r>
        <w:rPr>
          <w:rFonts w:hint="eastAsia" w:hAnsi="宋体" w:cs="Courier New"/>
          <w:sz w:val="28"/>
          <w:szCs w:val="28"/>
        </w:rPr>
        <w:t>万元，全部为公务用车运行维护费用。主要原因：由于车改政策，年初没有对车辆维护运行作预算安排。</w:t>
      </w:r>
    </w:p>
    <w:p>
      <w:pPr>
        <w:pStyle w:val="2"/>
        <w:kinsoku w:val="0"/>
        <w:overflowPunct w:val="0"/>
        <w:snapToGrid w:val="0"/>
        <w:spacing w:line="360" w:lineRule="auto"/>
        <w:rPr>
          <w:rFonts w:hAnsi="宋体" w:cs="Courier New"/>
          <w:b/>
          <w:bCs/>
          <w:sz w:val="28"/>
          <w:szCs w:val="28"/>
        </w:rPr>
      </w:pPr>
      <w:r>
        <w:rPr>
          <w:rFonts w:hint="eastAsia" w:hAnsi="宋体" w:cs="Courier New"/>
          <w:b/>
          <w:bCs/>
          <w:sz w:val="28"/>
          <w:szCs w:val="28"/>
        </w:rPr>
        <w:t>（三）公务用车购置数及保有量</w:t>
      </w:r>
    </w:p>
    <w:p>
      <w:pPr>
        <w:pStyle w:val="2"/>
        <w:kinsoku w:val="0"/>
        <w:overflowPunct w:val="0"/>
        <w:snapToGrid w:val="0"/>
        <w:spacing w:line="360" w:lineRule="auto"/>
        <w:ind w:left="0" w:firstLine="560" w:firstLineChars="200"/>
        <w:rPr>
          <w:rFonts w:hAnsi="宋体" w:cs="Courier New"/>
          <w:sz w:val="28"/>
          <w:szCs w:val="28"/>
        </w:rPr>
      </w:pPr>
      <w:r>
        <w:rPr>
          <w:rFonts w:hAnsi="宋体" w:cs="Courier New"/>
          <w:sz w:val="28"/>
          <w:szCs w:val="28"/>
        </w:rPr>
        <w:t>2016</w:t>
      </w:r>
      <w:r>
        <w:rPr>
          <w:rFonts w:hint="eastAsia" w:hAnsi="宋体" w:cs="Courier New"/>
          <w:sz w:val="28"/>
          <w:szCs w:val="28"/>
        </w:rPr>
        <w:t>年我单位没有购置公务用车，截至</w:t>
      </w:r>
      <w:r>
        <w:rPr>
          <w:rFonts w:hAnsi="宋体" w:cs="Courier New"/>
          <w:sz w:val="28"/>
          <w:szCs w:val="28"/>
        </w:rPr>
        <w:t> 2016 </w:t>
      </w:r>
      <w:r>
        <w:rPr>
          <w:rFonts w:hint="eastAsia" w:hAnsi="宋体" w:cs="Courier New"/>
          <w:sz w:val="28"/>
          <w:szCs w:val="28"/>
        </w:rPr>
        <w:t>年</w:t>
      </w:r>
      <w:r>
        <w:rPr>
          <w:rFonts w:hAnsi="宋体" w:cs="Courier New"/>
          <w:sz w:val="28"/>
          <w:szCs w:val="28"/>
        </w:rPr>
        <w:t> 12 </w:t>
      </w:r>
      <w:r>
        <w:rPr>
          <w:rFonts w:hint="eastAsia" w:hAnsi="宋体" w:cs="Courier New"/>
          <w:sz w:val="28"/>
          <w:szCs w:val="28"/>
        </w:rPr>
        <w:t>月</w:t>
      </w:r>
      <w:r>
        <w:rPr>
          <w:rFonts w:hAnsi="宋体" w:cs="Courier New"/>
          <w:sz w:val="28"/>
          <w:szCs w:val="28"/>
        </w:rPr>
        <w:t> 31 </w:t>
      </w:r>
      <w:r>
        <w:rPr>
          <w:rFonts w:hint="eastAsia" w:hAnsi="宋体" w:cs="Courier New"/>
          <w:sz w:val="28"/>
          <w:szCs w:val="28"/>
        </w:rPr>
        <w:t>日，罗山县人大办公室有一般公务用车</w:t>
      </w:r>
      <w:r>
        <w:rPr>
          <w:rFonts w:hAnsi="宋体" w:cs="Courier New"/>
          <w:sz w:val="28"/>
          <w:szCs w:val="28"/>
        </w:rPr>
        <w:t>6</w:t>
      </w:r>
      <w:r>
        <w:rPr>
          <w:rFonts w:hint="eastAsia" w:hAnsi="宋体" w:cs="Courier New"/>
          <w:sz w:val="28"/>
          <w:szCs w:val="28"/>
        </w:rPr>
        <w:t>辆。</w:t>
      </w:r>
    </w:p>
    <w:p>
      <w:pPr>
        <w:pStyle w:val="2"/>
        <w:kinsoku w:val="0"/>
        <w:overflowPunct w:val="0"/>
        <w:snapToGrid w:val="0"/>
        <w:spacing w:line="360" w:lineRule="auto"/>
        <w:ind w:left="0"/>
        <w:jc w:val="both"/>
        <w:rPr>
          <w:rFonts w:hAnsi="宋体" w:cs="Courier New"/>
          <w:kern w:val="2"/>
          <w:sz w:val="28"/>
          <w:szCs w:val="28"/>
        </w:rPr>
      </w:pPr>
    </w:p>
    <w:p>
      <w:pPr>
        <w:kinsoku w:val="0"/>
        <w:overflowPunct w:val="0"/>
        <w:adjustRightInd w:val="0"/>
        <w:snapToGrid w:val="0"/>
        <w:spacing w:line="360" w:lineRule="auto"/>
        <w:ind w:right="521"/>
        <w:rPr>
          <w:rFonts w:ascii="黑体" w:eastAsia="黑体" w:cs="黑体"/>
          <w:sz w:val="28"/>
          <w:szCs w:val="28"/>
        </w:rPr>
      </w:pPr>
    </w:p>
    <w:p>
      <w:pPr>
        <w:kinsoku w:val="0"/>
        <w:overflowPunct w:val="0"/>
        <w:adjustRightInd w:val="0"/>
        <w:snapToGrid w:val="0"/>
        <w:spacing w:line="360" w:lineRule="auto"/>
        <w:ind w:right="521"/>
        <w:rPr>
          <w:rFonts w:ascii="黑体" w:eastAsia="黑体" w:cs="黑体"/>
          <w:sz w:val="28"/>
          <w:szCs w:val="28"/>
        </w:rPr>
      </w:pPr>
    </w:p>
    <w:p>
      <w:pPr>
        <w:kinsoku w:val="0"/>
        <w:overflowPunct w:val="0"/>
        <w:adjustRightInd w:val="0"/>
        <w:snapToGrid w:val="0"/>
        <w:spacing w:line="360" w:lineRule="auto"/>
        <w:ind w:right="521"/>
        <w:rPr>
          <w:rFonts w:ascii="黑体" w:eastAsia="黑体" w:cs="黑体"/>
          <w:sz w:val="28"/>
          <w:szCs w:val="28"/>
        </w:rPr>
      </w:pPr>
    </w:p>
    <w:p>
      <w:pPr>
        <w:kinsoku w:val="0"/>
        <w:overflowPunct w:val="0"/>
        <w:adjustRightInd w:val="0"/>
        <w:snapToGrid w:val="0"/>
        <w:spacing w:line="360" w:lineRule="auto"/>
        <w:ind w:right="521"/>
        <w:rPr>
          <w:rFonts w:ascii="黑体" w:eastAsia="黑体" w:cs="黑体"/>
          <w:sz w:val="28"/>
          <w:szCs w:val="28"/>
        </w:rPr>
      </w:pPr>
    </w:p>
    <w:p>
      <w:pPr>
        <w:kinsoku w:val="0"/>
        <w:overflowPunct w:val="0"/>
        <w:adjustRightInd w:val="0"/>
        <w:snapToGrid w:val="0"/>
        <w:spacing w:line="360" w:lineRule="auto"/>
        <w:ind w:right="521"/>
        <w:rPr>
          <w:rFonts w:ascii="黑体" w:eastAsia="黑体" w:cs="黑体"/>
          <w:sz w:val="28"/>
          <w:szCs w:val="28"/>
        </w:rPr>
      </w:pPr>
      <w:bookmarkStart w:id="0" w:name="_GoBack"/>
      <w:bookmarkEnd w:id="0"/>
    </w:p>
    <w:p>
      <w:pPr>
        <w:kinsoku w:val="0"/>
        <w:overflowPunct w:val="0"/>
        <w:adjustRightInd w:val="0"/>
        <w:snapToGrid w:val="0"/>
        <w:spacing w:line="360" w:lineRule="auto"/>
        <w:ind w:right="521"/>
        <w:rPr>
          <w:rFonts w:ascii="黑体" w:eastAsia="黑体" w:cs="黑体"/>
          <w:sz w:val="28"/>
          <w:szCs w:val="28"/>
        </w:rPr>
      </w:pPr>
    </w:p>
    <w:p>
      <w:pPr>
        <w:kinsoku w:val="0"/>
        <w:overflowPunct w:val="0"/>
        <w:adjustRightInd w:val="0"/>
        <w:snapToGrid w:val="0"/>
        <w:spacing w:line="360" w:lineRule="auto"/>
        <w:ind w:right="521"/>
        <w:rPr>
          <w:rFonts w:ascii="黑体" w:eastAsia="黑体" w:cs="黑体"/>
          <w:sz w:val="28"/>
          <w:szCs w:val="28"/>
        </w:rPr>
      </w:pPr>
    </w:p>
    <w:p>
      <w:pPr>
        <w:widowControl/>
        <w:shd w:val="clear" w:color="auto" w:fill="FFFFFF"/>
        <w:spacing w:line="315" w:lineRule="atLeast"/>
        <w:ind w:right="521"/>
        <w:jc w:val="center"/>
        <w:rPr>
          <w:rFonts w:hint="eastAsia" w:ascii="黑体" w:eastAsia="黑体"/>
          <w:b/>
          <w:color w:val="000000"/>
          <w:kern w:val="0"/>
          <w:sz w:val="36"/>
          <w:szCs w:val="36"/>
        </w:rPr>
      </w:pPr>
      <w:r>
        <w:rPr>
          <w:rFonts w:hint="eastAsia" w:ascii="黑体" w:eastAsia="黑体"/>
          <w:b/>
          <w:color w:val="000000"/>
          <w:kern w:val="0"/>
          <w:sz w:val="36"/>
          <w:szCs w:val="36"/>
        </w:rPr>
        <w:t>第四部分</w:t>
      </w:r>
      <w:r>
        <w:rPr>
          <w:rFonts w:hint="eastAsia" w:ascii="黑体" w:eastAsia="黑体"/>
          <w:b/>
          <w:color w:val="000000"/>
          <w:spacing w:val="-32"/>
          <w:kern w:val="0"/>
          <w:sz w:val="36"/>
          <w:szCs w:val="36"/>
        </w:rPr>
        <w:t>  </w:t>
      </w:r>
      <w:r>
        <w:rPr>
          <w:rFonts w:hint="eastAsia" w:ascii="黑体" w:eastAsia="黑体"/>
          <w:b/>
          <w:color w:val="000000"/>
          <w:kern w:val="0"/>
          <w:sz w:val="36"/>
          <w:szCs w:val="36"/>
        </w:rPr>
        <w:t>名词解释</w:t>
      </w:r>
    </w:p>
    <w:p>
      <w:pPr>
        <w:widowControl/>
        <w:shd w:val="clear" w:color="auto" w:fill="FFFFFF"/>
        <w:spacing w:line="315" w:lineRule="atLeast"/>
        <w:ind w:left="101" w:right="521" w:firstLine="512"/>
        <w:jc w:val="center"/>
        <w:rPr>
          <w:rFonts w:hint="eastAsia" w:ascii="仿宋_GB2312" w:eastAsia="仿宋_GB2312"/>
          <w:color w:val="000000"/>
          <w:kern w:val="0"/>
          <w:sz w:val="32"/>
          <w:szCs w:val="32"/>
        </w:rPr>
      </w:pPr>
      <w:r>
        <w:rPr>
          <w:rFonts w:hint="eastAsia" w:ascii="仿宋_GB2312" w:eastAsia="仿宋_GB2312"/>
          <w:color w:val="000000"/>
          <w:spacing w:val="-32"/>
          <w:kern w:val="0"/>
          <w:sz w:val="32"/>
          <w:szCs w:val="32"/>
        </w:rPr>
        <w:t> </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一、财政拨款收入：是指市县财政当年拨付的资金。</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二、事业收入：是指事业单位开展专业活动及辅助活动所取得的收入。</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三、其他收入：是指部门取得的除“财政拨款”、“事业收入”、“事业单位经营收入”等以外的收入。</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 支差额的基金）弥补当年收支缺口的资金。</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五、上年结转和结余：是指以前年度支出预算因客观条件变化未执行完毕、结转到本年度按有关规定继续使用的资金，既包括财政拨款结转和结余，也包括事业收入、经营收入、其他收入的结转和结余。</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六、基本支出：是指为保障机构正常运转、完成日常工作任务所必需的开支，其内容包括人员经费和日常公用经费两部分。</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七、项目支出：是指在基本支出之外，为完成特定的行政工作任务或事业发展目标所发生的支出。</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八、一般公共服务（类）××事务（款）：是指××局用于保障机构正常运行、开展××业务等活动的支出。</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（一）行政运行（项）：是指为保障××局各行政机构正常运转、完成日常工作任务安排的支出。</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（二）一般行政管理事务（项）：是指××局机关及所属二级单位的项目支出。</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（三）机关服务（项）：是指为××局机关提供后勤保障服务的机关服务局的支出。</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（四）事业运行（项）：是指事业单位用于保障机构正常运转的基本支出。</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（八）其他××支出（项）：……。</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九、“三公”经费：是指纳入县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hd w:val="clear" w:color="auto" w:fill="FFFFFF"/>
        <w:spacing w:line="480" w:lineRule="atLeast"/>
        <w:ind w:firstLine="56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kinsoku w:val="0"/>
        <w:overflowPunct w:val="0"/>
        <w:adjustRightInd w:val="0"/>
        <w:snapToGrid w:val="0"/>
        <w:spacing w:line="360" w:lineRule="auto"/>
        <w:ind w:right="521"/>
        <w:rPr>
          <w:rFonts w:ascii="黑体" w:eastAsia="黑体" w:cs="黑体"/>
          <w:sz w:val="28"/>
          <w:szCs w:val="28"/>
        </w:rPr>
      </w:pPr>
    </w:p>
    <w:sectPr>
      <w:pgSz w:w="11906" w:h="16838"/>
      <w:pgMar w:top="1304" w:right="1701" w:bottom="130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12</w:t>
    </w:r>
    <w:r>
      <w:rPr>
        <w:rFonts w:ascii="Arial" w:hAnsi="Arial" w:cs="Arial"/>
        <w:b/>
        <w:sz w:val="21"/>
        <w:szCs w:val="21"/>
      </w:rPr>
      <w:fldChar w:fldCharType="end"/>
    </w:r>
    <w:r>
      <w:rPr>
        <w:rFonts w:hint="eastAsia"/>
        <w:b/>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16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16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16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39C"/>
    <w:rsid w:val="00067BCC"/>
    <w:rsid w:val="000A2B98"/>
    <w:rsid w:val="00176D9D"/>
    <w:rsid w:val="001F42DE"/>
    <w:rsid w:val="002E6041"/>
    <w:rsid w:val="002F02A6"/>
    <w:rsid w:val="0031739C"/>
    <w:rsid w:val="00363132"/>
    <w:rsid w:val="00370007"/>
    <w:rsid w:val="00384356"/>
    <w:rsid w:val="0044758C"/>
    <w:rsid w:val="00450AA1"/>
    <w:rsid w:val="00597D96"/>
    <w:rsid w:val="00750B0F"/>
    <w:rsid w:val="00880762"/>
    <w:rsid w:val="00A348D5"/>
    <w:rsid w:val="00B13D7A"/>
    <w:rsid w:val="00BF1B90"/>
    <w:rsid w:val="00D17656"/>
    <w:rsid w:val="00DB350F"/>
    <w:rsid w:val="00E9762E"/>
    <w:rsid w:val="00F023CB"/>
    <w:rsid w:val="00FD4EE8"/>
    <w:rsid w:val="00FE425F"/>
    <w:rsid w:val="072A7A93"/>
    <w:rsid w:val="293825D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7"/>
    <w:uiPriority w:val="99"/>
    <w:pPr>
      <w:autoSpaceDE w:val="0"/>
      <w:autoSpaceDN w:val="0"/>
      <w:adjustRightInd w:val="0"/>
      <w:ind w:left="761"/>
      <w:jc w:val="left"/>
    </w:pPr>
    <w:rPr>
      <w:rFonts w:ascii="仿宋_GB2312" w:eastAsia="仿宋_GB2312" w:cs="仿宋_GB2312"/>
      <w:kern w:val="0"/>
      <w:sz w:val="32"/>
      <w:szCs w:val="32"/>
    </w:rPr>
  </w:style>
  <w:style w:type="paragraph" w:styleId="3">
    <w:name w:val="footer"/>
    <w:basedOn w:val="1"/>
    <w:link w:val="8"/>
    <w:uiPriority w:val="99"/>
    <w:pPr>
      <w:tabs>
        <w:tab w:val="center" w:pos="4153"/>
        <w:tab w:val="right" w:pos="8306"/>
      </w:tabs>
      <w:snapToGrid w:val="0"/>
      <w:spacing w:line="600" w:lineRule="exact"/>
      <w:ind w:firstLine="200" w:firstLineChars="200"/>
      <w:jc w:val="left"/>
    </w:pPr>
    <w:rPr>
      <w:kern w:val="0"/>
      <w:sz w:val="18"/>
      <w:szCs w:val="18"/>
    </w:rPr>
  </w:style>
  <w:style w:type="paragraph" w:styleId="4">
    <w:name w:val="header"/>
    <w:basedOn w:val="1"/>
    <w:link w:val="9"/>
    <w:uiPriority w:val="99"/>
    <w:pPr>
      <w:pBdr>
        <w:bottom w:val="single" w:color="auto" w:sz="6" w:space="1"/>
      </w:pBdr>
      <w:tabs>
        <w:tab w:val="center" w:pos="4153"/>
        <w:tab w:val="right" w:pos="8306"/>
      </w:tabs>
      <w:snapToGrid w:val="0"/>
      <w:spacing w:line="600" w:lineRule="exact"/>
      <w:ind w:firstLine="200" w:firstLineChars="200"/>
      <w:jc w:val="center"/>
    </w:pPr>
    <w:rPr>
      <w:kern w:val="0"/>
      <w:sz w:val="18"/>
      <w:szCs w:val="18"/>
    </w:rPr>
  </w:style>
  <w:style w:type="character" w:customStyle="1" w:styleId="7">
    <w:name w:val="Body Text Char"/>
    <w:basedOn w:val="5"/>
    <w:link w:val="2"/>
    <w:semiHidden/>
    <w:locked/>
    <w:uiPriority w:val="99"/>
    <w:rPr>
      <w:rFonts w:cs="Times New Roman"/>
      <w:sz w:val="24"/>
      <w:szCs w:val="24"/>
    </w:rPr>
  </w:style>
  <w:style w:type="character" w:customStyle="1" w:styleId="8">
    <w:name w:val="Footer Char"/>
    <w:basedOn w:val="5"/>
    <w:link w:val="3"/>
    <w:semiHidden/>
    <w:locked/>
    <w:uiPriority w:val="99"/>
    <w:rPr>
      <w:rFonts w:cs="Times New Roman"/>
      <w:sz w:val="18"/>
      <w:szCs w:val="18"/>
    </w:rPr>
  </w:style>
  <w:style w:type="character" w:customStyle="1" w:styleId="9">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13</Pages>
  <Words>914</Words>
  <Characters>5215</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2017-11-08T09:59:00Z</dcterms:created>
  <dc:creator>li-jian</dc:creator>
  <cp:lastModifiedBy>OnLy丨0痴狂</cp:lastModifiedBy>
  <dcterms:modified xsi:type="dcterms:W3CDTF">2017-11-20T07:56:57Z</dcterms:modified>
  <dc:title>第二部分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