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方正小标宋简体" w:hAnsi="方正小标宋简体" w:eastAsia="方正小标宋简体" w:cs="方正小标宋简体"/>
          <w:sz w:val="52"/>
          <w:szCs w:val="52"/>
        </w:rPr>
      </w:pPr>
    </w:p>
    <w:p>
      <w:pPr>
        <w:jc w:val="center"/>
        <w:rPr>
          <w:rFonts w:ascii="黑体" w:hAnsi="黑体" w:eastAsia="黑体" w:cs="黑体"/>
          <w:sz w:val="44"/>
          <w:szCs w:val="44"/>
        </w:rPr>
      </w:pPr>
      <w:r>
        <w:rPr>
          <w:rFonts w:hint="eastAsia" w:ascii="黑体" w:hAnsi="黑体" w:eastAsia="黑体" w:cs="黑体"/>
          <w:sz w:val="52"/>
          <w:szCs w:val="52"/>
        </w:rPr>
        <w:t>罗山县石材专业园区管理委员会</w:t>
      </w:r>
    </w:p>
    <w:p>
      <w:pPr>
        <w:jc w:val="center"/>
        <w:rPr>
          <w:rFonts w:ascii="黑体" w:hAnsi="黑体" w:eastAsia="黑体" w:cs="黑体"/>
          <w:sz w:val="52"/>
          <w:szCs w:val="52"/>
        </w:rPr>
      </w:pPr>
    </w:p>
    <w:p>
      <w:pPr>
        <w:jc w:val="center"/>
        <w:rPr>
          <w:rFonts w:ascii="黑体" w:hAnsi="黑体" w:eastAsia="黑体" w:cs="黑体"/>
          <w:sz w:val="52"/>
          <w:szCs w:val="52"/>
        </w:rPr>
      </w:pPr>
      <w:r>
        <w:rPr>
          <w:rFonts w:ascii="黑体" w:hAnsi="黑体" w:eastAsia="黑体" w:cs="黑体"/>
          <w:sz w:val="52"/>
          <w:szCs w:val="52"/>
        </w:rPr>
        <w:t>2016</w:t>
      </w:r>
      <w:r>
        <w:rPr>
          <w:rFonts w:hint="eastAsia" w:ascii="黑体" w:hAnsi="黑体" w:eastAsia="黑体" w:cs="黑体"/>
          <w:sz w:val="52"/>
          <w:szCs w:val="52"/>
        </w:rPr>
        <w:t>年度部门决算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rPr>
          <w:rFonts w:ascii="黑体" w:hAnsi="黑体" w:eastAsia="黑体" w:cs="黑体"/>
          <w:sz w:val="52"/>
          <w:szCs w:val="52"/>
        </w:rPr>
      </w:pPr>
    </w:p>
    <w:p>
      <w:pPr>
        <w:jc w:val="center"/>
        <w:rPr>
          <w:rFonts w:ascii="黑体" w:hAnsi="黑体" w:eastAsia="黑体" w:cs="黑体"/>
          <w:sz w:val="44"/>
          <w:szCs w:val="44"/>
        </w:rPr>
      </w:pPr>
    </w:p>
    <w:p>
      <w:pPr>
        <w:jc w:val="center"/>
        <w:rPr>
          <w:rFonts w:ascii="黑体" w:hAnsi="黑体" w:eastAsia="黑体" w:cs="黑体"/>
          <w:sz w:val="44"/>
          <w:szCs w:val="44"/>
        </w:rPr>
      </w:pPr>
    </w:p>
    <w:p>
      <w:pPr>
        <w:jc w:val="center"/>
        <w:rPr>
          <w:rFonts w:ascii="黑体" w:hAnsi="黑体" w:eastAsia="黑体" w:cs="黑体"/>
          <w:sz w:val="44"/>
          <w:szCs w:val="44"/>
        </w:rPr>
      </w:pPr>
    </w:p>
    <w:p>
      <w:pPr>
        <w:jc w:val="center"/>
        <w:rPr>
          <w:rFonts w:ascii="黑体" w:hAnsi="黑体" w:eastAsia="黑体" w:cs="黑体"/>
          <w:sz w:val="44"/>
          <w:szCs w:val="44"/>
        </w:rPr>
      </w:pPr>
      <w:r>
        <w:rPr>
          <w:rFonts w:hint="eastAsia" w:ascii="黑体" w:hAnsi="黑体" w:eastAsia="黑体" w:cs="黑体"/>
          <w:sz w:val="44"/>
          <w:szCs w:val="44"/>
        </w:rPr>
        <w:t>目　</w:t>
      </w:r>
      <w:r>
        <w:rPr>
          <w:rFonts w:hint="eastAsia" w:ascii="黑体" w:hAnsi="黑体" w:eastAsia="黑体" w:cs="黑体"/>
          <w:sz w:val="44"/>
          <w:szCs w:val="44"/>
          <w:lang w:val="en-US" w:eastAsia="zh-CN"/>
        </w:rPr>
        <w:t xml:space="preserve">  </w:t>
      </w:r>
      <w:bookmarkStart w:id="0" w:name="_GoBack"/>
      <w:bookmarkEnd w:id="0"/>
      <w:r>
        <w:rPr>
          <w:rFonts w:hint="eastAsia" w:ascii="黑体" w:hAnsi="黑体" w:eastAsia="黑体" w:cs="黑体"/>
          <w:sz w:val="44"/>
          <w:szCs w:val="44"/>
        </w:rPr>
        <w:t>　录</w:t>
      </w:r>
    </w:p>
    <w:p>
      <w:pPr>
        <w:jc w:val="center"/>
        <w:rPr>
          <w:rFonts w:ascii="黑体" w:hAnsi="黑体" w:eastAsia="黑体" w:cs="黑体"/>
          <w:sz w:val="32"/>
          <w:szCs w:val="32"/>
        </w:rPr>
      </w:pPr>
    </w:p>
    <w:p>
      <w:pPr>
        <w:jc w:val="left"/>
        <w:rPr>
          <w:rFonts w:ascii="黑体" w:hAnsi="黑体" w:eastAsia="黑体" w:cs="黑体"/>
          <w:sz w:val="32"/>
          <w:szCs w:val="32"/>
        </w:rPr>
      </w:pPr>
      <w:r>
        <w:rPr>
          <w:rFonts w:hint="eastAsia" w:ascii="黑体" w:hAnsi="黑体" w:eastAsia="黑体" w:cs="黑体"/>
          <w:sz w:val="32"/>
          <w:szCs w:val="32"/>
        </w:rPr>
        <w:t>第一部分　</w:t>
      </w:r>
      <w:r>
        <w:rPr>
          <w:rFonts w:ascii="黑体" w:hAnsi="黑体" w:eastAsia="黑体" w:cs="黑体"/>
          <w:sz w:val="32"/>
          <w:szCs w:val="32"/>
        </w:rPr>
        <w:t xml:space="preserve"> </w:t>
      </w:r>
      <w:r>
        <w:rPr>
          <w:rFonts w:hint="eastAsia" w:ascii="黑体" w:hAnsi="黑体" w:eastAsia="黑体" w:cs="黑体"/>
          <w:sz w:val="32"/>
          <w:szCs w:val="32"/>
        </w:rPr>
        <w:t>石材园区概况</w:t>
      </w:r>
    </w:p>
    <w:p>
      <w:pPr>
        <w:jc w:val="left"/>
        <w:rPr>
          <w:rFonts w:ascii="??_GB2312" w:hAnsi="??_GB2312" w:cs="??_GB2312"/>
          <w:sz w:val="32"/>
          <w:szCs w:val="32"/>
        </w:rPr>
      </w:pPr>
      <w:r>
        <w:rPr>
          <w:rFonts w:hint="eastAsia" w:ascii="宋体" w:hAnsi="宋体" w:cs="宋体"/>
          <w:sz w:val="32"/>
          <w:szCs w:val="32"/>
        </w:rPr>
        <w:t>一、主要职能</w:t>
      </w:r>
    </w:p>
    <w:p>
      <w:pPr>
        <w:jc w:val="left"/>
        <w:rPr>
          <w:rFonts w:ascii="??_GB2312" w:hAnsi="??_GB2312" w:cs="??_GB2312"/>
          <w:sz w:val="32"/>
          <w:szCs w:val="32"/>
        </w:rPr>
      </w:pPr>
      <w:r>
        <w:rPr>
          <w:rFonts w:hint="eastAsia" w:ascii="宋体" w:hAnsi="宋体" w:cs="宋体"/>
          <w:sz w:val="32"/>
          <w:szCs w:val="32"/>
        </w:rPr>
        <w:t>二、部门决算单位构成</w:t>
      </w:r>
    </w:p>
    <w:p>
      <w:pPr>
        <w:jc w:val="left"/>
        <w:rPr>
          <w:rFonts w:ascii="黑体" w:hAnsi="黑体" w:eastAsia="黑体" w:cs="黑体"/>
          <w:sz w:val="32"/>
          <w:szCs w:val="32"/>
        </w:rPr>
      </w:pPr>
      <w:r>
        <w:rPr>
          <w:rFonts w:hint="eastAsia" w:ascii="黑体" w:hAnsi="黑体" w:eastAsia="黑体" w:cs="黑体"/>
          <w:sz w:val="32"/>
          <w:szCs w:val="32"/>
        </w:rPr>
        <w:t>第二部分　</w:t>
      </w:r>
      <w:r>
        <w:rPr>
          <w:rFonts w:ascii="黑体" w:hAnsi="黑体" w:eastAsia="黑体" w:cs="黑体"/>
          <w:sz w:val="32"/>
          <w:szCs w:val="32"/>
        </w:rPr>
        <w:t xml:space="preserve"> </w:t>
      </w:r>
      <w:r>
        <w:rPr>
          <w:rFonts w:hint="eastAsia" w:ascii="黑体" w:hAnsi="黑体" w:eastAsia="黑体" w:cs="黑体"/>
          <w:sz w:val="32"/>
          <w:szCs w:val="32"/>
        </w:rPr>
        <w:t>石材园区</w:t>
      </w:r>
      <w:r>
        <w:rPr>
          <w:rFonts w:ascii="黑体" w:hAnsi="黑体" w:eastAsia="黑体" w:cs="黑体"/>
          <w:sz w:val="32"/>
          <w:szCs w:val="32"/>
        </w:rPr>
        <w:t>2016</w:t>
      </w:r>
      <w:r>
        <w:rPr>
          <w:rFonts w:hint="eastAsia" w:ascii="黑体" w:hAnsi="黑体" w:eastAsia="黑体" w:cs="黑体"/>
          <w:sz w:val="32"/>
          <w:szCs w:val="32"/>
        </w:rPr>
        <w:t>年度部门决算表</w:t>
      </w:r>
    </w:p>
    <w:p>
      <w:pPr>
        <w:jc w:val="left"/>
        <w:rPr>
          <w:rFonts w:ascii="??_GB2312" w:hAnsi="??_GB2312" w:cs="??_GB2312"/>
          <w:sz w:val="32"/>
          <w:szCs w:val="32"/>
        </w:rPr>
      </w:pPr>
      <w:r>
        <w:rPr>
          <w:rFonts w:hint="eastAsia" w:ascii="宋体" w:hAnsi="宋体" w:cs="宋体"/>
          <w:sz w:val="32"/>
          <w:szCs w:val="32"/>
        </w:rPr>
        <w:t>一、部门收入支出决算总体情况表</w:t>
      </w:r>
    </w:p>
    <w:p>
      <w:pPr>
        <w:jc w:val="left"/>
        <w:rPr>
          <w:rFonts w:ascii="??_GB2312" w:hAnsi="??_GB2312" w:cs="??_GB2312"/>
          <w:sz w:val="32"/>
          <w:szCs w:val="32"/>
        </w:rPr>
      </w:pPr>
      <w:r>
        <w:rPr>
          <w:rFonts w:hint="eastAsia" w:ascii="宋体" w:hAnsi="宋体" w:cs="宋体"/>
          <w:sz w:val="32"/>
          <w:szCs w:val="32"/>
        </w:rPr>
        <w:t>二、收入决算情况表</w:t>
      </w:r>
    </w:p>
    <w:p>
      <w:pPr>
        <w:jc w:val="left"/>
        <w:rPr>
          <w:rFonts w:ascii="??_GB2312" w:hAnsi="??_GB2312" w:cs="??_GB2312"/>
          <w:sz w:val="32"/>
          <w:szCs w:val="32"/>
        </w:rPr>
      </w:pPr>
      <w:r>
        <w:rPr>
          <w:rFonts w:hint="eastAsia" w:ascii="宋体" w:hAnsi="宋体" w:cs="宋体"/>
          <w:sz w:val="32"/>
          <w:szCs w:val="32"/>
        </w:rPr>
        <w:t>三、支出决算情况表</w:t>
      </w:r>
    </w:p>
    <w:p>
      <w:pPr>
        <w:jc w:val="left"/>
        <w:rPr>
          <w:rFonts w:ascii="??_GB2312" w:hAnsi="??_GB2312" w:cs="??_GB2312"/>
          <w:sz w:val="32"/>
          <w:szCs w:val="32"/>
        </w:rPr>
      </w:pPr>
      <w:r>
        <w:rPr>
          <w:rFonts w:hint="eastAsia" w:ascii="宋体" w:hAnsi="宋体" w:cs="宋体"/>
          <w:sz w:val="32"/>
          <w:szCs w:val="32"/>
        </w:rPr>
        <w:t>四、财政拨款收入支出决算总体情况表</w:t>
      </w:r>
    </w:p>
    <w:p>
      <w:pPr>
        <w:jc w:val="left"/>
        <w:rPr>
          <w:rFonts w:ascii="??_GB2312" w:hAnsi="??_GB2312" w:cs="??_GB2312"/>
          <w:sz w:val="32"/>
          <w:szCs w:val="32"/>
        </w:rPr>
      </w:pPr>
      <w:r>
        <w:rPr>
          <w:rFonts w:hint="eastAsia" w:ascii="宋体" w:hAnsi="宋体" w:cs="宋体"/>
          <w:sz w:val="32"/>
          <w:szCs w:val="32"/>
        </w:rPr>
        <w:t>五、一般公共预算财政拨款支出决算情况表</w:t>
      </w:r>
    </w:p>
    <w:p>
      <w:pPr>
        <w:jc w:val="left"/>
        <w:rPr>
          <w:rFonts w:ascii="??_GB2312" w:hAnsi="??_GB2312" w:cs="??_GB2312"/>
          <w:sz w:val="32"/>
          <w:szCs w:val="32"/>
        </w:rPr>
      </w:pPr>
      <w:r>
        <w:rPr>
          <w:rFonts w:hint="eastAsia" w:ascii="宋体" w:hAnsi="宋体" w:cs="宋体"/>
          <w:sz w:val="32"/>
          <w:szCs w:val="32"/>
        </w:rPr>
        <w:t>六、一般公共预算财政拨款基本支出决算情况表</w:t>
      </w:r>
    </w:p>
    <w:p>
      <w:pPr>
        <w:jc w:val="left"/>
        <w:rPr>
          <w:rFonts w:ascii="??_GB2312" w:hAnsi="??_GB2312" w:cs="??_GB2312"/>
          <w:sz w:val="32"/>
          <w:szCs w:val="32"/>
        </w:rPr>
      </w:pPr>
      <w:r>
        <w:rPr>
          <w:rFonts w:hint="eastAsia" w:ascii="宋体" w:hAnsi="宋体" w:cs="宋体"/>
          <w:sz w:val="32"/>
          <w:szCs w:val="32"/>
        </w:rPr>
        <w:t>七、一般公共预算财政拨款</w:t>
      </w:r>
      <w:r>
        <w:rPr>
          <w:rFonts w:ascii="??_GB2312" w:hAnsi="??_GB2312" w:cs="??_GB2312"/>
          <w:sz w:val="32"/>
          <w:szCs w:val="32"/>
        </w:rPr>
        <w:t>“</w:t>
      </w:r>
      <w:r>
        <w:rPr>
          <w:rFonts w:hint="eastAsia" w:ascii="宋体" w:hAnsi="宋体" w:cs="宋体"/>
          <w:sz w:val="32"/>
          <w:szCs w:val="32"/>
        </w:rPr>
        <w:t>三公</w:t>
      </w:r>
      <w:r>
        <w:rPr>
          <w:rFonts w:ascii="??_GB2312" w:hAnsi="??_GB2312" w:cs="??_GB2312"/>
          <w:sz w:val="32"/>
          <w:szCs w:val="32"/>
        </w:rPr>
        <w:t>”</w:t>
      </w:r>
      <w:r>
        <w:rPr>
          <w:rFonts w:hint="eastAsia" w:ascii="宋体" w:hAnsi="宋体" w:cs="宋体"/>
          <w:sz w:val="32"/>
          <w:szCs w:val="32"/>
        </w:rPr>
        <w:t>经费支出决算情况表</w:t>
      </w:r>
    </w:p>
    <w:p>
      <w:pPr>
        <w:jc w:val="left"/>
        <w:rPr>
          <w:rFonts w:ascii="??_GB2312" w:hAnsi="??_GB2312" w:cs="??_GB2312"/>
          <w:sz w:val="32"/>
          <w:szCs w:val="32"/>
        </w:rPr>
      </w:pPr>
      <w:r>
        <w:rPr>
          <w:rFonts w:hint="eastAsia" w:ascii="宋体" w:hAnsi="宋体" w:cs="宋体"/>
          <w:sz w:val="32"/>
          <w:szCs w:val="32"/>
        </w:rPr>
        <w:t>八、政府性基金预算财政拨款收入支出决算情况表</w:t>
      </w:r>
    </w:p>
    <w:p>
      <w:pPr>
        <w:jc w:val="left"/>
        <w:rPr>
          <w:rFonts w:ascii="黑体" w:hAnsi="黑体" w:eastAsia="黑体" w:cs="黑体"/>
          <w:sz w:val="32"/>
          <w:szCs w:val="32"/>
        </w:rPr>
      </w:pPr>
      <w:r>
        <w:rPr>
          <w:rFonts w:hint="eastAsia" w:ascii="黑体" w:hAnsi="黑体" w:eastAsia="黑体" w:cs="黑体"/>
          <w:sz w:val="32"/>
          <w:szCs w:val="32"/>
        </w:rPr>
        <w:t>第三部分　　石材园区</w:t>
      </w:r>
      <w:r>
        <w:rPr>
          <w:rFonts w:ascii="黑体" w:hAnsi="黑体" w:eastAsia="黑体" w:cs="黑体"/>
          <w:sz w:val="32"/>
          <w:szCs w:val="32"/>
        </w:rPr>
        <w:t>2016</w:t>
      </w:r>
      <w:r>
        <w:rPr>
          <w:rFonts w:hint="eastAsia" w:ascii="黑体" w:hAnsi="黑体" w:eastAsia="黑体" w:cs="黑体"/>
          <w:sz w:val="32"/>
          <w:szCs w:val="32"/>
        </w:rPr>
        <w:t>年度部门决算情况说明</w:t>
      </w:r>
    </w:p>
    <w:p>
      <w:pPr>
        <w:jc w:val="left"/>
        <w:rPr>
          <w:rFonts w:ascii="黑体" w:hAnsi="黑体" w:eastAsia="黑体" w:cs="黑体"/>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r>
        <w:rPr>
          <w:rFonts w:hint="eastAsia" w:ascii="黑体" w:hAnsi="黑体" w:eastAsia="黑体" w:cs="黑体"/>
          <w:sz w:val="32"/>
          <w:szCs w:val="32"/>
        </w:rPr>
        <w:t>第四部分　　名词解释</w:t>
      </w:r>
    </w:p>
    <w:p>
      <w:pPr>
        <w:jc w:val="left"/>
        <w:rPr>
          <w:rFonts w:ascii="黑体" w:hAnsi="黑体" w:eastAsia="黑体" w:cs="黑体"/>
          <w:sz w:val="32"/>
          <w:szCs w:val="32"/>
        </w:rPr>
      </w:pPr>
    </w:p>
    <w:p>
      <w:pPr>
        <w:jc w:val="center"/>
        <w:outlineLvl w:val="0"/>
        <w:rPr>
          <w:rFonts w:ascii="隶书" w:hAnsi="隶书" w:eastAsia="隶书" w:cs="隶书"/>
          <w:sz w:val="48"/>
          <w:szCs w:val="48"/>
        </w:rPr>
      </w:pPr>
      <w:r>
        <w:rPr>
          <w:rFonts w:hint="eastAsia" w:ascii="隶书" w:hAnsi="隶书" w:eastAsia="隶书" w:cs="隶书"/>
          <w:sz w:val="48"/>
          <w:szCs w:val="48"/>
        </w:rPr>
        <w:t>第一部分　石材园区概况</w:t>
      </w:r>
    </w:p>
    <w:p>
      <w:pPr>
        <w:numPr>
          <w:ilvl w:val="0"/>
          <w:numId w:val="1"/>
        </w:numPr>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主要职能</w:t>
      </w:r>
    </w:p>
    <w:p>
      <w:pPr>
        <w:ind w:firstLine="640" w:firstLineChars="200"/>
        <w:rPr>
          <w:rFonts w:ascii="??_GB2312" w:hAnsi="仿宋" w:eastAsia="Times New Roman" w:cs="仿宋"/>
          <w:sz w:val="32"/>
          <w:szCs w:val="32"/>
        </w:rPr>
      </w:pPr>
      <w:r>
        <w:rPr>
          <w:rFonts w:ascii="??_GB2312" w:hAnsi="仿宋" w:eastAsia="Times New Roman" w:cs="仿宋"/>
          <w:sz w:val="32"/>
          <w:szCs w:val="32"/>
        </w:rPr>
        <w:t>（一）贯彻落实党和国家的方针政策、法律法规，保障农民的合法权益，促进经济发展、加强社会管理、搞好公共服务、维护农村稳定、加强基层政权建设。</w:t>
      </w:r>
    </w:p>
    <w:p>
      <w:pPr>
        <w:ind w:firstLine="640" w:firstLineChars="200"/>
        <w:rPr>
          <w:rFonts w:ascii="??_GB2312" w:hAnsi="仿宋" w:eastAsia="Times New Roman" w:cs="仿宋"/>
          <w:sz w:val="32"/>
          <w:szCs w:val="32"/>
        </w:rPr>
      </w:pPr>
      <w:r>
        <w:rPr>
          <w:rFonts w:ascii="??_GB2312" w:hAnsi="仿宋" w:eastAsia="Times New Roman" w:cs="仿宋"/>
          <w:sz w:val="32"/>
          <w:szCs w:val="32"/>
        </w:rPr>
        <w:t>（二）负责党的路线、方针、政策和县委、县政府重大决策在石材专业园区的贯彻落实；负责石材专业园区管委会机关党组织建设、思想建设、作风建设及廉政建设等工作；负责制定石材专业园区的行政管理工作。</w:t>
      </w:r>
    </w:p>
    <w:p>
      <w:pPr>
        <w:rPr>
          <w:rFonts w:ascii="??_GB2312" w:hAnsi="仿宋" w:eastAsia="Times New Roman" w:cs="仿宋"/>
          <w:sz w:val="32"/>
          <w:szCs w:val="32"/>
        </w:rPr>
      </w:pPr>
      <w:r>
        <w:rPr>
          <w:rFonts w:ascii="??_GB2312" w:hAnsi="仿宋" w:eastAsia="Times New Roman" w:cs="仿宋"/>
          <w:sz w:val="32"/>
          <w:szCs w:val="32"/>
        </w:rPr>
        <w:t xml:space="preserve">    （三）履行</w:t>
      </w:r>
      <w:r>
        <w:rPr>
          <w:rFonts w:ascii="??_GB2312" w:hAnsi="仿宋" w:eastAsia="Times New Roman" w:cs="仿宋"/>
          <w:color w:val="000000"/>
          <w:spacing w:val="-6"/>
          <w:sz w:val="32"/>
          <w:szCs w:val="32"/>
        </w:rPr>
        <w:t>管理园区经济发展、社会管理和公共服务职责，维护园区社会稳定和协助完成安全生产、国土资源管理、环境保护与治理和社会治安等职责。</w:t>
      </w:r>
      <w:r>
        <w:rPr>
          <w:rFonts w:ascii="??_GB2312" w:hAnsi="仿宋" w:eastAsia="Times New Roman" w:cs="仿宋"/>
          <w:sz w:val="32"/>
          <w:szCs w:val="32"/>
        </w:rPr>
        <w:t>负责制定石材专业园区的经济、社会发展规划，经县委、县政府批准后实施；负责石材专业园区企业的布局、规划并组织实施；负责制定石材专业园区区域内建设用地、融资、财税、招商引资、人才引进等优惠政策，并组织实施。</w:t>
      </w:r>
    </w:p>
    <w:p>
      <w:pPr>
        <w:rPr>
          <w:rFonts w:ascii="??_GB2312" w:hAnsi="仿宋" w:eastAsia="Times New Roman" w:cs="仿宋"/>
          <w:sz w:val="32"/>
          <w:szCs w:val="32"/>
        </w:rPr>
      </w:pPr>
      <w:r>
        <w:rPr>
          <w:rFonts w:ascii="??_GB2312" w:hAnsi="仿宋" w:eastAsia="Times New Roman" w:cs="仿宋"/>
          <w:sz w:val="32"/>
          <w:szCs w:val="32"/>
        </w:rPr>
        <w:t xml:space="preserve">    (四)负责石材专业园区内基础设施和公共设施规划、建设和管理工作。                         </w:t>
      </w:r>
    </w:p>
    <w:p>
      <w:pPr>
        <w:rPr>
          <w:rFonts w:ascii="??_GB2312" w:hAnsi="仿宋" w:eastAsia="Times New Roman" w:cs="仿宋"/>
          <w:sz w:val="32"/>
          <w:szCs w:val="32"/>
        </w:rPr>
      </w:pPr>
      <w:r>
        <w:rPr>
          <w:rFonts w:ascii="??_GB2312" w:hAnsi="仿宋" w:eastAsia="Times New Roman" w:cs="仿宋"/>
          <w:sz w:val="32"/>
          <w:szCs w:val="32"/>
        </w:rPr>
        <w:t xml:space="preserve">   （五）负责石材专业园区内企业的服务工作。</w:t>
      </w:r>
    </w:p>
    <w:p>
      <w:pPr>
        <w:ind w:firstLine="320" w:firstLineChars="100"/>
        <w:rPr>
          <w:rFonts w:ascii="??_GB2312" w:hAnsi="仿宋" w:eastAsia="Times New Roman" w:cs="仿宋"/>
          <w:sz w:val="32"/>
          <w:szCs w:val="32"/>
        </w:rPr>
      </w:pPr>
      <w:r>
        <w:rPr>
          <w:rFonts w:ascii="??_GB2312" w:hAnsi="仿宋" w:eastAsia="Times New Roman" w:cs="仿宋"/>
          <w:sz w:val="32"/>
          <w:szCs w:val="32"/>
        </w:rPr>
        <w:t xml:space="preserve"> （六）承办县委、县政府交办的其他工作。</w:t>
      </w:r>
    </w:p>
    <w:p>
      <w:pPr>
        <w:spacing w:line="360" w:lineRule="auto"/>
        <w:ind w:firstLine="640" w:firstLineChars="200"/>
        <w:jc w:val="left"/>
        <w:outlineLvl w:val="1"/>
        <w:rPr>
          <w:rFonts w:ascii="黑体" w:hAnsi="黑体" w:eastAsia="黑体" w:cs="黑体"/>
          <w:sz w:val="32"/>
          <w:szCs w:val="32"/>
        </w:rPr>
      </w:pPr>
      <w:r>
        <w:rPr>
          <w:rFonts w:hint="eastAsia" w:ascii="黑体" w:hAnsi="黑体" w:eastAsia="黑体" w:cs="黑体"/>
          <w:sz w:val="32"/>
          <w:szCs w:val="32"/>
        </w:rPr>
        <w:t>二、部门决算单位构成</w:t>
      </w:r>
    </w:p>
    <w:p>
      <w:pPr>
        <w:spacing w:line="360" w:lineRule="auto"/>
        <w:ind w:left="638" w:leftChars="304"/>
        <w:jc w:val="left"/>
        <w:rPr>
          <w:rFonts w:ascii="隶书" w:hAnsi="隶书" w:eastAsia="隶书" w:cs="隶书"/>
          <w:sz w:val="48"/>
          <w:szCs w:val="48"/>
        </w:rPr>
      </w:pPr>
      <w:r>
        <w:rPr>
          <w:rFonts w:hint="eastAsia" w:ascii="宋体" w:hAnsi="宋体" w:cs="宋体"/>
          <w:sz w:val="32"/>
          <w:szCs w:val="32"/>
        </w:rPr>
        <w:t>纳入石材园区</w:t>
      </w:r>
      <w:r>
        <w:rPr>
          <w:rFonts w:ascii="??_GB2312" w:hAnsi="??_GB2312" w:cs="??_GB2312"/>
          <w:sz w:val="32"/>
          <w:szCs w:val="32"/>
        </w:rPr>
        <w:t>2016</w:t>
      </w:r>
      <w:r>
        <w:rPr>
          <w:rFonts w:hint="eastAsia" w:ascii="宋体" w:hAnsi="宋体" w:cs="宋体"/>
          <w:sz w:val="32"/>
          <w:szCs w:val="32"/>
        </w:rPr>
        <w:t>年度部门决算编制范围的单位包括：</w:t>
      </w:r>
      <w:r>
        <w:rPr>
          <w:rFonts w:ascii="??_GB2312" w:hAnsi="??_GB2312" w:cs="??_GB2312"/>
          <w:sz w:val="32"/>
          <w:szCs w:val="32"/>
        </w:rPr>
        <w:t>1</w:t>
      </w:r>
      <w:r>
        <w:rPr>
          <w:rFonts w:hint="eastAsia" w:ascii="宋体" w:hAnsi="宋体" w:cs="宋体"/>
          <w:sz w:val="32"/>
          <w:szCs w:val="32"/>
        </w:rPr>
        <w:t>、石材园区本级。</w:t>
      </w:r>
    </w:p>
    <w:p>
      <w:pPr>
        <w:spacing w:line="360" w:lineRule="auto"/>
        <w:ind w:firstLine="482" w:firstLineChars="150"/>
        <w:jc w:val="left"/>
        <w:rPr>
          <w:rFonts w:ascii="宋体" w:cs="隶书"/>
          <w:b/>
          <w:color w:val="000000"/>
          <w:sz w:val="32"/>
          <w:szCs w:val="32"/>
        </w:rPr>
      </w:pPr>
      <w:r>
        <w:rPr>
          <w:rFonts w:hint="eastAsia" w:ascii="宋体" w:hAnsi="宋体" w:cs="隶书"/>
          <w:b/>
          <w:color w:val="000000"/>
          <w:sz w:val="32"/>
          <w:szCs w:val="32"/>
        </w:rPr>
        <w:t>三、机构设置情况</w:t>
      </w:r>
    </w:p>
    <w:p>
      <w:pPr>
        <w:spacing w:line="360" w:lineRule="auto"/>
        <w:ind w:firstLine="645"/>
        <w:jc w:val="left"/>
        <w:rPr>
          <w:rFonts w:ascii="宋体" w:cs="隶书"/>
          <w:color w:val="000000"/>
          <w:sz w:val="32"/>
          <w:szCs w:val="32"/>
        </w:rPr>
      </w:pPr>
      <w:r>
        <w:rPr>
          <w:rFonts w:hint="eastAsia" w:ascii="宋体" w:hAnsi="宋体" w:cs="隶书"/>
          <w:color w:val="000000"/>
          <w:sz w:val="32"/>
          <w:szCs w:val="32"/>
        </w:rPr>
        <w:t>石材园区机构设置情况主要如下：</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综合办公室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农村工作办公室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企业服务办公室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矿产与资源办公室</w:t>
      </w:r>
    </w:p>
    <w:p>
      <w:pPr>
        <w:numPr>
          <w:ilvl w:val="0"/>
          <w:numId w:val="2"/>
        </w:numPr>
        <w:spacing w:line="360" w:lineRule="auto"/>
        <w:jc w:val="left"/>
        <w:rPr>
          <w:rFonts w:ascii="宋体" w:cs="隶书"/>
          <w:color w:val="000000"/>
          <w:sz w:val="32"/>
          <w:szCs w:val="32"/>
        </w:rPr>
      </w:pPr>
      <w:r>
        <w:rPr>
          <w:rFonts w:hint="eastAsia" w:ascii="宋体" w:hAnsi="宋体" w:cs="隶书"/>
          <w:color w:val="000000"/>
          <w:sz w:val="32"/>
          <w:szCs w:val="32"/>
        </w:rPr>
        <w:t>财务室</w:t>
      </w: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rPr>
          <w:rFonts w:ascii="隶书" w:hAnsi="隶书" w:eastAsia="隶书" w:cs="隶书"/>
          <w:sz w:val="48"/>
          <w:szCs w:val="48"/>
        </w:rPr>
      </w:pPr>
    </w:p>
    <w:p>
      <w:pPr>
        <w:spacing w:line="360" w:lineRule="auto"/>
        <w:jc w:val="center"/>
        <w:rPr>
          <w:rFonts w:ascii="隶书" w:hAnsi="隶书" w:eastAsia="隶书" w:cs="隶书"/>
          <w:sz w:val="48"/>
          <w:szCs w:val="48"/>
        </w:rPr>
      </w:pPr>
      <w:r>
        <w:rPr>
          <w:rFonts w:hint="eastAsia" w:ascii="隶书" w:hAnsi="隶书" w:eastAsia="隶书" w:cs="隶书"/>
          <w:sz w:val="48"/>
          <w:szCs w:val="48"/>
        </w:rPr>
        <w:t>第二部分</w:t>
      </w:r>
    </w:p>
    <w:p>
      <w:pPr>
        <w:jc w:val="center"/>
        <w:rPr>
          <w:rFonts w:ascii="隶书" w:hAnsi="隶书" w:eastAsia="隶书" w:cs="隶书"/>
          <w:sz w:val="48"/>
          <w:szCs w:val="48"/>
        </w:rPr>
      </w:pPr>
      <w:r>
        <w:rPr>
          <w:rFonts w:hint="eastAsia" w:ascii="隶书" w:hAnsi="隶书" w:eastAsia="隶书" w:cs="隶书"/>
          <w:sz w:val="48"/>
          <w:szCs w:val="48"/>
        </w:rPr>
        <w:t>石材园区</w:t>
      </w:r>
      <w:r>
        <w:rPr>
          <w:rFonts w:ascii="隶书" w:hAnsi="隶书" w:eastAsia="隶书" w:cs="隶书"/>
          <w:sz w:val="48"/>
          <w:szCs w:val="48"/>
        </w:rPr>
        <w:t>2016</w:t>
      </w:r>
      <w:r>
        <w:rPr>
          <w:rFonts w:hint="eastAsia" w:ascii="隶书" w:hAnsi="隶书" w:eastAsia="隶书" w:cs="隶书"/>
          <w:sz w:val="48"/>
          <w:szCs w:val="48"/>
        </w:rPr>
        <w:t>年度部门决算表</w:t>
      </w:r>
    </w:p>
    <w:p>
      <w:pPr>
        <w:jc w:val="center"/>
        <w:rPr>
          <w:rFonts w:ascii="隶书" w:hAnsi="隶书" w:eastAsia="隶书" w:cs="隶书"/>
          <w:sz w:val="48"/>
          <w:szCs w:val="48"/>
        </w:rPr>
      </w:pPr>
    </w:p>
    <w:p>
      <w:pPr>
        <w:rPr>
          <w:rFonts w:ascii="隶书" w:hAnsi="隶书" w:eastAsia="隶书" w:cs="隶书"/>
          <w:sz w:val="48"/>
          <w:szCs w:val="48"/>
        </w:rPr>
      </w:pPr>
    </w:p>
    <w:p>
      <w:pPr>
        <w:jc w:val="left"/>
        <w:rPr>
          <w:rFonts w:ascii="??_GB2312" w:hAnsi="??_GB2312" w:cs="??_GB2312"/>
          <w:sz w:val="32"/>
          <w:szCs w:val="32"/>
        </w:rPr>
      </w:pPr>
      <w:r>
        <w:rPr>
          <w:rFonts w:hint="eastAsia" w:ascii="宋体" w:hAnsi="宋体" w:cs="宋体"/>
          <w:sz w:val="32"/>
          <w:szCs w:val="32"/>
        </w:rPr>
        <w:t>一、部门收入支出决算总体情况表</w:t>
      </w:r>
    </w:p>
    <w:p>
      <w:pPr>
        <w:jc w:val="left"/>
        <w:rPr>
          <w:rFonts w:ascii="??_GB2312" w:hAnsi="??_GB2312" w:cs="??_GB2312"/>
          <w:sz w:val="32"/>
          <w:szCs w:val="32"/>
        </w:rPr>
      </w:pPr>
      <w:r>
        <w:rPr>
          <w:rFonts w:hint="eastAsia" w:ascii="宋体" w:hAnsi="宋体" w:cs="宋体"/>
          <w:sz w:val="32"/>
          <w:szCs w:val="32"/>
        </w:rPr>
        <w:t>二、收入决算情况表</w:t>
      </w:r>
    </w:p>
    <w:p>
      <w:pPr>
        <w:jc w:val="left"/>
        <w:rPr>
          <w:rFonts w:ascii="??_GB2312" w:hAnsi="??_GB2312" w:cs="??_GB2312"/>
          <w:sz w:val="32"/>
          <w:szCs w:val="32"/>
        </w:rPr>
      </w:pPr>
      <w:r>
        <w:rPr>
          <w:rFonts w:hint="eastAsia" w:ascii="宋体" w:hAnsi="宋体" w:cs="宋体"/>
          <w:sz w:val="32"/>
          <w:szCs w:val="32"/>
        </w:rPr>
        <w:t>三、支出决算情况表</w:t>
      </w:r>
    </w:p>
    <w:p>
      <w:pPr>
        <w:jc w:val="left"/>
        <w:rPr>
          <w:rFonts w:ascii="??_GB2312" w:hAnsi="??_GB2312" w:cs="??_GB2312"/>
          <w:sz w:val="32"/>
          <w:szCs w:val="32"/>
        </w:rPr>
      </w:pPr>
      <w:r>
        <w:rPr>
          <w:rFonts w:hint="eastAsia" w:ascii="宋体" w:hAnsi="宋体" w:cs="宋体"/>
          <w:sz w:val="32"/>
          <w:szCs w:val="32"/>
        </w:rPr>
        <w:t>四、财政拨款收入支出决算总体情况表</w:t>
      </w:r>
    </w:p>
    <w:p>
      <w:pPr>
        <w:jc w:val="left"/>
        <w:rPr>
          <w:rFonts w:ascii="??_GB2312" w:hAnsi="??_GB2312" w:cs="??_GB2312"/>
          <w:sz w:val="32"/>
          <w:szCs w:val="32"/>
        </w:rPr>
      </w:pPr>
      <w:r>
        <w:rPr>
          <w:rFonts w:hint="eastAsia" w:ascii="宋体" w:hAnsi="宋体" w:cs="宋体"/>
          <w:sz w:val="32"/>
          <w:szCs w:val="32"/>
        </w:rPr>
        <w:t>五、一般公共预算财政拨款支出决算情况表</w:t>
      </w:r>
    </w:p>
    <w:p>
      <w:pPr>
        <w:jc w:val="left"/>
        <w:rPr>
          <w:rFonts w:ascii="??_GB2312" w:hAnsi="??_GB2312" w:cs="??_GB2312"/>
          <w:sz w:val="32"/>
          <w:szCs w:val="32"/>
        </w:rPr>
      </w:pPr>
      <w:r>
        <w:rPr>
          <w:rFonts w:hint="eastAsia" w:ascii="宋体" w:hAnsi="宋体" w:cs="宋体"/>
          <w:sz w:val="32"/>
          <w:szCs w:val="32"/>
        </w:rPr>
        <w:t>六、一般公共预算财政拨款基本支出决算情况表</w:t>
      </w:r>
    </w:p>
    <w:p>
      <w:pPr>
        <w:jc w:val="left"/>
        <w:rPr>
          <w:rFonts w:ascii="??_GB2312" w:hAnsi="??_GB2312" w:cs="??_GB2312"/>
          <w:sz w:val="32"/>
          <w:szCs w:val="32"/>
        </w:rPr>
      </w:pPr>
      <w:r>
        <w:rPr>
          <w:rFonts w:hint="eastAsia" w:ascii="宋体" w:hAnsi="宋体" w:cs="宋体"/>
          <w:sz w:val="32"/>
          <w:szCs w:val="32"/>
        </w:rPr>
        <w:t>七、一般公共预算财政拨款</w:t>
      </w:r>
      <w:r>
        <w:rPr>
          <w:rFonts w:ascii="??_GB2312" w:hAnsi="??_GB2312" w:cs="??_GB2312"/>
          <w:sz w:val="32"/>
          <w:szCs w:val="32"/>
        </w:rPr>
        <w:t>“</w:t>
      </w:r>
      <w:r>
        <w:rPr>
          <w:rFonts w:hint="eastAsia" w:ascii="宋体" w:hAnsi="宋体" w:cs="宋体"/>
          <w:sz w:val="32"/>
          <w:szCs w:val="32"/>
        </w:rPr>
        <w:t>三公</w:t>
      </w:r>
      <w:r>
        <w:rPr>
          <w:rFonts w:ascii="??_GB2312" w:hAnsi="??_GB2312" w:cs="??_GB2312"/>
          <w:sz w:val="32"/>
          <w:szCs w:val="32"/>
        </w:rPr>
        <w:t>”</w:t>
      </w:r>
      <w:r>
        <w:rPr>
          <w:rFonts w:hint="eastAsia" w:ascii="宋体" w:hAnsi="宋体" w:cs="宋体"/>
          <w:sz w:val="32"/>
          <w:szCs w:val="32"/>
        </w:rPr>
        <w:t>经费支出决算情况表</w:t>
      </w:r>
    </w:p>
    <w:p>
      <w:pPr>
        <w:jc w:val="left"/>
        <w:rPr>
          <w:rFonts w:ascii="??_GB2312" w:hAnsi="??_GB2312" w:cs="??_GB2312"/>
          <w:sz w:val="32"/>
          <w:szCs w:val="32"/>
        </w:rPr>
      </w:pPr>
      <w:r>
        <w:rPr>
          <w:rFonts w:hint="eastAsia" w:ascii="宋体" w:hAnsi="宋体" w:cs="宋体"/>
          <w:sz w:val="32"/>
          <w:szCs w:val="32"/>
        </w:rPr>
        <w:t>八、政府性基金预算财政拨款收入支出决算情况表</w:t>
      </w:r>
    </w:p>
    <w:p>
      <w:pPr>
        <w:jc w:val="left"/>
        <w:rPr>
          <w:rFonts w:ascii="??_GB2312" w:hAnsi="??_GB2312" w:cs="??_GB2312"/>
          <w:sz w:val="32"/>
          <w:szCs w:val="32"/>
        </w:rPr>
        <w:sectPr>
          <w:footerReference r:id="rId4" w:type="default"/>
          <w:pgSz w:w="11906" w:h="16838"/>
          <w:pgMar w:top="1440" w:right="1800" w:bottom="1440" w:left="1800" w:header="851" w:footer="992" w:gutter="0"/>
          <w:pgNumType w:fmt="numberInDash"/>
          <w:cols w:space="425" w:num="1"/>
          <w:docGrid w:type="lines" w:linePitch="312" w:charSpace="0"/>
        </w:sectPr>
      </w:pPr>
      <w:r>
        <w:rPr>
          <w:rFonts w:hint="eastAsia" w:ascii="宋体" w:hAnsi="宋体" w:cs="宋体"/>
          <w:sz w:val="32"/>
          <w:szCs w:val="32"/>
        </w:rPr>
        <w:t>说明：石材专业园区没有政府性基金收入，也没有使用政府性基金支出，故本表无数据，公开表格为空表。</w:t>
      </w:r>
    </w:p>
    <w:p>
      <w:pPr>
        <w:widowControl/>
        <w:adjustRightInd w:val="0"/>
        <w:snapToGrid w:val="0"/>
        <w:ind w:right="100"/>
        <w:jc w:val="left"/>
        <w:rPr>
          <w:rFonts w:ascii="黑体" w:hAnsi="黑体" w:eastAsia="黑体"/>
          <w:sz w:val="32"/>
          <w:szCs w:val="32"/>
        </w:rPr>
      </w:pPr>
    </w:p>
    <w:tbl>
      <w:tblPr>
        <w:tblStyle w:val="6"/>
        <w:tblW w:w="10320" w:type="dxa"/>
        <w:tblInd w:w="-1051" w:type="dxa"/>
        <w:tblLayout w:type="fixed"/>
        <w:tblCellMar>
          <w:top w:w="15" w:type="dxa"/>
          <w:left w:w="15" w:type="dxa"/>
          <w:bottom w:w="15" w:type="dxa"/>
          <w:right w:w="15" w:type="dxa"/>
        </w:tblCellMar>
      </w:tblPr>
      <w:tblGrid>
        <w:gridCol w:w="705"/>
        <w:gridCol w:w="938"/>
        <w:gridCol w:w="709"/>
        <w:gridCol w:w="547"/>
        <w:gridCol w:w="353"/>
        <w:gridCol w:w="141"/>
        <w:gridCol w:w="97"/>
        <w:gridCol w:w="902"/>
        <w:gridCol w:w="236"/>
        <w:gridCol w:w="587"/>
        <w:gridCol w:w="176"/>
        <w:gridCol w:w="375"/>
        <w:gridCol w:w="624"/>
        <w:gridCol w:w="514"/>
        <w:gridCol w:w="160"/>
        <w:gridCol w:w="325"/>
        <w:gridCol w:w="68"/>
        <w:gridCol w:w="388"/>
        <w:gridCol w:w="197"/>
        <w:gridCol w:w="208"/>
        <w:gridCol w:w="138"/>
        <w:gridCol w:w="792"/>
        <w:gridCol w:w="1140"/>
      </w:tblGrid>
      <w:tr>
        <w:tblPrEx>
          <w:tblLayout w:type="fixed"/>
          <w:tblCellMar>
            <w:top w:w="15" w:type="dxa"/>
            <w:left w:w="15" w:type="dxa"/>
            <w:bottom w:w="15" w:type="dxa"/>
            <w:right w:w="15" w:type="dxa"/>
          </w:tblCellMar>
        </w:tblPrEx>
        <w:trPr>
          <w:trHeight w:val="375" w:hRule="atLeast"/>
        </w:trPr>
        <w:tc>
          <w:tcPr>
            <w:tcW w:w="10320" w:type="dxa"/>
            <w:gridSpan w:val="23"/>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收入支出决算总体情况表</w:t>
            </w:r>
          </w:p>
        </w:tc>
      </w:tr>
      <w:tr>
        <w:tblPrEx>
          <w:tblLayout w:type="fixed"/>
          <w:tblCellMar>
            <w:top w:w="15" w:type="dxa"/>
            <w:left w:w="15" w:type="dxa"/>
            <w:bottom w:w="15" w:type="dxa"/>
            <w:right w:w="15" w:type="dxa"/>
          </w:tblCellMar>
        </w:tblPrEx>
        <w:trPr>
          <w:trHeight w:val="315" w:hRule="atLeast"/>
        </w:trPr>
        <w:tc>
          <w:tcPr>
            <w:tcW w:w="2899" w:type="dxa"/>
            <w:gridSpan w:val="4"/>
            <w:vAlign w:val="center"/>
          </w:tcPr>
          <w:p>
            <w:pPr>
              <w:widowControl/>
              <w:jc w:val="left"/>
              <w:textAlignment w:val="center"/>
              <w:rPr>
                <w:rFonts w:ascii="宋体" w:cs="宋体"/>
                <w:color w:val="000000"/>
                <w:sz w:val="16"/>
                <w:szCs w:val="16"/>
              </w:rPr>
            </w:pPr>
            <w:r>
              <w:rPr>
                <w:rFonts w:ascii="宋体" w:cs="宋体"/>
                <w:color w:val="000000"/>
                <w:kern w:val="0"/>
                <w:sz w:val="16"/>
                <w:szCs w:val="16"/>
              </w:rPr>
              <w:t>.</w:t>
            </w:r>
          </w:p>
        </w:tc>
        <w:tc>
          <w:tcPr>
            <w:tcW w:w="353" w:type="dxa"/>
            <w:vAlign w:val="center"/>
          </w:tcPr>
          <w:p>
            <w:pPr>
              <w:rPr>
                <w:rFonts w:ascii="宋体" w:cs="宋体"/>
                <w:color w:val="000000"/>
                <w:sz w:val="16"/>
                <w:szCs w:val="16"/>
              </w:rPr>
            </w:pPr>
          </w:p>
        </w:tc>
        <w:tc>
          <w:tcPr>
            <w:tcW w:w="1963" w:type="dxa"/>
            <w:gridSpan w:val="5"/>
            <w:vAlign w:val="center"/>
          </w:tcPr>
          <w:p>
            <w:pPr>
              <w:rPr>
                <w:rFonts w:ascii="宋体" w:cs="宋体"/>
                <w:color w:val="000000"/>
                <w:sz w:val="16"/>
                <w:szCs w:val="16"/>
              </w:rPr>
            </w:pPr>
          </w:p>
        </w:tc>
        <w:tc>
          <w:tcPr>
            <w:tcW w:w="1849" w:type="dxa"/>
            <w:gridSpan w:val="5"/>
            <w:vAlign w:val="center"/>
          </w:tcPr>
          <w:p>
            <w:pPr>
              <w:rPr>
                <w:rFonts w:ascii="宋体" w:cs="宋体"/>
                <w:color w:val="000000"/>
                <w:sz w:val="16"/>
                <w:szCs w:val="16"/>
              </w:rPr>
            </w:pPr>
          </w:p>
        </w:tc>
        <w:tc>
          <w:tcPr>
            <w:tcW w:w="393" w:type="dxa"/>
            <w:gridSpan w:val="2"/>
            <w:vAlign w:val="center"/>
          </w:tcPr>
          <w:p>
            <w:pPr>
              <w:rPr>
                <w:rFonts w:ascii="宋体" w:cs="宋体"/>
                <w:color w:val="000000"/>
                <w:sz w:val="16"/>
                <w:szCs w:val="16"/>
              </w:rPr>
            </w:pPr>
          </w:p>
        </w:tc>
        <w:tc>
          <w:tcPr>
            <w:tcW w:w="2863" w:type="dxa"/>
            <w:gridSpan w:val="6"/>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2899" w:type="dxa"/>
            <w:gridSpan w:val="4"/>
            <w:vAlign w:val="center"/>
          </w:tcPr>
          <w:p>
            <w:pPr>
              <w:rPr>
                <w:rFonts w:ascii="宋体" w:cs="宋体"/>
                <w:color w:val="000000"/>
                <w:sz w:val="16"/>
                <w:szCs w:val="16"/>
              </w:rPr>
            </w:pPr>
          </w:p>
        </w:tc>
        <w:tc>
          <w:tcPr>
            <w:tcW w:w="353" w:type="dxa"/>
            <w:vAlign w:val="center"/>
          </w:tcPr>
          <w:p>
            <w:pPr>
              <w:rPr>
                <w:rFonts w:ascii="宋体" w:cs="宋体"/>
                <w:color w:val="000000"/>
                <w:sz w:val="16"/>
                <w:szCs w:val="16"/>
              </w:rPr>
            </w:pPr>
          </w:p>
        </w:tc>
        <w:tc>
          <w:tcPr>
            <w:tcW w:w="1963" w:type="dxa"/>
            <w:gridSpan w:val="5"/>
            <w:vAlign w:val="center"/>
          </w:tcPr>
          <w:p>
            <w:pPr>
              <w:rPr>
                <w:rFonts w:ascii="宋体" w:cs="宋体"/>
                <w:color w:val="000000"/>
                <w:sz w:val="16"/>
                <w:szCs w:val="16"/>
              </w:rPr>
            </w:pPr>
          </w:p>
        </w:tc>
        <w:tc>
          <w:tcPr>
            <w:tcW w:w="1849" w:type="dxa"/>
            <w:gridSpan w:val="5"/>
            <w:vAlign w:val="center"/>
          </w:tcPr>
          <w:p>
            <w:pPr>
              <w:rPr>
                <w:rFonts w:ascii="宋体" w:cs="宋体"/>
                <w:color w:val="000000"/>
                <w:sz w:val="16"/>
                <w:szCs w:val="16"/>
              </w:rPr>
            </w:pPr>
          </w:p>
        </w:tc>
        <w:tc>
          <w:tcPr>
            <w:tcW w:w="393" w:type="dxa"/>
            <w:gridSpan w:val="2"/>
            <w:vAlign w:val="center"/>
          </w:tcPr>
          <w:p>
            <w:pPr>
              <w:rPr>
                <w:rFonts w:ascii="宋体" w:cs="宋体"/>
                <w:color w:val="000000"/>
                <w:sz w:val="16"/>
                <w:szCs w:val="16"/>
              </w:rPr>
            </w:pPr>
          </w:p>
        </w:tc>
        <w:tc>
          <w:tcPr>
            <w:tcW w:w="2863" w:type="dxa"/>
            <w:gridSpan w:val="6"/>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15" w:type="dxa"/>
            <w:gridSpan w:val="10"/>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5105" w:type="dxa"/>
            <w:gridSpan w:val="13"/>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35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一、财政拨款收入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135.83</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二、上级补助收入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三、事业收入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四、经营收入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五、附属单位上缴收入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六、其他收入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1" w:firstLineChars="100"/>
              <w:jc w:val="right"/>
              <w:textAlignment w:val="center"/>
              <w:rPr>
                <w:rFonts w:ascii="宋体" w:cs="宋体"/>
                <w:b/>
                <w:color w:val="000000"/>
                <w:sz w:val="16"/>
                <w:szCs w:val="16"/>
              </w:rPr>
            </w:pPr>
            <w:r>
              <w:rPr>
                <w:rFonts w:ascii="宋体" w:cs="宋体"/>
                <w:b/>
                <w:color w:val="000000"/>
                <w:sz w:val="16"/>
                <w:szCs w:val="16"/>
              </w:rPr>
              <w:t>135.83</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用事业基金弥补收支差额</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结余分配</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年初结转和结余</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年末结转和结余</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353"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28</w:t>
            </w:r>
          </w:p>
        </w:tc>
        <w:tc>
          <w:tcPr>
            <w:tcW w:w="1963" w:type="dxa"/>
            <w:gridSpan w:val="5"/>
            <w:tcBorders>
              <w:top w:val="single" w:color="000000" w:sz="4" w:space="0"/>
              <w:left w:val="single" w:color="000000" w:sz="4" w:space="0"/>
              <w:bottom w:val="single" w:color="000000" w:sz="12" w:space="0"/>
              <w:right w:val="single" w:color="000000" w:sz="4" w:space="0"/>
            </w:tcBorders>
            <w:vAlign w:val="center"/>
          </w:tcPr>
          <w:p>
            <w:pPr>
              <w:widowControl/>
              <w:ind w:firstLine="161" w:firstLineChars="100"/>
              <w:jc w:val="right"/>
              <w:textAlignment w:val="center"/>
              <w:rPr>
                <w:rFonts w:ascii="宋体" w:cs="宋体"/>
                <w:b/>
                <w:color w:val="000000"/>
                <w:sz w:val="16"/>
                <w:szCs w:val="16"/>
              </w:rPr>
            </w:pPr>
            <w:r>
              <w:rPr>
                <w:rFonts w:ascii="宋体" w:cs="宋体"/>
                <w:b/>
                <w:color w:val="000000"/>
                <w:sz w:val="16"/>
                <w:szCs w:val="16"/>
              </w:rPr>
              <w:t>135.83</w:t>
            </w:r>
          </w:p>
        </w:tc>
        <w:tc>
          <w:tcPr>
            <w:tcW w:w="2630" w:type="dxa"/>
            <w:gridSpan w:val="8"/>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56</w:t>
            </w:r>
          </w:p>
        </w:tc>
        <w:tc>
          <w:tcPr>
            <w:tcW w:w="2070" w:type="dxa"/>
            <w:gridSpan w:val="3"/>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r>
      <w:tr>
        <w:tblPrEx>
          <w:tblLayout w:type="fixed"/>
          <w:tblCellMar>
            <w:top w:w="15" w:type="dxa"/>
            <w:left w:w="15" w:type="dxa"/>
            <w:bottom w:w="15" w:type="dxa"/>
            <w:right w:w="15" w:type="dxa"/>
          </w:tblCellMar>
        </w:tblPrEx>
        <w:trPr>
          <w:trHeight w:val="555" w:hRule="atLeast"/>
        </w:trPr>
        <w:tc>
          <w:tcPr>
            <w:tcW w:w="10320" w:type="dxa"/>
            <w:gridSpan w:val="23"/>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注：本表反映部门本年度的总收支和年末结转结余情况。</w:t>
            </w:r>
          </w:p>
        </w:tc>
      </w:tr>
      <w:tr>
        <w:tblPrEx>
          <w:tblLayout w:type="fixed"/>
          <w:tblCellMar>
            <w:top w:w="15" w:type="dxa"/>
            <w:left w:w="15" w:type="dxa"/>
            <w:bottom w:w="15" w:type="dxa"/>
            <w:right w:w="15" w:type="dxa"/>
          </w:tblCellMar>
        </w:tblPrEx>
        <w:trPr>
          <w:trHeight w:val="375" w:hRule="atLeast"/>
        </w:trPr>
        <w:tc>
          <w:tcPr>
            <w:tcW w:w="10320" w:type="dxa"/>
            <w:gridSpan w:val="23"/>
            <w:vAlign w:val="center"/>
          </w:tcPr>
          <w:p>
            <w:pPr>
              <w:widowControl/>
              <w:jc w:val="center"/>
              <w:textAlignment w:val="center"/>
              <w:rPr>
                <w:rFonts w:ascii="黑体" w:hAnsi="宋体" w:eastAsia="黑体" w:cs="黑体"/>
                <w:color w:val="000000"/>
                <w:kern w:val="0"/>
                <w:sz w:val="28"/>
                <w:szCs w:val="28"/>
              </w:rPr>
            </w:pPr>
          </w:p>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收入决算情况表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5"/>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5"/>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1138" w:type="dxa"/>
            <w:gridSpan w:val="4"/>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财政拨款收入</w:t>
            </w:r>
          </w:p>
        </w:tc>
        <w:tc>
          <w:tcPr>
            <w:tcW w:w="1138"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上级补助收入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事业收入</w:t>
            </w:r>
          </w:p>
        </w:tc>
        <w:tc>
          <w:tcPr>
            <w:tcW w:w="1138" w:type="dxa"/>
            <w:gridSpan w:val="5"/>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经营收入</w:t>
            </w:r>
          </w:p>
        </w:tc>
        <w:tc>
          <w:tcPr>
            <w:tcW w:w="1138"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附属单位</w:t>
            </w:r>
            <w:r>
              <w:rPr>
                <w:rFonts w:ascii="宋体" w:cs="宋体"/>
                <w:b/>
                <w:color w:val="000000"/>
                <w:kern w:val="0"/>
                <w:sz w:val="16"/>
                <w:szCs w:val="16"/>
              </w:rPr>
              <w:br w:type="textWrapping"/>
            </w:r>
            <w:r>
              <w:rPr>
                <w:rFonts w:hint="eastAsia" w:ascii="宋体" w:hAnsi="宋体" w:cs="宋体"/>
                <w:b/>
                <w:color w:val="000000"/>
                <w:kern w:val="0"/>
                <w:sz w:val="16"/>
                <w:szCs w:val="16"/>
              </w:rPr>
              <w:t>上缴收入</w:t>
            </w:r>
          </w:p>
        </w:tc>
        <w:tc>
          <w:tcPr>
            <w:tcW w:w="114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其他收入</w:t>
            </w:r>
          </w:p>
        </w:tc>
      </w:tr>
      <w:tr>
        <w:tblPrEx>
          <w:tblLayout w:type="fixed"/>
          <w:tblCellMar>
            <w:top w:w="15" w:type="dxa"/>
            <w:left w:w="15" w:type="dxa"/>
            <w:bottom w:w="15" w:type="dxa"/>
            <w:right w:w="15" w:type="dxa"/>
          </w:tblCellMar>
        </w:tblPrEx>
        <w:trPr>
          <w:trHeight w:val="6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38" w:type="dxa"/>
            <w:gridSpan w:val="4"/>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5"/>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人大事务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行政运行</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2010102</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一般行政管理事务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2010103</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机关服务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2010104</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人大会议</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2010105</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人大立法</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20" w:type="dxa"/>
            <w:gridSpan w:val="23"/>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35" w:type="dxa"/>
        <w:tblInd w:w="-1051" w:type="dxa"/>
        <w:tblLayout w:type="fixed"/>
        <w:tblCellMar>
          <w:top w:w="15" w:type="dxa"/>
          <w:left w:w="15" w:type="dxa"/>
          <w:bottom w:w="15" w:type="dxa"/>
          <w:right w:w="15" w:type="dxa"/>
        </w:tblCellMar>
      </w:tblPr>
      <w:tblGrid>
        <w:gridCol w:w="720"/>
        <w:gridCol w:w="992"/>
        <w:gridCol w:w="1519"/>
        <w:gridCol w:w="1161"/>
        <w:gridCol w:w="23"/>
        <w:gridCol w:w="976"/>
        <w:gridCol w:w="208"/>
        <w:gridCol w:w="791"/>
        <w:gridCol w:w="393"/>
        <w:gridCol w:w="606"/>
        <w:gridCol w:w="578"/>
        <w:gridCol w:w="421"/>
        <w:gridCol w:w="763"/>
        <w:gridCol w:w="1184"/>
      </w:tblGrid>
      <w:tr>
        <w:tblPrEx>
          <w:tblLayout w:type="fixed"/>
          <w:tblCellMar>
            <w:top w:w="15" w:type="dxa"/>
            <w:left w:w="15" w:type="dxa"/>
            <w:bottom w:w="15" w:type="dxa"/>
            <w:right w:w="15" w:type="dxa"/>
          </w:tblCellMar>
        </w:tblPrEx>
        <w:trPr>
          <w:trHeight w:val="375" w:hRule="atLeast"/>
        </w:trPr>
        <w:tc>
          <w:tcPr>
            <w:tcW w:w="10335" w:type="dxa"/>
            <w:gridSpan w:val="14"/>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支出决算情况表</w:t>
            </w:r>
          </w:p>
        </w:tc>
      </w:tr>
      <w:tr>
        <w:tblPrEx>
          <w:tblLayout w:type="fixed"/>
          <w:tblCellMar>
            <w:top w:w="15" w:type="dxa"/>
            <w:left w:w="15" w:type="dxa"/>
            <w:bottom w:w="15" w:type="dxa"/>
            <w:right w:w="15" w:type="dxa"/>
          </w:tblCellMar>
        </w:tblPrEx>
        <w:trPr>
          <w:trHeight w:val="315" w:hRule="atLeast"/>
        </w:trPr>
        <w:tc>
          <w:tcPr>
            <w:tcW w:w="1712" w:type="dxa"/>
            <w:gridSpan w:val="2"/>
            <w:vAlign w:val="center"/>
          </w:tcPr>
          <w:p>
            <w:pPr>
              <w:rPr>
                <w:rFonts w:ascii="宋体" w:cs="宋体"/>
                <w:color w:val="000000"/>
                <w:sz w:val="16"/>
                <w:szCs w:val="16"/>
              </w:rPr>
            </w:pPr>
          </w:p>
        </w:tc>
        <w:tc>
          <w:tcPr>
            <w:tcW w:w="1519" w:type="dxa"/>
            <w:vAlign w:val="center"/>
          </w:tcPr>
          <w:p>
            <w:pPr>
              <w:rPr>
                <w:rFonts w:ascii="宋体" w:cs="宋体"/>
                <w:color w:val="000000"/>
                <w:sz w:val="16"/>
                <w:szCs w:val="16"/>
              </w:rPr>
            </w:pP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1712" w:type="dxa"/>
            <w:gridSpan w:val="2"/>
            <w:vAlign w:val="center"/>
          </w:tcPr>
          <w:p>
            <w:pPr>
              <w:rPr>
                <w:rFonts w:ascii="宋体" w:cs="宋体"/>
                <w:color w:val="000000"/>
                <w:sz w:val="16"/>
                <w:szCs w:val="16"/>
              </w:rPr>
            </w:pPr>
          </w:p>
        </w:tc>
        <w:tc>
          <w:tcPr>
            <w:tcW w:w="1519" w:type="dxa"/>
            <w:vAlign w:val="center"/>
          </w:tcPr>
          <w:p>
            <w:pPr>
              <w:rPr>
                <w:rFonts w:ascii="宋体" w:cs="宋体"/>
                <w:color w:val="000000"/>
                <w:sz w:val="16"/>
                <w:szCs w:val="16"/>
              </w:rPr>
            </w:pP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上缴上级支出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经营支出</w:t>
            </w:r>
          </w:p>
        </w:tc>
        <w:tc>
          <w:tcPr>
            <w:tcW w:w="1184"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对附属单位</w:t>
            </w:r>
            <w:r>
              <w:rPr>
                <w:rFonts w:ascii="宋体" w:cs="宋体"/>
                <w:b/>
                <w:color w:val="000000"/>
                <w:kern w:val="0"/>
                <w:sz w:val="16"/>
                <w:szCs w:val="16"/>
              </w:rPr>
              <w:br w:type="textWrapping"/>
            </w:r>
            <w:r>
              <w:rPr>
                <w:rFonts w:hint="eastAsia" w:ascii="宋体" w:hAnsi="宋体" w:cs="宋体"/>
                <w:b/>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人大事务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行政运行</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2010102</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一般行政管理事务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2010103</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机关服务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2010104</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人大会议</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2010105</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人大立法</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2010106</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人大监督</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2010107</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人大代表履职能力提升</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2320411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国有土地使用权出让金债务付息支出</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35" w:type="dxa"/>
            <w:gridSpan w:val="14"/>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注：本表反映部门本年度取得的各项支出情况。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65" w:type="dxa"/>
        <w:tblInd w:w="-1066" w:type="dxa"/>
        <w:tblLayout w:type="fixed"/>
        <w:tblCellMar>
          <w:top w:w="15" w:type="dxa"/>
          <w:left w:w="15" w:type="dxa"/>
          <w:bottom w:w="15" w:type="dxa"/>
          <w:right w:w="15" w:type="dxa"/>
        </w:tblCellMar>
      </w:tblPr>
      <w:tblGrid>
        <w:gridCol w:w="1380"/>
        <w:gridCol w:w="675"/>
        <w:gridCol w:w="135"/>
        <w:gridCol w:w="278"/>
        <w:gridCol w:w="122"/>
        <w:gridCol w:w="193"/>
        <w:gridCol w:w="1072"/>
        <w:gridCol w:w="30"/>
        <w:gridCol w:w="1746"/>
        <w:gridCol w:w="316"/>
        <w:gridCol w:w="68"/>
        <w:gridCol w:w="135"/>
        <w:gridCol w:w="30"/>
        <w:gridCol w:w="295"/>
        <w:gridCol w:w="471"/>
        <w:gridCol w:w="809"/>
        <w:gridCol w:w="15"/>
        <w:gridCol w:w="175"/>
        <w:gridCol w:w="230"/>
        <w:gridCol w:w="890"/>
        <w:gridCol w:w="1270"/>
        <w:gridCol w:w="30"/>
      </w:tblGrid>
      <w:tr>
        <w:tblPrEx>
          <w:tblLayout w:type="fixed"/>
          <w:tblCellMar>
            <w:top w:w="15" w:type="dxa"/>
            <w:left w:w="15" w:type="dxa"/>
            <w:bottom w:w="15" w:type="dxa"/>
            <w:right w:w="15" w:type="dxa"/>
          </w:tblCellMar>
        </w:tblPrEx>
        <w:trPr>
          <w:trHeight w:val="375" w:hRule="atLeast"/>
        </w:trPr>
        <w:tc>
          <w:tcPr>
            <w:tcW w:w="10365" w:type="dxa"/>
            <w:gridSpan w:val="2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财政拨款收入支出决算情况表</w:t>
            </w:r>
          </w:p>
        </w:tc>
      </w:tr>
      <w:tr>
        <w:tblPrEx>
          <w:tblLayout w:type="fixed"/>
          <w:tblCellMar>
            <w:top w:w="15" w:type="dxa"/>
            <w:left w:w="15" w:type="dxa"/>
            <w:bottom w:w="15" w:type="dxa"/>
            <w:right w:w="15" w:type="dxa"/>
          </w:tblCellMar>
        </w:tblPrEx>
        <w:trPr>
          <w:trHeight w:val="285" w:hRule="atLeast"/>
        </w:trPr>
        <w:tc>
          <w:tcPr>
            <w:tcW w:w="2468" w:type="dxa"/>
            <w:gridSpan w:val="4"/>
            <w:vAlign w:val="center"/>
          </w:tcPr>
          <w:p>
            <w:pPr>
              <w:rPr>
                <w:rFonts w:ascii="宋体" w:cs="宋体"/>
                <w:color w:val="000000"/>
                <w:sz w:val="16"/>
                <w:szCs w:val="16"/>
              </w:rPr>
            </w:pPr>
          </w:p>
        </w:tc>
        <w:tc>
          <w:tcPr>
            <w:tcW w:w="315" w:type="dxa"/>
            <w:gridSpan w:val="2"/>
            <w:vAlign w:val="center"/>
          </w:tcPr>
          <w:p>
            <w:pPr>
              <w:rPr>
                <w:rFonts w:ascii="宋体" w:cs="宋体"/>
                <w:color w:val="000000"/>
                <w:sz w:val="16"/>
                <w:szCs w:val="16"/>
              </w:rPr>
            </w:pPr>
          </w:p>
        </w:tc>
        <w:tc>
          <w:tcPr>
            <w:tcW w:w="1102" w:type="dxa"/>
            <w:gridSpan w:val="2"/>
            <w:vAlign w:val="center"/>
          </w:tcPr>
          <w:p>
            <w:pPr>
              <w:rPr>
                <w:rFonts w:ascii="宋体" w:cs="宋体"/>
                <w:color w:val="000000"/>
                <w:sz w:val="16"/>
                <w:szCs w:val="16"/>
              </w:rPr>
            </w:pP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5"/>
            <w:vAlign w:val="center"/>
          </w:tcPr>
          <w:p>
            <w:pPr>
              <w:jc w:val="right"/>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2420" w:type="dxa"/>
            <w:gridSpan w:val="4"/>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85" w:hRule="atLeast"/>
        </w:trPr>
        <w:tc>
          <w:tcPr>
            <w:tcW w:w="2468" w:type="dxa"/>
            <w:gridSpan w:val="4"/>
            <w:vAlign w:val="center"/>
          </w:tcPr>
          <w:p>
            <w:pPr>
              <w:rPr>
                <w:rFonts w:ascii="宋体" w:cs="宋体"/>
                <w:color w:val="000000"/>
                <w:sz w:val="16"/>
                <w:szCs w:val="16"/>
              </w:rPr>
            </w:pPr>
          </w:p>
        </w:tc>
        <w:tc>
          <w:tcPr>
            <w:tcW w:w="315" w:type="dxa"/>
            <w:gridSpan w:val="2"/>
            <w:vAlign w:val="center"/>
          </w:tcPr>
          <w:p>
            <w:pPr>
              <w:rPr>
                <w:rFonts w:ascii="宋体" w:cs="宋体"/>
                <w:color w:val="000000"/>
                <w:sz w:val="16"/>
                <w:szCs w:val="16"/>
              </w:rPr>
            </w:pPr>
          </w:p>
        </w:tc>
        <w:tc>
          <w:tcPr>
            <w:tcW w:w="1102" w:type="dxa"/>
            <w:gridSpan w:val="2"/>
            <w:vAlign w:val="center"/>
          </w:tcPr>
          <w:p>
            <w:pPr>
              <w:rPr>
                <w:rFonts w:ascii="宋体" w:cs="宋体"/>
                <w:color w:val="000000"/>
                <w:sz w:val="16"/>
                <w:szCs w:val="16"/>
              </w:rPr>
            </w:pP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5"/>
            <w:vAlign w:val="center"/>
          </w:tcPr>
          <w:p>
            <w:pPr>
              <w:jc w:val="right"/>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2420" w:type="dxa"/>
            <w:gridSpan w:val="4"/>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885" w:type="dxa"/>
            <w:gridSpan w:val="8"/>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6480" w:type="dxa"/>
            <w:gridSpan w:val="14"/>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一般公共预算财政拨款</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政府性基金预算财政拨款</w:t>
            </w: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w:t>
            </w:r>
            <w:r>
              <w:rPr>
                <w:rFonts w:ascii="宋体" w:hAnsi="宋体" w:cs="宋体"/>
                <w:b/>
                <w:color w:val="000000"/>
                <w:kern w:val="0"/>
                <w:sz w:val="16"/>
                <w:szCs w:val="16"/>
              </w:rPr>
              <w:t xml:space="preserve">    </w:t>
            </w:r>
            <w:r>
              <w:rPr>
                <w:rFonts w:hint="eastAsia" w:ascii="宋体" w:hAnsi="宋体" w:cs="宋体"/>
                <w:b/>
                <w:color w:val="000000"/>
                <w:kern w:val="0"/>
                <w:sz w:val="16"/>
                <w:szCs w:val="16"/>
              </w:rPr>
              <w:t>次</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二、外交支出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r>
              <w:rPr>
                <w:rFonts w:hint="eastAsia" w:ascii="宋体" w:cs="宋体"/>
                <w:color w:val="000000"/>
                <w:sz w:val="16"/>
                <w:szCs w:val="16"/>
              </w:rPr>
              <w:t>三、国有资本经营预算拨款</w:t>
            </w:r>
            <w:r>
              <w:rPr>
                <w:rFonts w:ascii="宋体" w:cs="宋体"/>
                <w:color w:val="000000"/>
                <w:sz w:val="16"/>
                <w:szCs w:val="16"/>
              </w:rPr>
              <w:t xml:space="preserve"> </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年初财政拨款结转和结余</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年末财政拨款结转和结余</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PrEx>
        <w:trPr>
          <w:trHeight w:val="285" w:hRule="atLeast"/>
        </w:trPr>
        <w:tc>
          <w:tcPr>
            <w:tcW w:w="2190" w:type="dxa"/>
            <w:gridSpan w:val="3"/>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0"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30</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2265" w:type="dxa"/>
            <w:gridSpan w:val="4"/>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325"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60</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1300"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495" w:hRule="atLeast"/>
        </w:trPr>
        <w:tc>
          <w:tcPr>
            <w:tcW w:w="10365" w:type="dxa"/>
            <w:gridSpan w:val="2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注：本表反映部门本年度一般公共预算财政拨款和政府性基金预算财政拨款的总收入和年末结转结余情况。</w:t>
            </w: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gridAfter w:val="1"/>
          <w:wAfter w:w="30" w:type="dxa"/>
          <w:trHeight w:val="375" w:hRule="atLeast"/>
        </w:trPr>
        <w:tc>
          <w:tcPr>
            <w:tcW w:w="10335" w:type="dxa"/>
            <w:gridSpan w:val="21"/>
            <w:vAlign w:val="bottom"/>
          </w:tcPr>
          <w:p>
            <w:pPr>
              <w:widowControl/>
              <w:jc w:val="center"/>
              <w:textAlignment w:val="bottom"/>
              <w:rPr>
                <w:rFonts w:ascii="黑体" w:hAnsi="宋体" w:eastAsia="黑体" w:cs="黑体"/>
                <w:color w:val="000000"/>
                <w:sz w:val="28"/>
                <w:szCs w:val="28"/>
              </w:rPr>
            </w:pPr>
            <w:r>
              <w:rPr>
                <w:rFonts w:ascii="隶书" w:hAnsi="隶书" w:eastAsia="隶书" w:cs="隶书"/>
                <w:sz w:val="52"/>
                <w:szCs w:val="52"/>
              </w:rPr>
              <w:br w:type="page"/>
            </w:r>
            <w:r>
              <w:rPr>
                <w:rFonts w:hint="eastAsia" w:ascii="黑体" w:hAnsi="宋体" w:eastAsia="黑体" w:cs="黑体"/>
                <w:color w:val="000000"/>
                <w:kern w:val="0"/>
                <w:sz w:val="28"/>
                <w:szCs w:val="28"/>
              </w:rPr>
              <w:t>一般公共预算财政拨款支出决算情况表</w:t>
            </w:r>
          </w:p>
        </w:tc>
      </w:tr>
      <w:tr>
        <w:tblPrEx>
          <w:tblLayout w:type="fixed"/>
          <w:tblCellMar>
            <w:top w:w="15" w:type="dxa"/>
            <w:left w:w="15" w:type="dxa"/>
            <w:bottom w:w="15" w:type="dxa"/>
            <w:right w:w="15" w:type="dxa"/>
          </w:tblCellMar>
        </w:tblPrEx>
        <w:trPr>
          <w:gridAfter w:val="1"/>
          <w:wAfter w:w="30" w:type="dxa"/>
          <w:trHeight w:val="285" w:hRule="atLeast"/>
        </w:trPr>
        <w:tc>
          <w:tcPr>
            <w:tcW w:w="2055" w:type="dxa"/>
            <w:gridSpan w:val="2"/>
            <w:vAlign w:val="center"/>
          </w:tcPr>
          <w:p>
            <w:pPr>
              <w:rPr>
                <w:rFonts w:ascii="宋体" w:cs="宋体"/>
                <w:color w:val="000000"/>
                <w:sz w:val="16"/>
                <w:szCs w:val="16"/>
              </w:rPr>
            </w:pPr>
          </w:p>
        </w:tc>
        <w:tc>
          <w:tcPr>
            <w:tcW w:w="1800" w:type="dxa"/>
            <w:gridSpan w:val="5"/>
            <w:vAlign w:val="center"/>
          </w:tcPr>
          <w:p>
            <w:pPr>
              <w:rPr>
                <w:rFonts w:ascii="宋体" w:cs="宋体"/>
                <w:color w:val="000000"/>
                <w:sz w:val="16"/>
                <w:szCs w:val="16"/>
              </w:rPr>
            </w:pPr>
          </w:p>
        </w:tc>
        <w:tc>
          <w:tcPr>
            <w:tcW w:w="2325" w:type="dxa"/>
            <w:gridSpan w:val="6"/>
            <w:vAlign w:val="center"/>
          </w:tcPr>
          <w:p>
            <w:pPr>
              <w:rPr>
                <w:rFonts w:ascii="宋体" w:cs="宋体"/>
                <w:color w:val="000000"/>
                <w:sz w:val="16"/>
                <w:szCs w:val="16"/>
              </w:rPr>
            </w:pPr>
          </w:p>
        </w:tc>
        <w:tc>
          <w:tcPr>
            <w:tcW w:w="1575" w:type="dxa"/>
            <w:gridSpan w:val="3"/>
            <w:vAlign w:val="center"/>
          </w:tcPr>
          <w:p>
            <w:pPr>
              <w:rPr>
                <w:rFonts w:ascii="宋体" w:cs="宋体"/>
                <w:color w:val="000000"/>
                <w:sz w:val="16"/>
                <w:szCs w:val="16"/>
              </w:rPr>
            </w:pPr>
          </w:p>
        </w:tc>
        <w:tc>
          <w:tcPr>
            <w:tcW w:w="2580" w:type="dxa"/>
            <w:gridSpan w:val="5"/>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gridAfter w:val="1"/>
          <w:wAfter w:w="30" w:type="dxa"/>
          <w:trHeight w:val="270" w:hRule="atLeast"/>
        </w:trPr>
        <w:tc>
          <w:tcPr>
            <w:tcW w:w="2055" w:type="dxa"/>
            <w:gridSpan w:val="2"/>
            <w:vAlign w:val="center"/>
          </w:tcPr>
          <w:p>
            <w:pPr>
              <w:rPr>
                <w:rFonts w:ascii="宋体" w:cs="宋体"/>
                <w:color w:val="000000"/>
                <w:sz w:val="16"/>
                <w:szCs w:val="16"/>
              </w:rPr>
            </w:pPr>
          </w:p>
        </w:tc>
        <w:tc>
          <w:tcPr>
            <w:tcW w:w="1800" w:type="dxa"/>
            <w:gridSpan w:val="5"/>
            <w:vAlign w:val="center"/>
          </w:tcPr>
          <w:p>
            <w:pPr>
              <w:rPr>
                <w:rFonts w:ascii="宋体" w:cs="宋体"/>
                <w:color w:val="000000"/>
                <w:sz w:val="16"/>
                <w:szCs w:val="16"/>
              </w:rPr>
            </w:pPr>
          </w:p>
        </w:tc>
        <w:tc>
          <w:tcPr>
            <w:tcW w:w="2325" w:type="dxa"/>
            <w:gridSpan w:val="6"/>
            <w:vAlign w:val="center"/>
          </w:tcPr>
          <w:p>
            <w:pPr>
              <w:rPr>
                <w:rFonts w:ascii="宋体" w:cs="宋体"/>
                <w:color w:val="000000"/>
                <w:sz w:val="16"/>
                <w:szCs w:val="16"/>
              </w:rPr>
            </w:pPr>
          </w:p>
        </w:tc>
        <w:tc>
          <w:tcPr>
            <w:tcW w:w="1575" w:type="dxa"/>
            <w:gridSpan w:val="3"/>
            <w:vAlign w:val="center"/>
          </w:tcPr>
          <w:p>
            <w:pPr>
              <w:rPr>
                <w:rFonts w:ascii="宋体" w:cs="宋体"/>
                <w:color w:val="000000"/>
                <w:sz w:val="16"/>
                <w:szCs w:val="16"/>
              </w:rPr>
            </w:pPr>
          </w:p>
        </w:tc>
        <w:tc>
          <w:tcPr>
            <w:tcW w:w="2580" w:type="dxa"/>
            <w:gridSpan w:val="5"/>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2160" w:type="dxa"/>
            <w:gridSpan w:val="4"/>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2160" w:type="dxa"/>
            <w:gridSpan w:val="8"/>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216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r>
      <w:tr>
        <w:tblPrEx>
          <w:tblLayout w:type="fixed"/>
        </w:tblPrEx>
        <w:trPr>
          <w:gridAfter w:val="1"/>
          <w:wAfter w:w="30" w:type="dxa"/>
          <w:trHeight w:val="6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2160" w:type="dxa"/>
            <w:gridSpan w:val="4"/>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gridSpan w:val="8"/>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gridSpan w:val="2"/>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135.83</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人大事务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2010101</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行政运行</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2010102</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一般行政管理事务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135.83</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2010103</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机关服务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2010104</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人大会议</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2010105</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人大立法</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2010106</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人大监督</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2010107</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人大代表履职能力提升</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2010108</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代表工作</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2010109</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人大信访工作</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2010150</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事业运行</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PrEx>
        <w:trPr>
          <w:gridAfter w:val="1"/>
          <w:wAfter w:w="30" w:type="dxa"/>
          <w:trHeight w:val="300" w:hRule="atLeast"/>
        </w:trPr>
        <w:tc>
          <w:tcPr>
            <w:tcW w:w="138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600" w:hRule="atLeast"/>
        </w:trPr>
        <w:tc>
          <w:tcPr>
            <w:tcW w:w="10335" w:type="dxa"/>
            <w:gridSpan w:val="21"/>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65" w:type="dxa"/>
        <w:tblInd w:w="-1081" w:type="dxa"/>
        <w:tblLayout w:type="fixed"/>
        <w:tblCellMar>
          <w:top w:w="15" w:type="dxa"/>
          <w:left w:w="15" w:type="dxa"/>
          <w:bottom w:w="15" w:type="dxa"/>
          <w:right w:w="15" w:type="dxa"/>
        </w:tblCellMar>
      </w:tblPr>
      <w:tblGrid>
        <w:gridCol w:w="900"/>
        <w:gridCol w:w="935"/>
        <w:gridCol w:w="1794"/>
        <w:gridCol w:w="1620"/>
        <w:gridCol w:w="754"/>
        <w:gridCol w:w="117"/>
        <w:gridCol w:w="1677"/>
        <w:gridCol w:w="993"/>
        <w:gridCol w:w="1575"/>
      </w:tblGrid>
      <w:tr>
        <w:tblPrEx>
          <w:tblLayout w:type="fixed"/>
          <w:tblCellMar>
            <w:top w:w="15" w:type="dxa"/>
            <w:left w:w="15" w:type="dxa"/>
            <w:bottom w:w="15" w:type="dxa"/>
            <w:right w:w="15" w:type="dxa"/>
          </w:tblCellMar>
        </w:tblPrEx>
        <w:trPr>
          <w:trHeight w:val="375" w:hRule="atLeast"/>
        </w:trPr>
        <w:tc>
          <w:tcPr>
            <w:tcW w:w="10365" w:type="dxa"/>
            <w:gridSpan w:val="9"/>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一般公共预算财政拨款基本支出决算情况表</w:t>
            </w:r>
          </w:p>
        </w:tc>
      </w:tr>
      <w:tr>
        <w:tblPrEx>
          <w:tblLayout w:type="fixed"/>
          <w:tblCellMar>
            <w:top w:w="15" w:type="dxa"/>
            <w:left w:w="15" w:type="dxa"/>
            <w:bottom w:w="15" w:type="dxa"/>
            <w:right w:w="15" w:type="dxa"/>
          </w:tblCellMar>
        </w:tblPrEx>
        <w:trPr>
          <w:trHeight w:val="285" w:hRule="atLeast"/>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49"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人员经费</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57.51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56.22</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19.89</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6.95</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26.54</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印刷费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3.6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咨询费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2.34</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手续费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水费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6.19</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4.98</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2.54</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邮电费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取暖费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物业管理费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color w:val="000000"/>
                <w:sz w:val="16"/>
                <w:szCs w:val="16"/>
              </w:rPr>
              <w:t>5.11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差旅费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6.37</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因公出国</w:t>
            </w:r>
            <w:r>
              <w:rPr>
                <w:rFonts w:ascii="宋体" w:hAnsi="宋体" w:cs="宋体"/>
                <w:color w:val="000000"/>
                <w:kern w:val="0"/>
                <w:sz w:val="16"/>
                <w:szCs w:val="16"/>
              </w:rPr>
              <w:t>(</w:t>
            </w:r>
            <w:r>
              <w:rPr>
                <w:rFonts w:hint="eastAsia" w:ascii="宋体" w:hAnsi="宋体" w:cs="宋体"/>
                <w:color w:val="000000"/>
                <w:kern w:val="0"/>
                <w:sz w:val="16"/>
                <w:szCs w:val="16"/>
              </w:rPr>
              <w:t>境</w:t>
            </w:r>
            <w:r>
              <w:rPr>
                <w:rFonts w:ascii="宋体" w:hAnsi="宋体" w:cs="宋体"/>
                <w:color w:val="000000"/>
                <w:kern w:val="0"/>
                <w:sz w:val="16"/>
                <w:szCs w:val="16"/>
              </w:rPr>
              <w:t>)</w:t>
            </w:r>
            <w:r>
              <w:rPr>
                <w:rFonts w:hint="eastAsia" w:ascii="宋体" w:hAnsi="宋体" w:cs="宋体"/>
                <w:color w:val="000000"/>
                <w:kern w:val="0"/>
                <w:sz w:val="16"/>
                <w:szCs w:val="16"/>
              </w:rPr>
              <w:t>费用</w:t>
            </w:r>
            <w:r>
              <w:rPr>
                <w:rFonts w:ascii="宋体" w:hAnsi="宋体" w:cs="宋体"/>
                <w:color w:val="000000"/>
                <w:kern w:val="0"/>
                <w:sz w:val="16"/>
                <w:szCs w:val="16"/>
              </w:rPr>
              <w:t xml:space="preserve"> </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维修</w:t>
            </w:r>
            <w:r>
              <w:rPr>
                <w:rFonts w:ascii="宋体" w:hAnsi="宋体" w:cs="宋体"/>
                <w:color w:val="000000"/>
                <w:kern w:val="0"/>
                <w:sz w:val="16"/>
                <w:szCs w:val="16"/>
              </w:rPr>
              <w:t>(</w:t>
            </w:r>
            <w:r>
              <w:rPr>
                <w:rFonts w:hint="eastAsia" w:ascii="宋体" w:hAnsi="宋体" w:cs="宋体"/>
                <w:color w:val="000000"/>
                <w:kern w:val="0"/>
                <w:sz w:val="16"/>
                <w:szCs w:val="16"/>
              </w:rPr>
              <w:t>护</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退职</w:t>
            </w:r>
            <w:r>
              <w:rPr>
                <w:rFonts w:ascii="宋体" w:hAnsi="宋体" w:cs="宋体"/>
                <w:color w:val="000000"/>
                <w:kern w:val="0"/>
                <w:sz w:val="16"/>
                <w:szCs w:val="16"/>
              </w:rPr>
              <w:t>(</w:t>
            </w:r>
            <w:r>
              <w:rPr>
                <w:rFonts w:hint="eastAsia" w:ascii="宋体" w:hAnsi="宋体" w:cs="宋体"/>
                <w:color w:val="000000"/>
                <w:kern w:val="0"/>
                <w:sz w:val="16"/>
                <w:szCs w:val="16"/>
              </w:rPr>
              <w:t>役</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租赁费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5.11</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会议费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培训费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公务接待费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9.6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专用材料费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0.38</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0.74</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7.6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4.45</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11.55</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其他资本性支出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17</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房屋建筑物购建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5</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基础设施建设</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大型修缮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物资储备</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土地补偿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安置补助</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地上附着物和青苗补偿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拆迁补偿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其他交通工具购置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12</w:t>
            </w: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31020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产权参股</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31099</w:t>
            </w:r>
          </w:p>
        </w:tc>
        <w:tc>
          <w:tcPr>
            <w:tcW w:w="26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其他资本性支出</w:t>
            </w:r>
          </w:p>
        </w:tc>
        <w:tc>
          <w:tcPr>
            <w:tcW w:w="157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26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57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PrEx>
        <w:trPr>
          <w:trHeight w:val="477" w:hRule="atLeast"/>
        </w:trPr>
        <w:tc>
          <w:tcPr>
            <w:tcW w:w="10365" w:type="dxa"/>
            <w:gridSpan w:val="9"/>
            <w:vAlign w:val="center"/>
          </w:tcPr>
          <w:p>
            <w:pPr>
              <w:widowControl/>
              <w:jc w:val="left"/>
              <w:textAlignment w:val="center"/>
              <w:rPr>
                <w:rFonts w:ascii="宋体" w:cs="宋体"/>
                <w:color w:val="000000"/>
                <w:sz w:val="16"/>
                <w:szCs w:val="16"/>
              </w:rPr>
            </w:pP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50" w:type="dxa"/>
        <w:tblInd w:w="-1081" w:type="dxa"/>
        <w:tblLayout w:type="fixed"/>
        <w:tblCellMar>
          <w:top w:w="15" w:type="dxa"/>
          <w:left w:w="15" w:type="dxa"/>
          <w:bottom w:w="15" w:type="dxa"/>
          <w:right w:w="15" w:type="dxa"/>
        </w:tblCellMar>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tblPrEx>
          <w:tblLayout w:type="fixed"/>
          <w:tblCellMar>
            <w:top w:w="15" w:type="dxa"/>
            <w:left w:w="15" w:type="dxa"/>
            <w:bottom w:w="15" w:type="dxa"/>
            <w:right w:w="15" w:type="dxa"/>
          </w:tblCellMar>
        </w:tblPrEx>
        <w:trPr>
          <w:trHeight w:val="375" w:hRule="atLeast"/>
        </w:trPr>
        <w:tc>
          <w:tcPr>
            <w:tcW w:w="10350" w:type="dxa"/>
            <w:gridSpan w:val="2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一般公共预算财政拨款“三公”经费支出决算情况表</w:t>
            </w:r>
          </w:p>
        </w:tc>
      </w:tr>
      <w:tr>
        <w:tblPrEx>
          <w:tblLayout w:type="fixed"/>
          <w:tblCellMar>
            <w:top w:w="15" w:type="dxa"/>
            <w:left w:w="15" w:type="dxa"/>
            <w:bottom w:w="15" w:type="dxa"/>
            <w:right w:w="15" w:type="dxa"/>
          </w:tblCellMar>
        </w:tblPrEx>
        <w:trPr>
          <w:trHeight w:val="285" w:hRule="atLeast"/>
        </w:trPr>
        <w:tc>
          <w:tcPr>
            <w:tcW w:w="1779" w:type="dxa"/>
            <w:gridSpan w:val="3"/>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779" w:type="dxa"/>
            <w:gridSpan w:val="3"/>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175"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840"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65"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c>
          <w:tcPr>
            <w:tcW w:w="88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5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35" w:type="dxa"/>
            <w:gridSpan w:val="7"/>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r>
      <w:tr>
        <w:tblPrEx>
          <w:tblLayout w:type="fixed"/>
        </w:tblPrEx>
        <w:trPr>
          <w:trHeight w:val="600" w:hRule="atLeast"/>
        </w:trPr>
        <w:tc>
          <w:tcPr>
            <w:tcW w:w="84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c>
          <w:tcPr>
            <w:tcW w:w="8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r>
      <w:tr>
        <w:tblPrEx>
          <w:tblLayout w:type="fixed"/>
          <w:tblCellMar>
            <w:top w:w="15" w:type="dxa"/>
            <w:left w:w="15" w:type="dxa"/>
            <w:bottom w:w="15" w:type="dxa"/>
            <w:right w:w="15" w:type="dxa"/>
          </w:tblCellMar>
        </w:tblPrEx>
        <w:trPr>
          <w:trHeight w:val="300" w:hRule="atLeast"/>
        </w:trPr>
        <w:tc>
          <w:tcPr>
            <w:tcW w:w="84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840" w:type="dxa"/>
            <w:tcBorders>
              <w:top w:val="single" w:color="000000" w:sz="4" w:space="0"/>
              <w:left w:val="single" w:color="000000" w:sz="12"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291990</w:t>
            </w:r>
          </w:p>
        </w:tc>
        <w:tc>
          <w:tcPr>
            <w:tcW w:w="87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5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29.199</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11.999</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7.6</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9.6</w:t>
            </w:r>
          </w:p>
        </w:tc>
        <w:tc>
          <w:tcPr>
            <w:tcW w:w="88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17.2</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17.2</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4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7.6</w:t>
            </w:r>
          </w:p>
        </w:tc>
        <w:tc>
          <w:tcPr>
            <w:tcW w:w="87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9.6</w:t>
            </w:r>
          </w:p>
        </w:tc>
      </w:tr>
      <w:tr>
        <w:tblPrEx>
          <w:tblLayout w:type="fixed"/>
          <w:tblCellMar>
            <w:top w:w="15" w:type="dxa"/>
            <w:left w:w="15" w:type="dxa"/>
            <w:bottom w:w="15" w:type="dxa"/>
            <w:right w:w="15" w:type="dxa"/>
          </w:tblCellMar>
        </w:tblPrEx>
        <w:trPr>
          <w:trHeight w:val="600" w:hRule="atLeast"/>
        </w:trPr>
        <w:tc>
          <w:tcPr>
            <w:tcW w:w="10350" w:type="dxa"/>
            <w:gridSpan w:val="2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6"/>
        <w:tblW w:w="10380" w:type="dxa"/>
        <w:tblInd w:w="-876" w:type="dxa"/>
        <w:tblLayout w:type="fixed"/>
        <w:tblCellMar>
          <w:top w:w="15" w:type="dxa"/>
          <w:left w:w="15" w:type="dxa"/>
          <w:bottom w:w="15" w:type="dxa"/>
          <w:right w:w="15" w:type="dxa"/>
        </w:tblCellMar>
      </w:tblPr>
      <w:tblGrid>
        <w:gridCol w:w="945"/>
        <w:gridCol w:w="717"/>
        <w:gridCol w:w="1608"/>
        <w:gridCol w:w="1155"/>
        <w:gridCol w:w="1140"/>
        <w:gridCol w:w="1215"/>
        <w:gridCol w:w="288"/>
        <w:gridCol w:w="876"/>
        <w:gridCol w:w="51"/>
        <w:gridCol w:w="1215"/>
        <w:gridCol w:w="1170"/>
      </w:tblGrid>
      <w:tr>
        <w:tblPrEx>
          <w:tblLayout w:type="fixed"/>
          <w:tblCellMar>
            <w:top w:w="15" w:type="dxa"/>
            <w:left w:w="15" w:type="dxa"/>
            <w:bottom w:w="15" w:type="dxa"/>
            <w:right w:w="15" w:type="dxa"/>
          </w:tblCellMar>
        </w:tblPrEx>
        <w:trPr>
          <w:trHeight w:val="375" w:hRule="atLeast"/>
        </w:trPr>
        <w:tc>
          <w:tcPr>
            <w:tcW w:w="10380" w:type="dxa"/>
            <w:gridSpan w:val="11"/>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政府性基金预算财政拨款收入支出决算情况表</w:t>
            </w:r>
          </w:p>
        </w:tc>
      </w:tr>
      <w:tr>
        <w:tblPrEx>
          <w:tblLayout w:type="fixed"/>
          <w:tblCellMar>
            <w:top w:w="15" w:type="dxa"/>
            <w:left w:w="15" w:type="dxa"/>
            <w:bottom w:w="15" w:type="dxa"/>
            <w:right w:w="15" w:type="dxa"/>
          </w:tblCellMar>
        </w:tblPrEx>
        <w:trPr>
          <w:trHeight w:val="285" w:hRule="atLeast"/>
        </w:trPr>
        <w:tc>
          <w:tcPr>
            <w:tcW w:w="1662" w:type="dxa"/>
            <w:gridSpan w:val="2"/>
            <w:vAlign w:val="center"/>
          </w:tcPr>
          <w:p>
            <w:pPr>
              <w:rPr>
                <w:rFonts w:ascii="宋体" w:cs="宋体"/>
                <w:color w:val="000000"/>
                <w:sz w:val="16"/>
                <w:szCs w:val="16"/>
              </w:rPr>
            </w:pPr>
          </w:p>
        </w:tc>
        <w:tc>
          <w:tcPr>
            <w:tcW w:w="1608" w:type="dxa"/>
            <w:vAlign w:val="center"/>
          </w:tcPr>
          <w:p>
            <w:pPr>
              <w:rPr>
                <w:rFonts w:ascii="宋体" w:cs="宋体"/>
                <w:color w:val="000000"/>
                <w:sz w:val="16"/>
                <w:szCs w:val="16"/>
              </w:rPr>
            </w:pPr>
          </w:p>
        </w:tc>
        <w:tc>
          <w:tcPr>
            <w:tcW w:w="1155" w:type="dxa"/>
            <w:vAlign w:val="center"/>
          </w:tcPr>
          <w:p>
            <w:pPr>
              <w:rPr>
                <w:rFonts w:ascii="宋体" w:cs="宋体"/>
                <w:color w:val="000000"/>
                <w:sz w:val="16"/>
                <w:szCs w:val="16"/>
              </w:rPr>
            </w:pPr>
          </w:p>
        </w:tc>
        <w:tc>
          <w:tcPr>
            <w:tcW w:w="1140" w:type="dxa"/>
            <w:vAlign w:val="center"/>
          </w:tcPr>
          <w:p>
            <w:pPr>
              <w:rPr>
                <w:rFonts w:ascii="宋体" w:cs="宋体"/>
                <w:color w:val="000000"/>
                <w:sz w:val="16"/>
                <w:szCs w:val="16"/>
              </w:rPr>
            </w:pPr>
          </w:p>
        </w:tc>
        <w:tc>
          <w:tcPr>
            <w:tcW w:w="1503" w:type="dxa"/>
            <w:gridSpan w:val="2"/>
            <w:vAlign w:val="center"/>
          </w:tcPr>
          <w:p>
            <w:pPr>
              <w:rPr>
                <w:rFonts w:ascii="宋体" w:cs="宋体"/>
                <w:color w:val="000000"/>
                <w:sz w:val="16"/>
                <w:szCs w:val="16"/>
              </w:rPr>
            </w:pPr>
          </w:p>
        </w:tc>
        <w:tc>
          <w:tcPr>
            <w:tcW w:w="876" w:type="dxa"/>
            <w:vAlign w:val="center"/>
          </w:tcPr>
          <w:p>
            <w:pPr>
              <w:rPr>
                <w:rFonts w:ascii="宋体" w:cs="宋体"/>
                <w:color w:val="000000"/>
                <w:sz w:val="16"/>
                <w:szCs w:val="16"/>
              </w:rPr>
            </w:pPr>
          </w:p>
        </w:tc>
        <w:tc>
          <w:tcPr>
            <w:tcW w:w="1266" w:type="dxa"/>
            <w:gridSpan w:val="2"/>
            <w:vAlign w:val="center"/>
          </w:tcPr>
          <w:p>
            <w:pPr>
              <w:rPr>
                <w:rFonts w:ascii="宋体" w:cs="宋体"/>
                <w:color w:val="000000"/>
                <w:sz w:val="16"/>
                <w:szCs w:val="16"/>
              </w:rPr>
            </w:pPr>
          </w:p>
        </w:tc>
        <w:tc>
          <w:tcPr>
            <w:tcW w:w="1170"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1662" w:type="dxa"/>
            <w:gridSpan w:val="2"/>
            <w:vAlign w:val="center"/>
          </w:tcPr>
          <w:p>
            <w:pPr>
              <w:rPr>
                <w:rFonts w:ascii="宋体" w:cs="宋体"/>
                <w:color w:val="000000"/>
                <w:sz w:val="16"/>
                <w:szCs w:val="16"/>
              </w:rPr>
            </w:pPr>
          </w:p>
        </w:tc>
        <w:tc>
          <w:tcPr>
            <w:tcW w:w="1608" w:type="dxa"/>
            <w:vAlign w:val="center"/>
          </w:tcPr>
          <w:p>
            <w:pPr>
              <w:rPr>
                <w:rFonts w:ascii="宋体" w:cs="宋体"/>
                <w:color w:val="000000"/>
                <w:sz w:val="16"/>
                <w:szCs w:val="16"/>
              </w:rPr>
            </w:pPr>
          </w:p>
        </w:tc>
        <w:tc>
          <w:tcPr>
            <w:tcW w:w="1155" w:type="dxa"/>
            <w:vAlign w:val="center"/>
          </w:tcPr>
          <w:p>
            <w:pPr>
              <w:rPr>
                <w:rFonts w:ascii="宋体" w:cs="宋体"/>
                <w:color w:val="000000"/>
                <w:sz w:val="16"/>
                <w:szCs w:val="16"/>
              </w:rPr>
            </w:pPr>
          </w:p>
        </w:tc>
        <w:tc>
          <w:tcPr>
            <w:tcW w:w="1140" w:type="dxa"/>
            <w:vAlign w:val="center"/>
          </w:tcPr>
          <w:p>
            <w:pPr>
              <w:rPr>
                <w:rFonts w:ascii="宋体" w:cs="宋体"/>
                <w:color w:val="000000"/>
                <w:sz w:val="16"/>
                <w:szCs w:val="16"/>
              </w:rPr>
            </w:pPr>
          </w:p>
        </w:tc>
        <w:tc>
          <w:tcPr>
            <w:tcW w:w="1503" w:type="dxa"/>
            <w:gridSpan w:val="2"/>
            <w:vAlign w:val="center"/>
          </w:tcPr>
          <w:p>
            <w:pPr>
              <w:rPr>
                <w:rFonts w:ascii="宋体" w:cs="宋体"/>
                <w:color w:val="000000"/>
                <w:sz w:val="16"/>
                <w:szCs w:val="16"/>
              </w:rPr>
            </w:pPr>
          </w:p>
        </w:tc>
        <w:tc>
          <w:tcPr>
            <w:tcW w:w="876" w:type="dxa"/>
            <w:vAlign w:val="center"/>
          </w:tcPr>
          <w:p>
            <w:pPr>
              <w:rPr>
                <w:rFonts w:ascii="宋体" w:cs="宋体"/>
                <w:color w:val="000000"/>
                <w:sz w:val="16"/>
                <w:szCs w:val="16"/>
              </w:rPr>
            </w:pPr>
          </w:p>
        </w:tc>
        <w:tc>
          <w:tcPr>
            <w:tcW w:w="1266" w:type="dxa"/>
            <w:gridSpan w:val="2"/>
            <w:vAlign w:val="center"/>
          </w:tcPr>
          <w:p>
            <w:pPr>
              <w:rPr>
                <w:rFonts w:ascii="宋体" w:cs="宋体"/>
                <w:color w:val="000000"/>
                <w:sz w:val="16"/>
                <w:szCs w:val="16"/>
              </w:rPr>
            </w:pPr>
          </w:p>
        </w:tc>
        <w:tc>
          <w:tcPr>
            <w:tcW w:w="1170"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27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55"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年初结转和结余</w:t>
            </w:r>
          </w:p>
        </w:tc>
        <w:tc>
          <w:tcPr>
            <w:tcW w:w="114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w:t>
            </w:r>
          </w:p>
        </w:tc>
        <w:tc>
          <w:tcPr>
            <w:tcW w:w="3645"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w:t>
            </w:r>
          </w:p>
        </w:tc>
        <w:tc>
          <w:tcPr>
            <w:tcW w:w="117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年末结转和结余</w:t>
            </w:r>
          </w:p>
        </w:tc>
      </w:tr>
      <w:tr>
        <w:tblPrEx>
          <w:tblLayout w:type="fixed"/>
          <w:tblCellMar>
            <w:top w:w="15" w:type="dxa"/>
            <w:left w:w="15" w:type="dxa"/>
            <w:bottom w:w="15" w:type="dxa"/>
            <w:right w:w="15" w:type="dxa"/>
          </w:tblCellMar>
        </w:tblPrEx>
        <w:trPr>
          <w:trHeight w:val="409"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55"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17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PrEx>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资助国产影片放映</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资助城市影院</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资助少数民族电影译制</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其他国家电影事业发展专项资金支出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70" w:hRule="atLeast"/>
        </w:trPr>
        <w:tc>
          <w:tcPr>
            <w:tcW w:w="94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32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其他政府性基金债务付息支出</w:t>
            </w:r>
          </w:p>
        </w:tc>
        <w:tc>
          <w:tcPr>
            <w:tcW w:w="1155"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15"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7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10380" w:type="dxa"/>
            <w:gridSpan w:val="11"/>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r>
        <w:tblPrEx>
          <w:tblLayout w:type="fixed"/>
        </w:tblPrEx>
        <w:trPr>
          <w:trHeight w:val="285" w:hRule="atLeast"/>
        </w:trPr>
        <w:tc>
          <w:tcPr>
            <w:tcW w:w="10380" w:type="dxa"/>
            <w:gridSpan w:val="11"/>
            <w:vAlign w:val="center"/>
          </w:tcPr>
          <w:p>
            <w:pPr>
              <w:widowControl/>
              <w:jc w:val="left"/>
              <w:textAlignment w:val="center"/>
              <w:rPr>
                <w:rFonts w:ascii="宋体" w:cs="宋体"/>
                <w:b/>
                <w:color w:val="000000"/>
                <w:sz w:val="20"/>
                <w:szCs w:val="20"/>
              </w:rPr>
            </w:pPr>
            <w:r>
              <w:rPr>
                <w:rFonts w:hint="eastAsia" w:ascii="宋体" w:hAnsi="宋体" w:cs="宋体"/>
                <w:b/>
                <w:color w:val="FF0000"/>
                <w:kern w:val="0"/>
                <w:sz w:val="20"/>
                <w:szCs w:val="20"/>
              </w:rPr>
              <w:t>（该报表数据为零时）说明：罗山县石材专业园区管理委员会没有政府性基金收入，也没有使用政府性基金安排的支出，故本表无数据。</w:t>
            </w:r>
          </w:p>
        </w:tc>
      </w:tr>
    </w:tbl>
    <w:p>
      <w:pPr>
        <w:spacing w:line="360" w:lineRule="auto"/>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r>
        <w:rPr>
          <w:rFonts w:hint="eastAsia" w:ascii="隶书" w:hAnsi="隶书" w:eastAsia="隶书" w:cs="隶书"/>
          <w:sz w:val="48"/>
          <w:szCs w:val="48"/>
        </w:rPr>
        <w:t>第三部分</w:t>
      </w:r>
    </w:p>
    <w:p>
      <w:pPr>
        <w:jc w:val="center"/>
        <w:rPr>
          <w:rFonts w:ascii="隶书" w:hAnsi="隶书" w:eastAsia="隶书" w:cs="隶书"/>
          <w:sz w:val="48"/>
          <w:szCs w:val="48"/>
        </w:rPr>
      </w:pPr>
      <w:r>
        <w:rPr>
          <w:rFonts w:hint="eastAsia" w:ascii="隶书" w:hAnsi="隶书" w:eastAsia="隶书" w:cs="隶书"/>
          <w:sz w:val="48"/>
          <w:szCs w:val="48"/>
        </w:rPr>
        <w:t>石材园区</w:t>
      </w:r>
    </w:p>
    <w:p>
      <w:pPr>
        <w:jc w:val="center"/>
        <w:rPr>
          <w:rFonts w:ascii="隶书" w:hAnsi="隶书" w:eastAsia="隶书" w:cs="隶书"/>
          <w:sz w:val="48"/>
          <w:szCs w:val="48"/>
        </w:rPr>
      </w:pPr>
      <w:r>
        <w:rPr>
          <w:rFonts w:ascii="隶书" w:hAnsi="隶书" w:eastAsia="隶书" w:cs="隶书"/>
          <w:sz w:val="48"/>
          <w:szCs w:val="48"/>
        </w:rPr>
        <w:t>2016</w:t>
      </w:r>
      <w:r>
        <w:rPr>
          <w:rFonts w:hint="eastAsia" w:ascii="隶书" w:hAnsi="隶书" w:eastAsia="隶书" w:cs="隶书"/>
          <w:sz w:val="48"/>
          <w:szCs w:val="48"/>
        </w:rPr>
        <w:t>年度部门决算情况说明</w:t>
      </w: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center"/>
        <w:rPr>
          <w:rFonts w:ascii="隶书" w:hAnsi="隶书" w:eastAsia="隶书" w:cs="隶书"/>
          <w:sz w:val="48"/>
          <w:szCs w:val="48"/>
        </w:rPr>
      </w:pPr>
    </w:p>
    <w:p>
      <w:pPr>
        <w:spacing w:line="360" w:lineRule="auto"/>
        <w:jc w:val="both"/>
        <w:rPr>
          <w:rFonts w:ascii="隶书" w:hAnsi="隶书" w:eastAsia="隶书" w:cs="隶书"/>
          <w:sz w:val="48"/>
          <w:szCs w:val="48"/>
        </w:rPr>
      </w:pPr>
    </w:p>
    <w:p>
      <w:pPr>
        <w:numPr>
          <w:ilvl w:val="0"/>
          <w:numId w:val="3"/>
        </w:numPr>
        <w:spacing w:line="360" w:lineRule="auto"/>
        <w:ind w:firstLine="640" w:firstLineChars="200"/>
        <w:jc w:val="left"/>
        <w:rPr>
          <w:rFonts w:ascii="黑体" w:hAnsi="黑体" w:eastAsia="黑体"/>
          <w:sz w:val="32"/>
          <w:szCs w:val="32"/>
        </w:rPr>
      </w:pPr>
      <w:r>
        <w:rPr>
          <w:rFonts w:hint="eastAsia" w:ascii="黑体" w:hAnsi="黑体" w:eastAsia="黑体"/>
          <w:sz w:val="32"/>
          <w:szCs w:val="32"/>
        </w:rPr>
        <w:t>关于收入支出决算总体情况说明</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2016年度收入总计135.83万元，支出总计135.83万元与2015年相比，收、支总计各增加41.91万元，增长44.62%。</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二、关于收入决算情况说明</w:t>
      </w:r>
    </w:p>
    <w:p>
      <w:pPr>
        <w:adjustRightInd w:val="0"/>
        <w:snapToGrid w:val="0"/>
        <w:spacing w:line="360" w:lineRule="auto"/>
        <w:ind w:firstLine="640" w:firstLineChars="200"/>
        <w:rPr>
          <w:rFonts w:ascii="??_GB2312" w:hAnsi="Times New Roman"/>
          <w:sz w:val="32"/>
          <w:szCs w:val="32"/>
        </w:rPr>
      </w:pPr>
      <w:r>
        <w:rPr>
          <w:rFonts w:ascii="??_GB2312" w:hAnsi="宋体" w:eastAsia="Times New Roman" w:cs="Courier New"/>
          <w:sz w:val="32"/>
          <w:szCs w:val="32"/>
        </w:rPr>
        <w:t>2016年度</w:t>
      </w:r>
      <w:r>
        <w:rPr>
          <w:rFonts w:ascii="??_GB2312" w:hAnsi="Times New Roman" w:eastAsia="Times New Roman"/>
          <w:sz w:val="32"/>
          <w:szCs w:val="32"/>
        </w:rPr>
        <w:t>收入合计135.83万元，其中：财政拨款收入135.83万元，占100%。</w:t>
      </w:r>
      <w:r>
        <w:rPr>
          <w:rFonts w:hint="eastAsia" w:ascii="??_GB2312" w:hAnsi="Times New Roman"/>
          <w:sz w:val="32"/>
          <w:szCs w:val="32"/>
        </w:rPr>
        <w:t>与</w:t>
      </w:r>
      <w:r>
        <w:rPr>
          <w:rFonts w:ascii="??_GB2312" w:hAnsi="Times New Roman"/>
          <w:sz w:val="32"/>
          <w:szCs w:val="32"/>
        </w:rPr>
        <w:t>2015</w:t>
      </w:r>
      <w:r>
        <w:rPr>
          <w:rFonts w:hint="eastAsia" w:ascii="??_GB2312" w:hAnsi="Times New Roman"/>
          <w:sz w:val="32"/>
          <w:szCs w:val="32"/>
        </w:rPr>
        <w:t>年决算相比，增长</w:t>
      </w:r>
      <w:r>
        <w:rPr>
          <w:rFonts w:ascii="??_GB2312" w:hAnsi="Times New Roman"/>
          <w:sz w:val="32"/>
          <w:szCs w:val="32"/>
        </w:rPr>
        <w:t>44.62%</w:t>
      </w:r>
      <w:r>
        <w:rPr>
          <w:rFonts w:hint="eastAsia" w:ascii="??_GB2312" w:hAnsi="Times New Roman"/>
          <w:sz w:val="32"/>
          <w:szCs w:val="32"/>
        </w:rPr>
        <w:t>。</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三、关于支出决算情况说明</w:t>
      </w:r>
    </w:p>
    <w:p>
      <w:pPr>
        <w:adjustRightInd w:val="0"/>
        <w:snapToGrid w:val="0"/>
        <w:spacing w:line="360" w:lineRule="auto"/>
        <w:ind w:firstLine="640" w:firstLineChars="200"/>
        <w:jc w:val="left"/>
        <w:rPr>
          <w:rFonts w:ascii="宋体" w:cs="宋体"/>
          <w:sz w:val="24"/>
        </w:rPr>
      </w:pPr>
      <w:r>
        <w:rPr>
          <w:rFonts w:ascii="??_GB2312" w:hAnsi="宋体" w:eastAsia="Times New Roman" w:cs="Courier New"/>
          <w:sz w:val="32"/>
          <w:szCs w:val="32"/>
        </w:rPr>
        <w:t>2016年度支出合计135.83万元，其中：基本支出135.83万元，占100%。</w:t>
      </w:r>
      <w:r>
        <w:rPr>
          <w:rFonts w:hint="eastAsia" w:ascii="??_GB2312" w:hAnsi="Times New Roman"/>
          <w:sz w:val="32"/>
          <w:szCs w:val="32"/>
        </w:rPr>
        <w:t>与</w:t>
      </w:r>
      <w:r>
        <w:rPr>
          <w:rFonts w:ascii="??_GB2312" w:hAnsi="Times New Roman"/>
          <w:sz w:val="32"/>
          <w:szCs w:val="32"/>
        </w:rPr>
        <w:t>2015</w:t>
      </w:r>
      <w:r>
        <w:rPr>
          <w:rFonts w:hint="eastAsia" w:ascii="??_GB2312" w:hAnsi="Times New Roman"/>
          <w:sz w:val="32"/>
          <w:szCs w:val="32"/>
        </w:rPr>
        <w:t>年决算相比，增长</w:t>
      </w:r>
      <w:r>
        <w:rPr>
          <w:rFonts w:ascii="??_GB2312" w:hAnsi="Times New Roman"/>
          <w:sz w:val="32"/>
          <w:szCs w:val="32"/>
        </w:rPr>
        <w:t>44.62%</w:t>
      </w:r>
      <w:r>
        <w:rPr>
          <w:rFonts w:hint="eastAsia" w:ascii="??_GB2312" w:hAnsi="Times New Roman"/>
          <w:sz w:val="32"/>
          <w:szCs w:val="32"/>
        </w:rPr>
        <w:t>。</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四、关于财政拨款收入支出决算总体情况说明</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2016年财政拨款收支总决算135.83万元。与2015年相比，财政拨款收、支总计各增加41.91万元，增长44.62%。</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五、关于一般公共预算财政拨款支出决算情况说明</w:t>
      </w:r>
    </w:p>
    <w:p>
      <w:pPr>
        <w:adjustRightInd w:val="0"/>
        <w:snapToGrid w:val="0"/>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（一）财政拨款支出决算总体情况。</w:t>
      </w:r>
    </w:p>
    <w:p>
      <w:pPr>
        <w:adjustRightInd w:val="0"/>
        <w:snapToGrid w:val="0"/>
        <w:spacing w:line="360" w:lineRule="auto"/>
        <w:ind w:firstLine="640" w:firstLineChars="200"/>
        <w:rPr>
          <w:rFonts w:ascii="??_GB2312" w:hAnsi="宋体" w:cs="Courier New"/>
          <w:sz w:val="32"/>
          <w:szCs w:val="32"/>
        </w:rPr>
      </w:pPr>
      <w:r>
        <w:rPr>
          <w:rFonts w:ascii="??_GB2312" w:hAnsi="宋体" w:eastAsia="Times New Roman" w:cs="Courier New"/>
          <w:sz w:val="32"/>
          <w:szCs w:val="32"/>
        </w:rPr>
        <w:t>2016年一般公共预算财政拨款支出135.83万元，占支出合计的100%。与2015年相比，一般公共预算财政拨款支出增加41.91万元，增长44.62%。</w:t>
      </w:r>
    </w:p>
    <w:p>
      <w:pPr>
        <w:adjustRightInd w:val="0"/>
        <w:snapToGrid w:val="0"/>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（二）财政拨款支出决算结构情况。</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2016年度一般公共预算财政拨款支出135.83万元，主要用于以下方</w:t>
      </w:r>
      <w:r>
        <w:rPr>
          <w:rFonts w:hint="eastAsia" w:ascii="宋体" w:hAnsi="宋体" w:cs="宋体"/>
          <w:sz w:val="32"/>
          <w:szCs w:val="32"/>
        </w:rPr>
        <w:t>面：一般公共服务（类）支</w:t>
      </w:r>
      <w:r>
        <w:rPr>
          <w:rFonts w:ascii="??_GB2312" w:hAnsi="宋体" w:eastAsia="Times New Roman" w:cs="Courier New"/>
          <w:sz w:val="32"/>
          <w:szCs w:val="32"/>
        </w:rPr>
        <w:t>出135.83万元，占100%。</w:t>
      </w:r>
      <w:r>
        <w:rPr>
          <w:rFonts w:hint="eastAsia" w:ascii="??_GB2312" w:hAnsi="Times New Roman"/>
          <w:sz w:val="32"/>
          <w:szCs w:val="32"/>
        </w:rPr>
        <w:t>与</w:t>
      </w:r>
      <w:r>
        <w:rPr>
          <w:rFonts w:ascii="??_GB2312" w:hAnsi="Times New Roman"/>
          <w:sz w:val="32"/>
          <w:szCs w:val="32"/>
        </w:rPr>
        <w:t>2015</w:t>
      </w:r>
      <w:r>
        <w:rPr>
          <w:rFonts w:hint="eastAsia" w:ascii="??_GB2312" w:hAnsi="Times New Roman"/>
          <w:sz w:val="32"/>
          <w:szCs w:val="32"/>
        </w:rPr>
        <w:t>年决算相比，增长</w:t>
      </w:r>
      <w:r>
        <w:rPr>
          <w:rFonts w:ascii="??_GB2312" w:hAnsi="Times New Roman"/>
          <w:sz w:val="32"/>
          <w:szCs w:val="32"/>
        </w:rPr>
        <w:t>44.62%</w:t>
      </w:r>
      <w:r>
        <w:rPr>
          <w:rFonts w:hint="eastAsia" w:ascii="??_GB2312" w:hAnsi="Times New Roman"/>
          <w:sz w:val="32"/>
          <w:szCs w:val="32"/>
        </w:rPr>
        <w:t>。</w:t>
      </w:r>
    </w:p>
    <w:p>
      <w:pPr>
        <w:adjustRightInd w:val="0"/>
        <w:snapToGrid w:val="0"/>
        <w:spacing w:line="360" w:lineRule="auto"/>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（三）财政拨款支出决算具体情况。</w:t>
      </w:r>
    </w:p>
    <w:p>
      <w:p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一般公共预算财政拨款支出年初预算为48.57万元，支出决算为135.83万元，完成年初预算的280%。决算数大于预算数的主要原因：一是增人增资；二是社会保障经费增加；三是新购酒水车1辆；四是日常公用经费增加；五是抚恤金。其中：</w:t>
      </w:r>
    </w:p>
    <w:p>
      <w:pPr>
        <w:numPr>
          <w:ilvl w:val="0"/>
          <w:numId w:val="4"/>
        </w:numPr>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一般公共服务（类）财政事务（款）行政运行（项）。</w:t>
      </w:r>
      <w:r>
        <w:rPr>
          <w:rFonts w:ascii="??_GB2312" w:hAnsi="宋体" w:eastAsia="Times New Roman" w:cs="Courier New"/>
          <w:sz w:val="32"/>
          <w:szCs w:val="32"/>
        </w:rPr>
        <w:t>年初预算为48.57万元，支出决算为135.83万元，完成年初预算的280%。决算数大于预算数的主要原因是增人增资，社会保障经费增加，三是新购酒水车1辆，四是日常公用经费增加，五是抚恤金等。</w:t>
      </w:r>
    </w:p>
    <w:p>
      <w:pPr>
        <w:numPr>
          <w:ilvl w:val="0"/>
          <w:numId w:val="4"/>
        </w:numPr>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b/>
          <w:bCs/>
          <w:sz w:val="32"/>
          <w:szCs w:val="32"/>
        </w:rPr>
        <w:t>一般公共服务（类）财政事务（款）一般行政管理事务（项）。</w:t>
      </w:r>
      <w:r>
        <w:rPr>
          <w:rFonts w:ascii="??_GB2312" w:hAnsi="宋体" w:eastAsia="Times New Roman" w:cs="Courier New"/>
          <w:sz w:val="32"/>
          <w:szCs w:val="32"/>
        </w:rPr>
        <w:t>年初预算为42.55万元，支出决算为62.62万元，完成年初预算的147%。决算数大于预算数的主要原因是新增招考人员。</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六、关于一般公共预算财政拨款基本支出决算情况说明</w:t>
      </w:r>
    </w:p>
    <w:p>
      <w:pPr>
        <w:adjustRightInd w:val="0"/>
        <w:snapToGrid w:val="0"/>
        <w:spacing w:line="360" w:lineRule="auto"/>
        <w:ind w:firstLine="640" w:firstLineChars="200"/>
        <w:rPr>
          <w:rFonts w:ascii="??_GB2312" w:hAnsi="宋体" w:cs="Courier New"/>
          <w:sz w:val="32"/>
          <w:szCs w:val="32"/>
        </w:rPr>
      </w:pPr>
      <w:r>
        <w:rPr>
          <w:rFonts w:ascii="??_GB2312" w:hAnsi="宋体" w:eastAsia="Times New Roman" w:cs="Courier New"/>
          <w:sz w:val="32"/>
          <w:szCs w:val="32"/>
        </w:rPr>
        <w:t>2016年一般公共预算财政拨款基本支出135.83万元，其中：</w:t>
      </w:r>
      <w:r>
        <w:rPr>
          <w:rFonts w:ascii="??_GB2312" w:hAnsi="Times New Roman" w:eastAsia="Times New Roman" w:cs="??_GB2312"/>
          <w:b/>
          <w:bCs/>
          <w:spacing w:val="-1"/>
          <w:kern w:val="0"/>
          <w:sz w:val="32"/>
          <w:szCs w:val="32"/>
        </w:rPr>
        <w:t>人员经费</w:t>
      </w:r>
      <w:r>
        <w:rPr>
          <w:rFonts w:ascii="??_GB2312" w:hAnsi="Times New Roman" w:eastAsia="Times New Roman" w:cs="??_GB2312"/>
          <w:bCs/>
          <w:spacing w:val="-1"/>
          <w:kern w:val="0"/>
          <w:sz w:val="32"/>
          <w:szCs w:val="32"/>
        </w:rPr>
        <w:t>62.62万元</w:t>
      </w:r>
      <w:r>
        <w:rPr>
          <w:rFonts w:ascii="??_GB2312" w:hAnsi="宋体" w:eastAsia="Times New Roman" w:cs="Courier New"/>
          <w:bCs/>
          <w:sz w:val="32"/>
          <w:szCs w:val="32"/>
        </w:rPr>
        <w:t>，</w:t>
      </w:r>
      <w:r>
        <w:rPr>
          <w:rFonts w:ascii="??_GB2312" w:hAnsi="宋体" w:eastAsia="Times New Roman" w:cs="Courier New"/>
          <w:sz w:val="32"/>
          <w:szCs w:val="32"/>
        </w:rPr>
        <w:t>主要包括：基本工资、津贴补贴、其他社会保障缴费、绩效工资、养老保险缴费、抚恤金；</w:t>
      </w:r>
      <w:r>
        <w:rPr>
          <w:rFonts w:ascii="??_GB2312" w:hAnsi="Times New Roman" w:eastAsia="Times New Roman" w:cs="??_GB2312"/>
          <w:b/>
          <w:spacing w:val="-1"/>
          <w:kern w:val="0"/>
          <w:sz w:val="32"/>
          <w:szCs w:val="32"/>
        </w:rPr>
        <w:t>公用经费</w:t>
      </w:r>
      <w:r>
        <w:rPr>
          <w:rFonts w:ascii="??_GB2312" w:hAnsi="Times New Roman" w:eastAsia="Times New Roman" w:cs="??_GB2312"/>
          <w:spacing w:val="-2"/>
          <w:kern w:val="0"/>
          <w:sz w:val="32"/>
          <w:szCs w:val="32"/>
        </w:rPr>
        <w:t>73.21万元</w:t>
      </w:r>
      <w:r>
        <w:rPr>
          <w:rFonts w:ascii="??_GB2312" w:hAnsi="宋体" w:eastAsia="Times New Roman" w:cs="Courier New"/>
          <w:sz w:val="32"/>
          <w:szCs w:val="32"/>
        </w:rPr>
        <w:t>，主要包括：办公费、印刷费、电费、差旅费、公务接待费、工会经费和福利费、公务用车运行维护费、其他交通费用、专用设备购置、其他交通工具购置。</w:t>
      </w:r>
      <w:r>
        <w:rPr>
          <w:rFonts w:hint="eastAsia" w:ascii="??_GB2312" w:hAnsi="宋体" w:cs="Courier New"/>
          <w:sz w:val="32"/>
          <w:szCs w:val="32"/>
        </w:rPr>
        <w:t>其中，办公费</w:t>
      </w:r>
      <w:r>
        <w:rPr>
          <w:rFonts w:ascii="??_GB2312" w:hAnsi="宋体" w:cs="Courier New"/>
          <w:sz w:val="32"/>
          <w:szCs w:val="32"/>
        </w:rPr>
        <w:t>6.95</w:t>
      </w:r>
      <w:r>
        <w:rPr>
          <w:rFonts w:hint="eastAsia" w:ascii="??_GB2312" w:hAnsi="宋体" w:cs="Courier New"/>
          <w:sz w:val="32"/>
          <w:szCs w:val="32"/>
        </w:rPr>
        <w:t>万元，印刷费</w:t>
      </w:r>
      <w:r>
        <w:rPr>
          <w:rFonts w:ascii="??_GB2312" w:hAnsi="宋体" w:cs="Courier New"/>
          <w:sz w:val="32"/>
          <w:szCs w:val="32"/>
        </w:rPr>
        <w:t>3.6</w:t>
      </w:r>
      <w:r>
        <w:rPr>
          <w:rFonts w:hint="eastAsia" w:ascii="??_GB2312" w:hAnsi="宋体" w:cs="Courier New"/>
          <w:sz w:val="32"/>
          <w:szCs w:val="32"/>
        </w:rPr>
        <w:t>万元，电费</w:t>
      </w:r>
      <w:r>
        <w:rPr>
          <w:rFonts w:ascii="??_GB2312" w:hAnsi="宋体" w:cs="Courier New"/>
          <w:sz w:val="32"/>
          <w:szCs w:val="32"/>
        </w:rPr>
        <w:t>4.98</w:t>
      </w:r>
      <w:r>
        <w:rPr>
          <w:rFonts w:hint="eastAsia" w:ascii="??_GB2312" w:hAnsi="宋体" w:cs="Courier New"/>
          <w:sz w:val="32"/>
          <w:szCs w:val="32"/>
        </w:rPr>
        <w:t>万元，差旅费</w:t>
      </w:r>
      <w:r>
        <w:rPr>
          <w:rFonts w:ascii="??_GB2312" w:hAnsi="宋体" w:cs="Courier New"/>
          <w:sz w:val="32"/>
          <w:szCs w:val="32"/>
        </w:rPr>
        <w:t>6.37</w:t>
      </w:r>
      <w:r>
        <w:rPr>
          <w:rFonts w:hint="eastAsia" w:ascii="??_GB2312" w:hAnsi="宋体" w:cs="Courier New"/>
          <w:sz w:val="32"/>
          <w:szCs w:val="32"/>
        </w:rPr>
        <w:t>万元，公务接待费</w:t>
      </w:r>
      <w:r>
        <w:rPr>
          <w:rFonts w:ascii="??_GB2312" w:hAnsi="宋体" w:cs="Courier New"/>
          <w:sz w:val="32"/>
          <w:szCs w:val="32"/>
        </w:rPr>
        <w:t>9.6</w:t>
      </w:r>
      <w:r>
        <w:rPr>
          <w:rFonts w:hint="eastAsia" w:ascii="??_GB2312" w:hAnsi="宋体" w:cs="Courier New"/>
          <w:sz w:val="32"/>
          <w:szCs w:val="32"/>
        </w:rPr>
        <w:t>万元，工会经费</w:t>
      </w:r>
      <w:r>
        <w:rPr>
          <w:rFonts w:ascii="??_GB2312" w:hAnsi="宋体" w:cs="Courier New"/>
          <w:sz w:val="32"/>
          <w:szCs w:val="32"/>
        </w:rPr>
        <w:t>0.38</w:t>
      </w:r>
      <w:r>
        <w:rPr>
          <w:rFonts w:hint="eastAsia" w:ascii="??_GB2312" w:hAnsi="宋体" w:cs="Courier New"/>
          <w:sz w:val="32"/>
          <w:szCs w:val="32"/>
        </w:rPr>
        <w:t>万元，福利费</w:t>
      </w:r>
      <w:r>
        <w:rPr>
          <w:rFonts w:ascii="??_GB2312" w:hAnsi="宋体" w:cs="Courier New"/>
          <w:sz w:val="32"/>
          <w:szCs w:val="32"/>
        </w:rPr>
        <w:t>0.74</w:t>
      </w:r>
      <w:r>
        <w:rPr>
          <w:rFonts w:hint="eastAsia" w:ascii="??_GB2312" w:hAnsi="宋体" w:cs="Courier New"/>
          <w:sz w:val="32"/>
          <w:szCs w:val="32"/>
        </w:rPr>
        <w:t>万元，公务用车运行维护费为</w:t>
      </w:r>
      <w:r>
        <w:rPr>
          <w:rFonts w:ascii="??_GB2312" w:hAnsi="宋体" w:cs="Courier New"/>
          <w:sz w:val="32"/>
          <w:szCs w:val="32"/>
        </w:rPr>
        <w:t>7.6</w:t>
      </w:r>
      <w:r>
        <w:rPr>
          <w:rFonts w:hint="eastAsia" w:ascii="??_GB2312" w:hAnsi="宋体" w:cs="Courier New"/>
          <w:sz w:val="32"/>
          <w:szCs w:val="32"/>
        </w:rPr>
        <w:t>万元，其他交通费用</w:t>
      </w:r>
      <w:r>
        <w:rPr>
          <w:rFonts w:ascii="??_GB2312" w:hAnsi="宋体" w:cs="Courier New"/>
          <w:sz w:val="32"/>
          <w:szCs w:val="32"/>
        </w:rPr>
        <w:t>4.45</w:t>
      </w:r>
      <w:r>
        <w:rPr>
          <w:rFonts w:hint="eastAsia" w:ascii="??_GB2312" w:hAnsi="宋体" w:cs="Courier New"/>
          <w:sz w:val="32"/>
          <w:szCs w:val="32"/>
        </w:rPr>
        <w:t>万元，其他商品和服务支出为</w:t>
      </w:r>
      <w:r>
        <w:rPr>
          <w:rFonts w:ascii="??_GB2312" w:hAnsi="宋体" w:cs="Courier New"/>
          <w:sz w:val="32"/>
          <w:szCs w:val="32"/>
        </w:rPr>
        <w:t>11.55</w:t>
      </w:r>
      <w:r>
        <w:rPr>
          <w:rFonts w:hint="eastAsia" w:ascii="??_GB2312" w:hAnsi="宋体" w:cs="Courier New"/>
          <w:sz w:val="32"/>
          <w:szCs w:val="32"/>
        </w:rPr>
        <w:t>万元。</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八、关于一般公共预算财政拨款“三公”经费支出决算情况说明</w:t>
      </w:r>
    </w:p>
    <w:p>
      <w:pPr>
        <w:numPr>
          <w:ilvl w:val="0"/>
          <w:numId w:val="5"/>
        </w:numPr>
        <w:kinsoku w:val="0"/>
        <w:overflowPunct w:val="0"/>
        <w:autoSpaceDE w:val="0"/>
        <w:autoSpaceDN w:val="0"/>
        <w:adjustRightInd w:val="0"/>
        <w:snapToGrid w:val="0"/>
        <w:spacing w:line="360" w:lineRule="auto"/>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“三公”经费财政拨款支出决算总体情况说明。</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三公”经费财政拨款支出预算为29.199万元，支出决算为17.2万元，完成预算的58.91%，其中：公务用车购置及运行费支出决算为7.6万元，完成预算的38.78%；公务接待费支出决算为9.6万元，完成预算的100%。2016年度“三公”经费支出决算数小于预算数的主要原因是公车运行成本降低。</w:t>
      </w:r>
    </w:p>
    <w:p>
      <w:pPr>
        <w:kinsoku w:val="0"/>
        <w:overflowPunct w:val="0"/>
        <w:autoSpaceDE w:val="0"/>
        <w:autoSpaceDN w:val="0"/>
        <w:adjustRightInd w:val="0"/>
        <w:snapToGrid w:val="0"/>
        <w:spacing w:line="360" w:lineRule="auto"/>
        <w:ind w:firstLine="640" w:firstLineChars="200"/>
        <w:rPr>
          <w:rFonts w:ascii="楷体_GB2312" w:hAnsi="楷体_GB2312" w:eastAsia="楷体_GB2312" w:cs="楷体_GB2312"/>
          <w:sz w:val="32"/>
          <w:szCs w:val="32"/>
        </w:rPr>
      </w:pPr>
      <w:r>
        <w:rPr>
          <w:rFonts w:ascii="??_GB2312" w:hAnsi="宋体" w:eastAsia="Times New Roman" w:cs="Courier New"/>
          <w:sz w:val="32"/>
          <w:szCs w:val="32"/>
        </w:rPr>
        <w:t>（二</w:t>
      </w:r>
      <w:r>
        <w:rPr>
          <w:rFonts w:ascii="??_GB2312" w:hAnsi="宋体" w:eastAsia="Times New Roman" w:cs="Courier New"/>
          <w:b/>
          <w:sz w:val="32"/>
          <w:szCs w:val="32"/>
        </w:rPr>
        <w:t>）</w:t>
      </w:r>
      <w:r>
        <w:rPr>
          <w:rFonts w:ascii="楷体_GB2312" w:hAnsi="楷体_GB2312" w:eastAsia="楷体_GB2312" w:cs="楷体_GB2312"/>
          <w:b/>
          <w:sz w:val="32"/>
          <w:szCs w:val="32"/>
        </w:rPr>
        <w:t xml:space="preserve"> </w:t>
      </w:r>
      <w:r>
        <w:rPr>
          <w:rFonts w:hint="eastAsia" w:ascii="楷体_GB2312" w:hAnsi="楷体_GB2312" w:eastAsia="楷体_GB2312" w:cs="楷体_GB2312"/>
          <w:b/>
          <w:sz w:val="32"/>
          <w:szCs w:val="32"/>
        </w:rPr>
        <w:t>“三公”经费财政拨款支出决算具体情况说明。</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2016年度“三公”经费财政拨款支出决算中，公务用车购置及运行费支出决算7.6万元，占44.19%；公务接待费支出决算9.6万元，占55.81%。具体情况如下：</w:t>
      </w:r>
    </w:p>
    <w:p>
      <w:pPr>
        <w:numPr>
          <w:ilvl w:val="0"/>
          <w:numId w:val="6"/>
        </w:numPr>
        <w:kinsoku w:val="0"/>
        <w:overflowPunct w:val="0"/>
        <w:autoSpaceDE w:val="0"/>
        <w:autoSpaceDN w:val="0"/>
        <w:adjustRightInd w:val="0"/>
        <w:snapToGrid w:val="0"/>
        <w:spacing w:line="360" w:lineRule="auto"/>
        <w:ind w:firstLine="640" w:firstLineChars="200"/>
        <w:rPr>
          <w:rFonts w:ascii="??_GB2312" w:hAnsi="??_GB2312" w:cs="??_GB2312"/>
          <w:sz w:val="32"/>
          <w:szCs w:val="32"/>
        </w:rPr>
      </w:pPr>
      <w:r>
        <w:rPr>
          <w:rFonts w:hint="eastAsia" w:ascii="宋体" w:hAnsi="宋体" w:cs="宋体"/>
          <w:sz w:val="32"/>
          <w:szCs w:val="32"/>
        </w:rPr>
        <w:t>公务用车购置及运行费支出</w:t>
      </w:r>
      <w:r>
        <w:rPr>
          <w:rFonts w:ascii="??_GB2312" w:hAnsi="??_GB2312" w:cs="??_GB2312"/>
          <w:sz w:val="32"/>
          <w:szCs w:val="32"/>
        </w:rPr>
        <w:t>7.6</w:t>
      </w:r>
      <w:r>
        <w:rPr>
          <w:rFonts w:hint="eastAsia" w:ascii="宋体" w:hAnsi="宋体" w:cs="宋体"/>
          <w:sz w:val="32"/>
          <w:szCs w:val="32"/>
        </w:rPr>
        <w:t>万元。其中：公务用车购置支出为</w:t>
      </w:r>
      <w:r>
        <w:rPr>
          <w:rFonts w:ascii="??_GB2312" w:hAnsi="??_GB2312" w:cs="??_GB2312"/>
          <w:sz w:val="32"/>
          <w:szCs w:val="32"/>
        </w:rPr>
        <w:t>0</w:t>
      </w:r>
      <w:r>
        <w:rPr>
          <w:rFonts w:hint="eastAsia" w:ascii="宋体" w:hAnsi="宋体" w:cs="宋体"/>
          <w:sz w:val="32"/>
          <w:szCs w:val="32"/>
        </w:rPr>
        <w:t>。公务用车运行支出</w:t>
      </w:r>
      <w:r>
        <w:rPr>
          <w:rFonts w:ascii="??_GB2312" w:hAnsi="??_GB2312" w:cs="??_GB2312"/>
          <w:sz w:val="32"/>
          <w:szCs w:val="32"/>
        </w:rPr>
        <w:t>7.6</w:t>
      </w:r>
      <w:r>
        <w:rPr>
          <w:rFonts w:hint="eastAsia" w:ascii="宋体" w:hAnsi="宋体" w:cs="宋体"/>
          <w:sz w:val="32"/>
          <w:szCs w:val="32"/>
        </w:rPr>
        <w:t>万元。由于公务用车数量未发生变化，该项支出与</w:t>
      </w:r>
      <w:r>
        <w:rPr>
          <w:rFonts w:ascii="宋体" w:hAnsi="宋体" w:cs="宋体"/>
          <w:sz w:val="32"/>
          <w:szCs w:val="32"/>
        </w:rPr>
        <w:t>2015</w:t>
      </w:r>
      <w:r>
        <w:rPr>
          <w:rFonts w:hint="eastAsia" w:ascii="宋体" w:hAnsi="宋体" w:cs="宋体"/>
          <w:sz w:val="32"/>
          <w:szCs w:val="32"/>
        </w:rPr>
        <w:t>年决算情况基本持平。主要用于公务用车开展工作所需燃油费、维修费、过路过桥费、保险支出等。</w:t>
      </w:r>
      <w:r>
        <w:rPr>
          <w:rFonts w:ascii="??_GB2312" w:hAnsi="??_GB2312" w:cs="??_GB2312"/>
          <w:sz w:val="32"/>
          <w:szCs w:val="32"/>
        </w:rPr>
        <w:t>2016</w:t>
      </w:r>
      <w:r>
        <w:rPr>
          <w:rFonts w:hint="eastAsia" w:ascii="宋体" w:hAnsi="宋体" w:cs="宋体"/>
          <w:sz w:val="32"/>
          <w:szCs w:val="32"/>
        </w:rPr>
        <w:t>年期末，石材园区开支财政拨款的公务用车保有量为</w:t>
      </w:r>
      <w:r>
        <w:rPr>
          <w:rFonts w:ascii="??_GB2312" w:hAnsi="??_GB2312" w:cs="??_GB2312"/>
          <w:sz w:val="32"/>
          <w:szCs w:val="32"/>
        </w:rPr>
        <w:t>1</w:t>
      </w:r>
      <w:r>
        <w:rPr>
          <w:rFonts w:hint="eastAsia" w:ascii="宋体" w:hAnsi="宋体" w:cs="宋体"/>
          <w:sz w:val="32"/>
          <w:szCs w:val="32"/>
        </w:rPr>
        <w:t>辆。</w:t>
      </w:r>
    </w:p>
    <w:p>
      <w:pPr>
        <w:numPr>
          <w:ilvl w:val="0"/>
          <w:numId w:val="6"/>
        </w:numPr>
        <w:kinsoku w:val="0"/>
        <w:overflowPunct w:val="0"/>
        <w:autoSpaceDE w:val="0"/>
        <w:autoSpaceDN w:val="0"/>
        <w:adjustRightInd w:val="0"/>
        <w:snapToGrid w:val="0"/>
        <w:spacing w:line="360" w:lineRule="auto"/>
        <w:ind w:firstLine="640" w:firstLineChars="200"/>
        <w:rPr>
          <w:rFonts w:ascii="??_GB2312" w:hAnsi="??_GB2312" w:cs="??_GB2312"/>
          <w:sz w:val="32"/>
          <w:szCs w:val="32"/>
        </w:rPr>
      </w:pPr>
      <w:r>
        <w:rPr>
          <w:rFonts w:hint="eastAsia" w:ascii="宋体" w:hAnsi="宋体" w:cs="宋体"/>
          <w:sz w:val="32"/>
          <w:szCs w:val="32"/>
        </w:rPr>
        <w:t>公务接待费支出</w:t>
      </w:r>
      <w:r>
        <w:rPr>
          <w:rFonts w:ascii="??_GB2312" w:hAnsi="??_GB2312" w:cs="??_GB2312"/>
          <w:sz w:val="32"/>
          <w:szCs w:val="32"/>
        </w:rPr>
        <w:t>9.6</w:t>
      </w:r>
      <w:r>
        <w:rPr>
          <w:rFonts w:hint="eastAsia" w:ascii="宋体" w:hAnsi="宋体" w:cs="宋体"/>
          <w:sz w:val="32"/>
          <w:szCs w:val="32"/>
        </w:rPr>
        <w:t>万元。其中：其他国内公务接待支出为</w:t>
      </w:r>
      <w:r>
        <w:rPr>
          <w:rFonts w:ascii="??_GB2312" w:hAnsi="??_GB2312" w:cs="??_GB2312"/>
          <w:sz w:val="32"/>
          <w:szCs w:val="32"/>
        </w:rPr>
        <w:t>9.6</w:t>
      </w:r>
      <w:r>
        <w:rPr>
          <w:rFonts w:hint="eastAsia" w:ascii="宋体" w:hAnsi="宋体" w:cs="宋体"/>
          <w:sz w:val="32"/>
          <w:szCs w:val="32"/>
        </w:rPr>
        <w:t>万元。由于我单位主要业务未发生大的变动，故该项支出与</w:t>
      </w:r>
      <w:r>
        <w:rPr>
          <w:rFonts w:ascii="宋体" w:hAnsi="宋体" w:cs="宋体"/>
          <w:sz w:val="32"/>
          <w:szCs w:val="32"/>
        </w:rPr>
        <w:t>2015</w:t>
      </w:r>
      <w:r>
        <w:rPr>
          <w:rFonts w:hint="eastAsia" w:ascii="宋体" w:hAnsi="宋体" w:cs="宋体"/>
          <w:sz w:val="32"/>
          <w:szCs w:val="32"/>
        </w:rPr>
        <w:t>年决算情况基本持平。主要用于各类公务接待支出。</w:t>
      </w:r>
      <w:r>
        <w:rPr>
          <w:rFonts w:ascii="宋体" w:hAnsi="宋体" w:cs="宋体"/>
          <w:sz w:val="32"/>
          <w:szCs w:val="32"/>
        </w:rPr>
        <w:t>2016</w:t>
      </w:r>
      <w:r>
        <w:rPr>
          <w:rFonts w:hint="eastAsia" w:ascii="宋体" w:hAnsi="宋体" w:cs="宋体"/>
          <w:sz w:val="32"/>
          <w:szCs w:val="32"/>
        </w:rPr>
        <w:t>年我单位国内公务接待的批次和人数分别为</w:t>
      </w:r>
      <w:r>
        <w:rPr>
          <w:rFonts w:ascii="宋体" w:hAnsi="宋体" w:cs="宋体"/>
          <w:sz w:val="32"/>
          <w:szCs w:val="32"/>
        </w:rPr>
        <w:t>160</w:t>
      </w:r>
      <w:r>
        <w:rPr>
          <w:rFonts w:hint="eastAsia" w:ascii="宋体" w:hAnsi="宋体" w:cs="宋体"/>
          <w:sz w:val="32"/>
          <w:szCs w:val="32"/>
        </w:rPr>
        <w:t>批和</w:t>
      </w:r>
      <w:r>
        <w:rPr>
          <w:rFonts w:ascii="宋体" w:hAnsi="宋体" w:cs="宋体"/>
          <w:sz w:val="32"/>
          <w:szCs w:val="32"/>
        </w:rPr>
        <w:t>1920</w:t>
      </w:r>
      <w:r>
        <w:rPr>
          <w:rFonts w:hint="eastAsia" w:ascii="宋体" w:hAnsi="宋体" w:cs="宋体"/>
          <w:sz w:val="32"/>
          <w:szCs w:val="32"/>
        </w:rPr>
        <w:t>人。</w:t>
      </w:r>
    </w:p>
    <w:p>
      <w:pPr>
        <w:numPr>
          <w:ilvl w:val="0"/>
          <w:numId w:val="7"/>
        </w:num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关于政府性基金预算财政拨款支出决算情况说明</w:t>
      </w:r>
    </w:p>
    <w:p>
      <w:pPr>
        <w:adjustRightInd w:val="0"/>
        <w:snapToGrid w:val="0"/>
        <w:spacing w:line="360" w:lineRule="auto"/>
        <w:ind w:firstLine="640" w:firstLineChars="200"/>
        <w:outlineLvl w:val="1"/>
        <w:rPr>
          <w:rFonts w:ascii="黑体" w:hAnsi="黑体" w:eastAsia="黑体"/>
          <w:sz w:val="32"/>
          <w:szCs w:val="32"/>
        </w:rPr>
      </w:pPr>
      <w:r>
        <w:rPr>
          <w:rFonts w:ascii="??_GB2312" w:hAnsi="??_GB2312" w:cs="??_GB2312"/>
          <w:sz w:val="32"/>
          <w:szCs w:val="32"/>
        </w:rPr>
        <w:t>2016</w:t>
      </w:r>
      <w:r>
        <w:rPr>
          <w:rFonts w:hint="eastAsia" w:ascii="宋体" w:hAnsi="宋体" w:cs="宋体"/>
          <w:sz w:val="32"/>
          <w:szCs w:val="32"/>
        </w:rPr>
        <w:t>年度石材专业园区没有政府性基金预算财政拨款。</w:t>
      </w:r>
    </w:p>
    <w:p>
      <w:pPr>
        <w:adjustRightInd w:val="0"/>
        <w:snapToGrid w:val="0"/>
        <w:spacing w:line="360" w:lineRule="auto"/>
        <w:ind w:firstLine="640" w:firstLineChars="200"/>
        <w:outlineLvl w:val="1"/>
        <w:rPr>
          <w:rFonts w:ascii="黑体" w:hAnsi="黑体" w:eastAsia="黑体"/>
          <w:sz w:val="32"/>
          <w:szCs w:val="32"/>
        </w:rPr>
      </w:pPr>
      <w:r>
        <w:rPr>
          <w:rFonts w:hint="eastAsia" w:ascii="黑体" w:hAnsi="黑体" w:eastAsia="黑体"/>
          <w:sz w:val="32"/>
          <w:szCs w:val="32"/>
        </w:rPr>
        <w:t>九、其他重要事项的情况说明</w:t>
      </w:r>
    </w:p>
    <w:p>
      <w:pPr>
        <w:numPr>
          <w:ilvl w:val="0"/>
          <w:numId w:val="8"/>
        </w:numPr>
        <w:kinsoku w:val="0"/>
        <w:overflowPunct w:val="0"/>
        <w:autoSpaceDE w:val="0"/>
        <w:autoSpaceDN w:val="0"/>
        <w:adjustRightInd w:val="0"/>
        <w:snapToGrid w:val="0"/>
        <w:spacing w:line="360" w:lineRule="auto"/>
        <w:ind w:firstLine="643" w:firstLineChars="200"/>
        <w:rPr>
          <w:rFonts w:ascii="楷体_GB2312" w:hAnsi="Times New Roman" w:eastAsia="楷体_GB2312" w:cs="黑体"/>
          <w:b/>
          <w:bCs/>
          <w:kern w:val="0"/>
          <w:sz w:val="32"/>
          <w:szCs w:val="32"/>
        </w:rPr>
      </w:pPr>
      <w:r>
        <w:rPr>
          <w:rFonts w:hint="eastAsia" w:ascii="楷体_GB2312" w:hAnsi="Times New Roman" w:eastAsia="楷体_GB2312"/>
          <w:b/>
          <w:bCs/>
          <w:kern w:val="0"/>
          <w:sz w:val="32"/>
          <w:szCs w:val="32"/>
        </w:rPr>
        <w:t>机关运行经费支出情况。</w:t>
      </w:r>
    </w:p>
    <w:p>
      <w:pPr>
        <w:kinsoku w:val="0"/>
        <w:overflowPunct w:val="0"/>
        <w:autoSpaceDE w:val="0"/>
        <w:autoSpaceDN w:val="0"/>
        <w:adjustRightInd w:val="0"/>
        <w:snapToGrid w:val="0"/>
        <w:spacing w:line="360" w:lineRule="auto"/>
        <w:ind w:firstLine="640" w:firstLineChars="200"/>
        <w:rPr>
          <w:rFonts w:ascii="??_GB2312" w:hAnsi="宋体" w:eastAsia="Times New Roman" w:cs="Courier New"/>
          <w:sz w:val="32"/>
          <w:szCs w:val="32"/>
        </w:rPr>
      </w:pPr>
      <w:r>
        <w:rPr>
          <w:rFonts w:ascii="??_GB2312" w:hAnsi="宋体" w:eastAsia="Times New Roman" w:cs="Courier New"/>
          <w:sz w:val="32"/>
          <w:szCs w:val="32"/>
        </w:rPr>
        <w:t>2016年度机关运行经费支出73.21万元，比2015年增加16.24万元，增长29%。</w:t>
      </w:r>
      <w:r>
        <w:rPr>
          <w:rFonts w:hint="eastAsia" w:ascii="??_GB2312" w:hAnsi="宋体" w:cs="Courier New"/>
          <w:sz w:val="32"/>
          <w:szCs w:val="32"/>
        </w:rPr>
        <w:t>其中，办公费</w:t>
      </w:r>
      <w:r>
        <w:rPr>
          <w:rFonts w:ascii="??_GB2312" w:hAnsi="宋体" w:cs="Courier New"/>
          <w:sz w:val="32"/>
          <w:szCs w:val="32"/>
        </w:rPr>
        <w:t>6.95</w:t>
      </w:r>
      <w:r>
        <w:rPr>
          <w:rFonts w:hint="eastAsia" w:ascii="??_GB2312" w:hAnsi="宋体" w:cs="Courier New"/>
          <w:sz w:val="32"/>
          <w:szCs w:val="32"/>
        </w:rPr>
        <w:t>万元，印刷费</w:t>
      </w:r>
      <w:r>
        <w:rPr>
          <w:rFonts w:ascii="??_GB2312" w:hAnsi="宋体" w:cs="Courier New"/>
          <w:sz w:val="32"/>
          <w:szCs w:val="32"/>
        </w:rPr>
        <w:t>3.6</w:t>
      </w:r>
      <w:r>
        <w:rPr>
          <w:rFonts w:hint="eastAsia" w:ascii="??_GB2312" w:hAnsi="宋体" w:cs="Courier New"/>
          <w:sz w:val="32"/>
          <w:szCs w:val="32"/>
        </w:rPr>
        <w:t>万元，电费</w:t>
      </w:r>
      <w:r>
        <w:rPr>
          <w:rFonts w:ascii="??_GB2312" w:hAnsi="宋体" w:cs="Courier New"/>
          <w:sz w:val="32"/>
          <w:szCs w:val="32"/>
        </w:rPr>
        <w:t>4.98</w:t>
      </w:r>
      <w:r>
        <w:rPr>
          <w:rFonts w:hint="eastAsia" w:ascii="??_GB2312" w:hAnsi="宋体" w:cs="Courier New"/>
          <w:sz w:val="32"/>
          <w:szCs w:val="32"/>
        </w:rPr>
        <w:t>万元，差旅费</w:t>
      </w:r>
      <w:r>
        <w:rPr>
          <w:rFonts w:ascii="??_GB2312" w:hAnsi="宋体" w:cs="Courier New"/>
          <w:sz w:val="32"/>
          <w:szCs w:val="32"/>
        </w:rPr>
        <w:t>6.37</w:t>
      </w:r>
      <w:r>
        <w:rPr>
          <w:rFonts w:hint="eastAsia" w:ascii="??_GB2312" w:hAnsi="宋体" w:cs="Courier New"/>
          <w:sz w:val="32"/>
          <w:szCs w:val="32"/>
        </w:rPr>
        <w:t>万元，公务接待费</w:t>
      </w:r>
      <w:r>
        <w:rPr>
          <w:rFonts w:ascii="??_GB2312" w:hAnsi="宋体" w:cs="Courier New"/>
          <w:sz w:val="32"/>
          <w:szCs w:val="32"/>
        </w:rPr>
        <w:t>9.6</w:t>
      </w:r>
      <w:r>
        <w:rPr>
          <w:rFonts w:hint="eastAsia" w:ascii="??_GB2312" w:hAnsi="宋体" w:cs="Courier New"/>
          <w:sz w:val="32"/>
          <w:szCs w:val="32"/>
        </w:rPr>
        <w:t>万元，工会经费</w:t>
      </w:r>
      <w:r>
        <w:rPr>
          <w:rFonts w:ascii="??_GB2312" w:hAnsi="宋体" w:cs="Courier New"/>
          <w:sz w:val="32"/>
          <w:szCs w:val="32"/>
        </w:rPr>
        <w:t>0.38</w:t>
      </w:r>
      <w:r>
        <w:rPr>
          <w:rFonts w:hint="eastAsia" w:ascii="??_GB2312" w:hAnsi="宋体" w:cs="Courier New"/>
          <w:sz w:val="32"/>
          <w:szCs w:val="32"/>
        </w:rPr>
        <w:t>万元，福利费</w:t>
      </w:r>
      <w:r>
        <w:rPr>
          <w:rFonts w:ascii="??_GB2312" w:hAnsi="宋体" w:cs="Courier New"/>
          <w:sz w:val="32"/>
          <w:szCs w:val="32"/>
        </w:rPr>
        <w:t>0.74</w:t>
      </w:r>
      <w:r>
        <w:rPr>
          <w:rFonts w:hint="eastAsia" w:ascii="??_GB2312" w:hAnsi="宋体" w:cs="Courier New"/>
          <w:sz w:val="32"/>
          <w:szCs w:val="32"/>
        </w:rPr>
        <w:t>万元，公务用车运行维护费为</w:t>
      </w:r>
      <w:r>
        <w:rPr>
          <w:rFonts w:ascii="??_GB2312" w:hAnsi="宋体" w:cs="Courier New"/>
          <w:sz w:val="32"/>
          <w:szCs w:val="32"/>
        </w:rPr>
        <w:t>7.6</w:t>
      </w:r>
      <w:r>
        <w:rPr>
          <w:rFonts w:hint="eastAsia" w:ascii="??_GB2312" w:hAnsi="宋体" w:cs="Courier New"/>
          <w:sz w:val="32"/>
          <w:szCs w:val="32"/>
        </w:rPr>
        <w:t>万元，其他交通费用</w:t>
      </w:r>
      <w:r>
        <w:rPr>
          <w:rFonts w:ascii="??_GB2312" w:hAnsi="宋体" w:cs="Courier New"/>
          <w:sz w:val="32"/>
          <w:szCs w:val="32"/>
        </w:rPr>
        <w:t>4.45</w:t>
      </w:r>
      <w:r>
        <w:rPr>
          <w:rFonts w:hint="eastAsia" w:ascii="??_GB2312" w:hAnsi="宋体" w:cs="Courier New"/>
          <w:sz w:val="32"/>
          <w:szCs w:val="32"/>
        </w:rPr>
        <w:t>万元，其他商品和服务支出为</w:t>
      </w:r>
      <w:r>
        <w:rPr>
          <w:rFonts w:ascii="??_GB2312" w:hAnsi="宋体" w:cs="Courier New"/>
          <w:sz w:val="32"/>
          <w:szCs w:val="32"/>
        </w:rPr>
        <w:t>11.55</w:t>
      </w:r>
      <w:r>
        <w:rPr>
          <w:rFonts w:hint="eastAsia" w:ascii="??_GB2312" w:hAnsi="宋体" w:cs="Courier New"/>
          <w:sz w:val="32"/>
          <w:szCs w:val="32"/>
        </w:rPr>
        <w:t>万元。</w:t>
      </w:r>
    </w:p>
    <w:p>
      <w:pPr>
        <w:numPr>
          <w:ilvl w:val="0"/>
          <w:numId w:val="8"/>
        </w:numPr>
        <w:kinsoku w:val="0"/>
        <w:overflowPunct w:val="0"/>
        <w:autoSpaceDE w:val="0"/>
        <w:autoSpaceDN w:val="0"/>
        <w:adjustRightInd w:val="0"/>
        <w:snapToGrid w:val="0"/>
        <w:spacing w:line="360" w:lineRule="auto"/>
        <w:ind w:firstLine="643" w:firstLineChars="200"/>
        <w:rPr>
          <w:rFonts w:ascii="楷体_GB2312" w:hAnsi="Times New Roman" w:eastAsia="楷体_GB2312" w:cs="??_GB2312"/>
          <w:b/>
          <w:bCs/>
          <w:kern w:val="0"/>
          <w:sz w:val="32"/>
          <w:szCs w:val="32"/>
        </w:rPr>
      </w:pPr>
      <w:r>
        <w:rPr>
          <w:rFonts w:hint="eastAsia" w:ascii="楷体_GB2312" w:hAnsi="Times New Roman" w:eastAsia="楷体_GB2312"/>
          <w:b/>
          <w:bCs/>
          <w:kern w:val="0"/>
          <w:sz w:val="32"/>
          <w:szCs w:val="32"/>
        </w:rPr>
        <w:t>政府采购支出情况。</w:t>
      </w:r>
    </w:p>
    <w:p>
      <w:pPr>
        <w:kinsoku w:val="0"/>
        <w:overflowPunct w:val="0"/>
        <w:autoSpaceDE w:val="0"/>
        <w:autoSpaceDN w:val="0"/>
        <w:adjustRightInd w:val="0"/>
        <w:snapToGrid w:val="0"/>
        <w:spacing w:line="360" w:lineRule="auto"/>
        <w:ind w:firstLine="640" w:firstLineChars="200"/>
        <w:rPr>
          <w:rFonts w:ascii="??_GB2312" w:hAnsi="宋体" w:cs="Courier New"/>
          <w:sz w:val="32"/>
          <w:szCs w:val="32"/>
        </w:rPr>
      </w:pPr>
      <w:r>
        <w:rPr>
          <w:rFonts w:ascii="??_GB2312" w:hAnsi="宋体" w:eastAsia="Times New Roman" w:cs="Courier New"/>
          <w:sz w:val="32"/>
          <w:szCs w:val="32"/>
        </w:rPr>
        <w:t>2016年度政府采购支出总额11.99万元，其中：政府采购</w:t>
      </w:r>
      <w:r>
        <w:rPr>
          <w:rFonts w:hint="eastAsia" w:ascii="??_GB2312" w:hAnsi="宋体" w:cs="Courier New"/>
          <w:sz w:val="32"/>
          <w:szCs w:val="32"/>
        </w:rPr>
        <w:t>洒</w:t>
      </w:r>
      <w:r>
        <w:rPr>
          <w:rFonts w:ascii="??_GB2312" w:hAnsi="宋体" w:eastAsia="Times New Roman" w:cs="Courier New"/>
          <w:sz w:val="32"/>
          <w:szCs w:val="32"/>
        </w:rPr>
        <w:t>水车支出11.99万元。</w:t>
      </w:r>
      <w:r>
        <w:rPr>
          <w:rFonts w:hint="eastAsia" w:ascii="??_GB2312" w:hAnsi="宋体" w:cs="Courier New"/>
          <w:sz w:val="32"/>
          <w:szCs w:val="32"/>
        </w:rPr>
        <w:t>完成预算的</w:t>
      </w:r>
      <w:r>
        <w:rPr>
          <w:rFonts w:ascii="??_GB2312" w:hAnsi="宋体" w:cs="Courier New"/>
          <w:sz w:val="32"/>
          <w:szCs w:val="32"/>
        </w:rPr>
        <w:t>100%</w:t>
      </w:r>
      <w:r>
        <w:rPr>
          <w:rFonts w:hint="eastAsia" w:ascii="??_GB2312" w:hAnsi="宋体" w:cs="Courier New"/>
          <w:sz w:val="32"/>
          <w:szCs w:val="32"/>
        </w:rPr>
        <w:t>。</w:t>
      </w:r>
    </w:p>
    <w:p>
      <w:pPr>
        <w:numPr>
          <w:ilvl w:val="0"/>
          <w:numId w:val="8"/>
        </w:numPr>
        <w:kinsoku w:val="0"/>
        <w:overflowPunct w:val="0"/>
        <w:autoSpaceDE w:val="0"/>
        <w:autoSpaceDN w:val="0"/>
        <w:adjustRightInd w:val="0"/>
        <w:snapToGrid w:val="0"/>
        <w:spacing w:line="360" w:lineRule="auto"/>
        <w:ind w:firstLine="643" w:firstLineChars="200"/>
        <w:rPr>
          <w:rFonts w:ascii="楷体_GB2312" w:hAnsi="Times New Roman" w:eastAsia="楷体_GB2312" w:cs="??_GB2312"/>
          <w:b/>
          <w:bCs/>
          <w:kern w:val="0"/>
          <w:sz w:val="32"/>
          <w:szCs w:val="32"/>
        </w:rPr>
      </w:pPr>
      <w:r>
        <w:rPr>
          <w:rFonts w:hint="eastAsia" w:ascii="楷体_GB2312" w:hAnsi="Times New Roman" w:eastAsia="楷体_GB2312"/>
          <w:b/>
          <w:bCs/>
          <w:kern w:val="0"/>
          <w:sz w:val="32"/>
          <w:szCs w:val="32"/>
        </w:rPr>
        <w:t>国有资产占用情况。</w:t>
      </w:r>
    </w:p>
    <w:p>
      <w:pPr>
        <w:kinsoku w:val="0"/>
        <w:overflowPunct w:val="0"/>
        <w:autoSpaceDE w:val="0"/>
        <w:autoSpaceDN w:val="0"/>
        <w:adjustRightInd w:val="0"/>
        <w:snapToGrid w:val="0"/>
        <w:spacing w:line="360" w:lineRule="auto"/>
        <w:ind w:firstLine="640" w:firstLineChars="200"/>
        <w:rPr>
          <w:rFonts w:ascii="仿宋" w:hAnsi="仿宋" w:eastAsia="仿宋" w:cs="Courier New"/>
          <w:sz w:val="32"/>
          <w:szCs w:val="32"/>
        </w:rPr>
      </w:pPr>
      <w:r>
        <w:rPr>
          <w:rFonts w:ascii="??_GB2312" w:hAnsi="宋体" w:eastAsia="Times New Roman" w:cs="Courier New"/>
          <w:sz w:val="32"/>
          <w:szCs w:val="32"/>
        </w:rPr>
        <w:t>2016年期末，罗山县石材专业园区管理委员会共有车辆1辆，</w:t>
      </w:r>
      <w:r>
        <w:rPr>
          <w:rFonts w:hint="eastAsia" w:ascii="仿宋" w:hAnsi="仿宋" w:eastAsia="仿宋" w:cs="Courier New"/>
          <w:sz w:val="32"/>
          <w:szCs w:val="32"/>
        </w:rPr>
        <w:t>为一般公务用车。</w:t>
      </w:r>
    </w:p>
    <w:p>
      <w:pPr>
        <w:kinsoku w:val="0"/>
        <w:overflowPunct w:val="0"/>
        <w:autoSpaceDE w:val="0"/>
        <w:autoSpaceDN w:val="0"/>
        <w:adjustRightInd w:val="0"/>
        <w:snapToGrid w:val="0"/>
        <w:spacing w:line="360" w:lineRule="auto"/>
        <w:ind w:firstLine="643" w:firstLineChars="200"/>
        <w:rPr>
          <w:rFonts w:ascii="楷体_GB2312" w:hAnsi="仿宋" w:eastAsia="楷体_GB2312" w:cs="Courier New"/>
          <w:b/>
          <w:sz w:val="32"/>
          <w:szCs w:val="32"/>
        </w:rPr>
      </w:pPr>
      <w:r>
        <w:rPr>
          <w:rFonts w:hint="eastAsia" w:ascii="楷体_GB2312" w:hAnsi="仿宋" w:eastAsia="楷体_GB2312" w:cs="Courier New"/>
          <w:b/>
          <w:sz w:val="32"/>
          <w:szCs w:val="32"/>
        </w:rPr>
        <w:t>（四）数据真实性问题</w:t>
      </w:r>
    </w:p>
    <w:p>
      <w:pPr>
        <w:kinsoku w:val="0"/>
        <w:overflowPunct w:val="0"/>
        <w:autoSpaceDE w:val="0"/>
        <w:autoSpaceDN w:val="0"/>
        <w:adjustRightInd w:val="0"/>
        <w:snapToGrid w:val="0"/>
        <w:spacing w:line="360" w:lineRule="auto"/>
        <w:ind w:firstLine="800" w:firstLineChars="250"/>
        <w:rPr>
          <w:rFonts w:ascii="楷体_GB2312" w:hAnsi="宋体" w:eastAsia="楷体_GB2312" w:cs="Courier New"/>
          <w:sz w:val="32"/>
          <w:szCs w:val="32"/>
        </w:rPr>
        <w:sectPr>
          <w:pgSz w:w="11905" w:h="16840"/>
          <w:pgMar w:top="1580" w:right="1240" w:bottom="1180" w:left="1400" w:header="0" w:footer="982" w:gutter="0"/>
          <w:pgNumType w:fmt="numberInDash"/>
          <w:cols w:space="720" w:num="1"/>
        </w:sectPr>
      </w:pPr>
      <w:r>
        <w:rPr>
          <w:rFonts w:ascii="宋体" w:hAnsi="宋体" w:cs="Courier New"/>
          <w:sz w:val="32"/>
          <w:szCs w:val="32"/>
        </w:rPr>
        <w:t>2016</w:t>
      </w:r>
      <w:r>
        <w:rPr>
          <w:rFonts w:hint="eastAsia" w:ascii="宋体" w:hAnsi="宋体" w:cs="Courier New"/>
          <w:sz w:val="32"/>
          <w:szCs w:val="32"/>
        </w:rPr>
        <w:t>年我单位对本部门开展真实性调查，不存在虚列支出问题，三公经费科目分别为：公务用车购置与运行费、维修费、招待费等。不存在其他虚列支出科目和金额</w:t>
      </w:r>
      <w:r>
        <w:rPr>
          <w:rFonts w:hint="eastAsia" w:ascii="楷体_GB2312" w:hAnsi="仿宋" w:eastAsia="楷体_GB2312" w:cs="Courier New"/>
          <w:sz w:val="32"/>
          <w:szCs w:val="32"/>
        </w:rPr>
        <w:t>。</w:t>
      </w:r>
    </w:p>
    <w:p>
      <w:pP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pPr>
    </w:p>
    <w:p>
      <w:pPr>
        <w:jc w:val="center"/>
        <w:outlineLvl w:val="0"/>
        <w:rPr>
          <w:rFonts w:ascii="隶书" w:hAnsi="隶书" w:eastAsia="隶书" w:cs="隶书"/>
          <w:sz w:val="48"/>
          <w:szCs w:val="48"/>
        </w:rPr>
        <w:sectPr>
          <w:pgSz w:w="11906" w:h="16838"/>
          <w:pgMar w:top="1440" w:right="1800" w:bottom="1440" w:left="1800" w:header="851" w:footer="992" w:gutter="0"/>
          <w:pgNumType w:fmt="numberInDash"/>
          <w:cols w:space="425" w:num="1"/>
          <w:docGrid w:type="lines" w:linePitch="312" w:charSpace="0"/>
        </w:sectPr>
      </w:pPr>
      <w:r>
        <w:rPr>
          <w:rFonts w:hint="eastAsia" w:ascii="隶书" w:hAnsi="隶书" w:eastAsia="隶书" w:cs="隶书"/>
          <w:sz w:val="48"/>
          <w:szCs w:val="48"/>
        </w:rPr>
        <w:t>第四部分　　名词解释</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cs="Courier New"/>
          <w:b/>
          <w:bCs/>
          <w:sz w:val="32"/>
          <w:szCs w:val="32"/>
        </w:rPr>
        <w:t>财政拨款收入：</w:t>
      </w:r>
      <w:r>
        <w:rPr>
          <w:rFonts w:ascii="??_GB2312" w:hAnsi="宋体" w:eastAsia="Times New Roman" w:cs="Courier New"/>
          <w:sz w:val="32"/>
          <w:szCs w:val="32"/>
        </w:rPr>
        <w:t>是指省级财政当年拨付的资金。</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事业收入：</w:t>
      </w:r>
      <w:r>
        <w:rPr>
          <w:rFonts w:ascii="??_GB2312" w:hAnsi="宋体" w:eastAsia="Times New Roman" w:cs="Courier New"/>
          <w:sz w:val="32"/>
          <w:szCs w:val="32"/>
        </w:rPr>
        <w:t>是指事业单位开展专业业务活动及辅助活动所取得的收入。如：ＸＸ刊物发行收入，ＸＸ协会收取的会费收入等。</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经营收入：</w:t>
      </w:r>
      <w:r>
        <w:rPr>
          <w:rFonts w:ascii="??_GB2312" w:hAnsi="宋体" w:eastAsia="Times New Roman" w:cs="Courier New"/>
          <w:sz w:val="32"/>
          <w:szCs w:val="32"/>
        </w:rPr>
        <w:t>指事业单位在专业业务活动及其辅助活动之外开展非独立核算经营活动取得的收入。如：ＸＸ杂志社广告收入等。</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其他收入：</w:t>
      </w:r>
      <w:r>
        <w:rPr>
          <w:rFonts w:ascii="??_GB2312" w:hAnsi="宋体" w:eastAsia="Times New Roman" w:cs="Courier New"/>
          <w:sz w:val="32"/>
          <w:szCs w:val="32"/>
        </w:rPr>
        <w:t>指除上述“财政拨款收入”、“事业收入”、“事业单位经营收入”、“经营收入”等以外的收入。主要是按规定动用的售房收入、存款利息收入等。</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用事业基金弥补收支差额：</w:t>
      </w:r>
      <w:r>
        <w:rPr>
          <w:rFonts w:ascii="??_GB2312" w:hAnsi="宋体" w:eastAsia="Times New Roman" w:cs="Courier New"/>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_GB2312" w:hAnsi="宋体" w:eastAsia="Times New Roman" w:cs="Courier New"/>
          <w:b/>
          <w:bCs/>
          <w:sz w:val="32"/>
          <w:szCs w:val="32"/>
        </w:rPr>
        <w:t>。</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年初结转和结余：</w:t>
      </w:r>
      <w:r>
        <w:rPr>
          <w:rFonts w:ascii="??_GB2312" w:hAnsi="宋体" w:eastAsia="Times New Roman" w:cs="Courier New"/>
          <w:sz w:val="32"/>
          <w:szCs w:val="32"/>
        </w:rPr>
        <w:t>指以前年度尚未完成、结转到本年按有关规定继续使用的资金。</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一般公共服务（类）财政事务（款）行政运行（项）</w:t>
      </w:r>
      <w:r>
        <w:rPr>
          <w:rFonts w:ascii="??_GB2312" w:hAnsi="宋体" w:eastAsia="Times New Roman" w:cs="Courier New"/>
          <w:b/>
          <w:bCs/>
          <w:color w:val="FF0000"/>
          <w:sz w:val="32"/>
          <w:szCs w:val="32"/>
        </w:rPr>
        <w:t>（请根据单位实际情况，参照《2016年政府收支分类科目》和对口中央部门决算公开信息填写）</w:t>
      </w:r>
      <w:r>
        <w:rPr>
          <w:rFonts w:ascii="??_GB2312" w:hAnsi="宋体" w:eastAsia="Times New Roman" w:cs="Courier New"/>
          <w:b/>
          <w:bCs/>
          <w:sz w:val="32"/>
          <w:szCs w:val="32"/>
        </w:rPr>
        <w:t>：</w:t>
      </w:r>
      <w:r>
        <w:rPr>
          <w:rFonts w:ascii="??_GB2312" w:hAnsi="宋体" w:eastAsia="Times New Roman" w:cs="Courier New"/>
          <w:sz w:val="32"/>
          <w:szCs w:val="32"/>
        </w:rPr>
        <w:t>是指ＸＸ厅（局）用于保障机构正常运行、开展日常工作的基本支出。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一般公共服务（类）财政事务（款）一般行政管理事务（项）：</w:t>
      </w:r>
      <w:r>
        <w:rPr>
          <w:rFonts w:ascii="??_GB2312" w:hAnsi="宋体" w:eastAsia="Times New Roman" w:cs="Courier New"/>
          <w:sz w:val="32"/>
          <w:szCs w:val="32"/>
        </w:rPr>
        <w:t>指ＸＸ厅（局）行政单位及参照公务员法管理的事业单位开展财政立法、决算编审、资产产权管理等未单独设置项级科目的专门性财政管理工作的项目支出。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结余分配：</w:t>
      </w:r>
      <w:r>
        <w:rPr>
          <w:rFonts w:ascii="??_GB2312" w:hAnsi="宋体" w:eastAsia="Times New Roman" w:cs="Courier New"/>
          <w:sz w:val="32"/>
          <w:szCs w:val="32"/>
        </w:rPr>
        <w:t>指事业单位按规定提取的职工福利基金、事业基金和缴纳的所得税，以及建设单位按规定应交回的基本建设竣工项目结余资金。</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年末结转和结余：</w:t>
      </w:r>
      <w:r>
        <w:rPr>
          <w:rFonts w:ascii="??_GB2312" w:hAnsi="宋体" w:eastAsia="Times New Roman" w:cs="Courier New"/>
          <w:sz w:val="32"/>
          <w:szCs w:val="32"/>
        </w:rPr>
        <w:t>指本年度或以前年度预算安排、因客观条件发生变化无法按原计划实施，需延迟到以后年度按有关规定继续使用的资金。</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基本支出：</w:t>
      </w:r>
      <w:r>
        <w:rPr>
          <w:rFonts w:ascii="??_GB2312" w:hAnsi="宋体" w:eastAsia="Times New Roman" w:cs="Courier New"/>
          <w:sz w:val="32"/>
          <w:szCs w:val="32"/>
        </w:rPr>
        <w:t>指为保障机构正常运转、完成日常工作任务而发生的人员支出和公用支出。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项目支出：</w:t>
      </w:r>
      <w:r>
        <w:rPr>
          <w:rFonts w:ascii="??_GB2312" w:hAnsi="宋体" w:eastAsia="Times New Roman" w:cs="Courier New"/>
          <w:sz w:val="32"/>
          <w:szCs w:val="32"/>
        </w:rPr>
        <w:t>指在基本支出之外为完成特定行政任务和事业发展目标所发生的支出。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经营支出：</w:t>
      </w:r>
      <w:r>
        <w:rPr>
          <w:rFonts w:ascii="??_GB2312" w:hAnsi="宋体" w:eastAsia="Times New Roman" w:cs="Courier New"/>
          <w:sz w:val="32"/>
          <w:szCs w:val="32"/>
        </w:rPr>
        <w:t>指事业单位在专业业务活动及其辅助活动之外开展非独立核算经营活动发生的支出。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“三公”经费：</w:t>
      </w:r>
      <w:r>
        <w:rPr>
          <w:rFonts w:ascii="??_GB2312" w:hAnsi="宋体" w:eastAsia="Times New Roman" w:cs="Courier New"/>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numPr>
          <w:ilvl w:val="0"/>
          <w:numId w:val="9"/>
        </w:numPr>
        <w:kinsoku w:val="0"/>
        <w:overflowPunct w:val="0"/>
        <w:autoSpaceDE w:val="0"/>
        <w:autoSpaceDN w:val="0"/>
        <w:adjustRightInd w:val="0"/>
        <w:snapToGrid w:val="0"/>
        <w:spacing w:line="360" w:lineRule="auto"/>
        <w:ind w:firstLine="640" w:firstLineChars="200"/>
        <w:rPr>
          <w:rFonts w:ascii="??_GB2312" w:hAnsi="宋体" w:eastAsia="Times New Roman" w:cs="Courier New"/>
          <w:b/>
          <w:bCs/>
          <w:sz w:val="32"/>
          <w:szCs w:val="32"/>
        </w:rPr>
      </w:pPr>
      <w:r>
        <w:rPr>
          <w:rFonts w:ascii="??_GB2312" w:hAnsi="宋体" w:eastAsia="Times New Roman"/>
          <w:b/>
          <w:bCs/>
          <w:sz w:val="32"/>
          <w:szCs w:val="32"/>
        </w:rPr>
        <w:t>机关运行经费：</w:t>
      </w:r>
      <w:r>
        <w:rPr>
          <w:rFonts w:ascii="??_GB2312" w:hAnsi="宋体" w:eastAsia="Times New Roman" w:cs="Courier New"/>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djustRightInd w:val="0"/>
        <w:snapToGrid w:val="0"/>
        <w:spacing w:line="590" w:lineRule="exact"/>
        <w:jc w:val="left"/>
        <w:rPr>
          <w:rFonts w:ascii="??_GB2312" w:hAnsi="Times New Roman" w:eastAsia="Times New Roman"/>
          <w:sz w:val="32"/>
          <w:szCs w:val="32"/>
        </w:rPr>
      </w:pPr>
    </w:p>
    <w:p>
      <w:pPr>
        <w:rPr>
          <w:rFonts w:ascii="隶书" w:hAnsi="隶书" w:eastAsia="隶书" w:cs="隶书"/>
          <w:sz w:val="48"/>
          <w:szCs w:val="4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方正小标宋简体">
    <w:altName w:val="方正舒体"/>
    <w:panose1 w:val="00000000000000000000"/>
    <w:charset w:val="86"/>
    <w:family w:val="auto"/>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隶书">
    <w:panose1 w:val="02010509060101010101"/>
    <w:charset w:val="86"/>
    <w:family w:val="modern"/>
    <w:pitch w:val="default"/>
    <w:sig w:usb0="00000001" w:usb1="080E0000" w:usb2="00000000" w:usb3="00000000" w:csb0="00040000" w:csb1="00000000"/>
  </w:font>
  <w:font w:name="仿宋">
    <w:altName w:val="宋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TjkZAgAAIQQAAA4AAABkcnMvZTJvRG9jLnhtbK1Ty47TMBTdI/EP&#10;lvc0aRFVVTUdlRkVIVXMSAWxdh2nieSXbLdJ+QD4A1Zs2PNd/Q6OnaaDmFkhNva17/vccxc3nZLk&#10;KJxvjC7oeJRTIjQ3ZaP3Bf30cf1qRokPTJdMGi0KehKe3ixfvli0di4mpjayFI4giPbz1ha0DsHO&#10;s8zzWijmR8YKDWVlnGIBT7fPSsdaRFcym+T5NGuNK60zXHiP37teSZcpflUJHu6ryotAZEFRW0in&#10;S+cuntlyweZ7x2zd8EsZ7B+qUKzRSHoNdccCIwfXPAmlGu6MN1UYcaMyU1UNF6kHdDPO/+pmWzMr&#10;Ui8Ax9srTP7/heUfjg+ONGVBp5RopjCi8/dv5x+/zj+/kmmEp7V+DquthV3o3poOYx7+PT5j113l&#10;VLzRD4EeQJ+u4IouEB6dZpPZLIeKQzc8ED97dLfOh3fCKBKFgjpML4HKjhsfetPBJGbTZt1ImSYo&#10;NWnRwus3eXK4ahBc6mgrEhcuYWJLfelRCt2uu/S5M+UJbTrT88Rbvm5Qyob58MAciIHyQfZwj6OS&#10;BinNRaKkNu7Lc//RHvOClpIWRCuoxiZQIt9rzDFychDcIOwGQR/UrQFzx1giy5MIBxfkIFbOqM/Y&#10;gFXMARXTHJkKGgbxNvRkxwZxsVolo4N1zb7uHcBCy8JGby2PaSJU3q4OAdAmxCNAPSqYVHyAh2lm&#10;l52JRP/znaweN3v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BMUE45GQIAACEEAAAOAAAA&#10;AAAAAAEAIAAAAB8BAABkcnMvZTJvRG9jLnhtbFBLBQYAAAAABgAGAFkBAACqBQAAAAA=&#1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- 3 -</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F7C85"/>
    <w:multiLevelType w:val="multilevel"/>
    <w:tmpl w:val="190F7C85"/>
    <w:lvl w:ilvl="0" w:tentative="0">
      <w:start w:val="1"/>
      <w:numFmt w:val="japaneseCounting"/>
      <w:lvlText w:val="（%1）"/>
      <w:lvlJc w:val="left"/>
      <w:pPr>
        <w:ind w:left="1725" w:hanging="1080"/>
      </w:pPr>
      <w:rPr>
        <w:rFonts w:hint="default" w:cs="Times New Roman"/>
      </w:rPr>
    </w:lvl>
    <w:lvl w:ilvl="1" w:tentative="0">
      <w:start w:val="1"/>
      <w:numFmt w:val="lowerLetter"/>
      <w:lvlText w:val="%2)"/>
      <w:lvlJc w:val="left"/>
      <w:pPr>
        <w:ind w:left="1485" w:hanging="420"/>
      </w:pPr>
      <w:rPr>
        <w:rFonts w:cs="Times New Roman"/>
      </w:rPr>
    </w:lvl>
    <w:lvl w:ilvl="2" w:tentative="0">
      <w:start w:val="1"/>
      <w:numFmt w:val="lowerRoman"/>
      <w:lvlText w:val="%3."/>
      <w:lvlJc w:val="right"/>
      <w:pPr>
        <w:ind w:left="1905" w:hanging="420"/>
      </w:pPr>
      <w:rPr>
        <w:rFonts w:cs="Times New Roman"/>
      </w:rPr>
    </w:lvl>
    <w:lvl w:ilvl="3" w:tentative="0">
      <w:start w:val="1"/>
      <w:numFmt w:val="decimal"/>
      <w:lvlText w:val="%4."/>
      <w:lvlJc w:val="left"/>
      <w:pPr>
        <w:ind w:left="2325" w:hanging="420"/>
      </w:pPr>
      <w:rPr>
        <w:rFonts w:cs="Times New Roman"/>
      </w:rPr>
    </w:lvl>
    <w:lvl w:ilvl="4" w:tentative="0">
      <w:start w:val="1"/>
      <w:numFmt w:val="lowerLetter"/>
      <w:lvlText w:val="%5)"/>
      <w:lvlJc w:val="left"/>
      <w:pPr>
        <w:ind w:left="2745" w:hanging="420"/>
      </w:pPr>
      <w:rPr>
        <w:rFonts w:cs="Times New Roman"/>
      </w:rPr>
    </w:lvl>
    <w:lvl w:ilvl="5" w:tentative="0">
      <w:start w:val="1"/>
      <w:numFmt w:val="lowerRoman"/>
      <w:lvlText w:val="%6."/>
      <w:lvlJc w:val="right"/>
      <w:pPr>
        <w:ind w:left="3165" w:hanging="420"/>
      </w:pPr>
      <w:rPr>
        <w:rFonts w:cs="Times New Roman"/>
      </w:rPr>
    </w:lvl>
    <w:lvl w:ilvl="6" w:tentative="0">
      <w:start w:val="1"/>
      <w:numFmt w:val="decimal"/>
      <w:lvlText w:val="%7."/>
      <w:lvlJc w:val="left"/>
      <w:pPr>
        <w:ind w:left="3585" w:hanging="420"/>
      </w:pPr>
      <w:rPr>
        <w:rFonts w:cs="Times New Roman"/>
      </w:rPr>
    </w:lvl>
    <w:lvl w:ilvl="7" w:tentative="0">
      <w:start w:val="1"/>
      <w:numFmt w:val="lowerLetter"/>
      <w:lvlText w:val="%8)"/>
      <w:lvlJc w:val="left"/>
      <w:pPr>
        <w:ind w:left="4005" w:hanging="420"/>
      </w:pPr>
      <w:rPr>
        <w:rFonts w:cs="Times New Roman"/>
      </w:rPr>
    </w:lvl>
    <w:lvl w:ilvl="8" w:tentative="0">
      <w:start w:val="1"/>
      <w:numFmt w:val="lowerRoman"/>
      <w:lvlText w:val="%9."/>
      <w:lvlJc w:val="right"/>
      <w:pPr>
        <w:ind w:left="4425" w:hanging="420"/>
      </w:pPr>
      <w:rPr>
        <w:rFonts w:cs="Times New Roman"/>
      </w:rPr>
    </w:lvl>
  </w:abstractNum>
  <w:abstractNum w:abstractNumId="1">
    <w:nsid w:val="5971DD00"/>
    <w:multiLevelType w:val="singleLevel"/>
    <w:tmpl w:val="5971DD00"/>
    <w:lvl w:ilvl="0" w:tentative="0">
      <w:start w:val="1"/>
      <w:numFmt w:val="decimal"/>
      <w:suff w:val="nothing"/>
      <w:lvlText w:val="%1．"/>
      <w:lvlJc w:val="left"/>
      <w:pPr>
        <w:ind w:firstLine="400"/>
      </w:pPr>
      <w:rPr>
        <w:rFonts w:hint="default" w:cs="Times New Roman"/>
      </w:rPr>
    </w:lvl>
  </w:abstractNum>
  <w:abstractNum w:abstractNumId="2">
    <w:nsid w:val="5971E093"/>
    <w:multiLevelType w:val="singleLevel"/>
    <w:tmpl w:val="5971E093"/>
    <w:lvl w:ilvl="0" w:tentative="0">
      <w:start w:val="1"/>
      <w:numFmt w:val="chineseCounting"/>
      <w:suff w:val="nothing"/>
      <w:lvlText w:val="（%1）"/>
      <w:lvlJc w:val="left"/>
      <w:pPr>
        <w:ind w:firstLine="420"/>
      </w:pPr>
      <w:rPr>
        <w:rFonts w:hint="eastAsia" w:cs="Times New Roman"/>
      </w:rPr>
    </w:lvl>
  </w:abstractNum>
  <w:abstractNum w:abstractNumId="3">
    <w:nsid w:val="5971EDEF"/>
    <w:multiLevelType w:val="singleLevel"/>
    <w:tmpl w:val="5971EDEF"/>
    <w:lvl w:ilvl="0" w:tentative="0">
      <w:start w:val="1"/>
      <w:numFmt w:val="chineseCounting"/>
      <w:suff w:val="nothing"/>
      <w:lvlText w:val="（%1）"/>
      <w:lvlJc w:val="left"/>
      <w:pPr>
        <w:ind w:firstLine="420"/>
      </w:pPr>
      <w:rPr>
        <w:rFonts w:hint="eastAsia" w:cs="Times New Roman"/>
      </w:rPr>
    </w:lvl>
  </w:abstractNum>
  <w:abstractNum w:abstractNumId="4">
    <w:nsid w:val="5971F72C"/>
    <w:multiLevelType w:val="singleLevel"/>
    <w:tmpl w:val="5971F72C"/>
    <w:lvl w:ilvl="0" w:tentative="0">
      <w:start w:val="1"/>
      <w:numFmt w:val="chineseCounting"/>
      <w:suff w:val="nothing"/>
      <w:lvlText w:val="%1、"/>
      <w:lvlJc w:val="left"/>
      <w:pPr>
        <w:ind w:firstLine="420"/>
      </w:pPr>
      <w:rPr>
        <w:rFonts w:hint="eastAsia" w:cs="Times New Roman"/>
      </w:rPr>
    </w:lvl>
  </w:abstractNum>
  <w:abstractNum w:abstractNumId="5">
    <w:nsid w:val="599CEDA0"/>
    <w:multiLevelType w:val="singleLevel"/>
    <w:tmpl w:val="599CEDA0"/>
    <w:lvl w:ilvl="0" w:tentative="0">
      <w:start w:val="1"/>
      <w:numFmt w:val="chineseCounting"/>
      <w:suff w:val="nothing"/>
      <w:lvlText w:val="%1、"/>
      <w:lvlJc w:val="left"/>
      <w:rPr>
        <w:rFonts w:cs="Times New Roman"/>
      </w:rPr>
    </w:lvl>
  </w:abstractNum>
  <w:abstractNum w:abstractNumId="6">
    <w:nsid w:val="599CF62F"/>
    <w:multiLevelType w:val="singleLevel"/>
    <w:tmpl w:val="599CF62F"/>
    <w:lvl w:ilvl="0" w:tentative="0">
      <w:start w:val="1"/>
      <w:numFmt w:val="chineseCounting"/>
      <w:suff w:val="nothing"/>
      <w:lvlText w:val="%1、"/>
      <w:lvlJc w:val="left"/>
      <w:rPr>
        <w:rFonts w:cs="Times New Roman"/>
      </w:rPr>
    </w:lvl>
  </w:abstractNum>
  <w:abstractNum w:abstractNumId="7">
    <w:nsid w:val="599CFAED"/>
    <w:multiLevelType w:val="singleLevel"/>
    <w:tmpl w:val="599CFAED"/>
    <w:lvl w:ilvl="0" w:tentative="0">
      <w:start w:val="1"/>
      <w:numFmt w:val="decimal"/>
      <w:suff w:val="nothing"/>
      <w:lvlText w:val="%1、"/>
      <w:lvlJc w:val="left"/>
      <w:rPr>
        <w:rFonts w:cs="Times New Roman"/>
      </w:rPr>
    </w:lvl>
  </w:abstractNum>
  <w:abstractNum w:abstractNumId="8">
    <w:nsid w:val="599CFB54"/>
    <w:multiLevelType w:val="singleLevel"/>
    <w:tmpl w:val="599CFB54"/>
    <w:lvl w:ilvl="0" w:tentative="0">
      <w:start w:val="8"/>
      <w:numFmt w:val="chineseCounting"/>
      <w:suff w:val="nothing"/>
      <w:lvlText w:val="%1、"/>
      <w:lvlJc w:val="left"/>
      <w:rPr>
        <w:rFonts w:cs="Times New Roman"/>
      </w:rPr>
    </w:lvl>
  </w:abstractNum>
  <w:num w:numId="1">
    <w:abstractNumId w:val="5"/>
  </w:num>
  <w:num w:numId="2">
    <w:abstractNumId w:val="0"/>
  </w:num>
  <w:num w:numId="3">
    <w:abstractNumId w:val="6"/>
  </w:num>
  <w:num w:numId="4">
    <w:abstractNumId w:val="1"/>
  </w:num>
  <w:num w:numId="5">
    <w:abstractNumId w:val="2"/>
  </w:num>
  <w:num w:numId="6">
    <w:abstractNumId w:val="7"/>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1A71"/>
    <w:rsid w:val="000F5C16"/>
    <w:rsid w:val="0011619C"/>
    <w:rsid w:val="00172A27"/>
    <w:rsid w:val="001760AC"/>
    <w:rsid w:val="001D14E2"/>
    <w:rsid w:val="00261CC6"/>
    <w:rsid w:val="00286692"/>
    <w:rsid w:val="002E45EB"/>
    <w:rsid w:val="002E6C2F"/>
    <w:rsid w:val="00301A26"/>
    <w:rsid w:val="003213C0"/>
    <w:rsid w:val="003346CE"/>
    <w:rsid w:val="00384FD7"/>
    <w:rsid w:val="003A6584"/>
    <w:rsid w:val="003B11F1"/>
    <w:rsid w:val="003C617F"/>
    <w:rsid w:val="004A5E7B"/>
    <w:rsid w:val="004F0588"/>
    <w:rsid w:val="00507E2E"/>
    <w:rsid w:val="00536C16"/>
    <w:rsid w:val="00545C5D"/>
    <w:rsid w:val="005B5FD7"/>
    <w:rsid w:val="00611DBB"/>
    <w:rsid w:val="00630D31"/>
    <w:rsid w:val="006444BA"/>
    <w:rsid w:val="006545F9"/>
    <w:rsid w:val="00697561"/>
    <w:rsid w:val="00715B2A"/>
    <w:rsid w:val="0075380E"/>
    <w:rsid w:val="007541D2"/>
    <w:rsid w:val="0080756A"/>
    <w:rsid w:val="008B645D"/>
    <w:rsid w:val="008C0824"/>
    <w:rsid w:val="009137F7"/>
    <w:rsid w:val="00985F31"/>
    <w:rsid w:val="009B059D"/>
    <w:rsid w:val="009B49A6"/>
    <w:rsid w:val="00A31F69"/>
    <w:rsid w:val="00A82EB7"/>
    <w:rsid w:val="00AA56D3"/>
    <w:rsid w:val="00B42489"/>
    <w:rsid w:val="00B52252"/>
    <w:rsid w:val="00B54309"/>
    <w:rsid w:val="00B6515F"/>
    <w:rsid w:val="00B84FB0"/>
    <w:rsid w:val="00BA144B"/>
    <w:rsid w:val="00C01619"/>
    <w:rsid w:val="00C701E8"/>
    <w:rsid w:val="00C95B52"/>
    <w:rsid w:val="00CA4EF7"/>
    <w:rsid w:val="00CC5466"/>
    <w:rsid w:val="00CE6773"/>
    <w:rsid w:val="00D66CD4"/>
    <w:rsid w:val="00D75672"/>
    <w:rsid w:val="00D84519"/>
    <w:rsid w:val="00DD333A"/>
    <w:rsid w:val="00DD3580"/>
    <w:rsid w:val="00DD4472"/>
    <w:rsid w:val="00DF35B7"/>
    <w:rsid w:val="00E16407"/>
    <w:rsid w:val="00E20D57"/>
    <w:rsid w:val="00EA7B6E"/>
    <w:rsid w:val="00ED7B3F"/>
    <w:rsid w:val="00F46045"/>
    <w:rsid w:val="00F740B9"/>
    <w:rsid w:val="00FA073A"/>
    <w:rsid w:val="00FD545F"/>
    <w:rsid w:val="015E0E49"/>
    <w:rsid w:val="04453648"/>
    <w:rsid w:val="06214144"/>
    <w:rsid w:val="06840641"/>
    <w:rsid w:val="074704E8"/>
    <w:rsid w:val="09BB2134"/>
    <w:rsid w:val="15492582"/>
    <w:rsid w:val="1E7D3B34"/>
    <w:rsid w:val="1F2A7253"/>
    <w:rsid w:val="21AD4DF7"/>
    <w:rsid w:val="2BA4769A"/>
    <w:rsid w:val="2CD06EF4"/>
    <w:rsid w:val="2E40413D"/>
    <w:rsid w:val="32EF40CE"/>
    <w:rsid w:val="34095216"/>
    <w:rsid w:val="372974AC"/>
    <w:rsid w:val="3804381C"/>
    <w:rsid w:val="42271DDB"/>
    <w:rsid w:val="48B52937"/>
    <w:rsid w:val="48EE3EF3"/>
    <w:rsid w:val="4AB135C1"/>
    <w:rsid w:val="4C1E2F28"/>
    <w:rsid w:val="4E315561"/>
    <w:rsid w:val="517009AF"/>
    <w:rsid w:val="51705BD3"/>
    <w:rsid w:val="5209361A"/>
    <w:rsid w:val="5651051D"/>
    <w:rsid w:val="56F33DA9"/>
    <w:rsid w:val="57E961A8"/>
    <w:rsid w:val="581E77CF"/>
    <w:rsid w:val="58B06254"/>
    <w:rsid w:val="5AF25131"/>
    <w:rsid w:val="600176AC"/>
    <w:rsid w:val="602757AC"/>
    <w:rsid w:val="64BB7EEE"/>
    <w:rsid w:val="664A46E0"/>
    <w:rsid w:val="66F52BA2"/>
    <w:rsid w:val="75531EF6"/>
    <w:rsid w:val="75D0003D"/>
    <w:rsid w:val="76EF02CA"/>
    <w:rsid w:val="7BC97D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uiPriority w:val="99"/>
    <w:rPr>
      <w:sz w:val="18"/>
      <w:szCs w:val="18"/>
    </w:rPr>
  </w:style>
  <w:style w:type="paragraph" w:styleId="3">
    <w:name w:val="footer"/>
    <w:basedOn w:val="1"/>
    <w:link w:val="8"/>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Balloon Text Char"/>
    <w:basedOn w:val="5"/>
    <w:link w:val="2"/>
    <w:locked/>
    <w:uiPriority w:val="99"/>
    <w:rPr>
      <w:rFonts w:ascii="Calibri" w:hAnsi="Calibri" w:eastAsia="宋体" w:cs="Times New Roman"/>
      <w:kern w:val="2"/>
      <w:sz w:val="18"/>
      <w:szCs w:val="18"/>
      <w:lang w:val="en-US" w:eastAsia="zh-CN" w:bidi="ar-SA"/>
    </w:rPr>
  </w:style>
  <w:style w:type="character" w:customStyle="1" w:styleId="8">
    <w:name w:val="Footer Char"/>
    <w:basedOn w:val="5"/>
    <w:link w:val="3"/>
    <w:semiHidden/>
    <w:qFormat/>
    <w:locked/>
    <w:uiPriority w:val="99"/>
    <w:rPr>
      <w:rFonts w:ascii="Calibri" w:hAnsi="Calibri" w:eastAsia="宋体" w:cs="Times New Roman"/>
      <w:kern w:val="2"/>
      <w:sz w:val="24"/>
      <w:szCs w:val="24"/>
      <w:lang w:val="en-US" w:eastAsia="zh-CN" w:bidi="ar-SA"/>
    </w:rPr>
  </w:style>
  <w:style w:type="character" w:customStyle="1" w:styleId="9">
    <w:name w:val="Header Char"/>
    <w:basedOn w:val="5"/>
    <w:link w:val="4"/>
    <w:semiHidden/>
    <w:locked/>
    <w:uiPriority w:val="99"/>
    <w:rPr>
      <w:rFonts w:ascii="Calibri" w:hAnsi="Calibri" w:eastAsia="宋体" w:cs="Times New Roman"/>
      <w:kern w:val="2"/>
      <w:sz w:val="24"/>
      <w:szCs w:val="24"/>
      <w:lang w:val="en-US" w:eastAsia="zh-CN" w:bidi="ar-SA"/>
    </w:rPr>
  </w:style>
  <w:style w:type="character" w:customStyle="1" w:styleId="10">
    <w:name w:val="font31"/>
    <w:basedOn w:val="5"/>
    <w:uiPriority w:val="99"/>
    <w:rPr>
      <w:rFonts w:ascii="Arial" w:hAnsi="Arial" w:cs="Arial"/>
      <w:color w:val="000000"/>
      <w:sz w:val="16"/>
      <w:szCs w:val="16"/>
      <w:u w:val="none"/>
    </w:rPr>
  </w:style>
  <w:style w:type="character" w:customStyle="1" w:styleId="11">
    <w:name w:val="font01"/>
    <w:basedOn w:val="5"/>
    <w:uiPriority w:val="99"/>
    <w:rPr>
      <w:rFonts w:ascii="Arial" w:hAnsi="Arial" w:cs="Arial"/>
      <w:color w:val="000000"/>
      <w:sz w:val="16"/>
      <w:szCs w:val="16"/>
      <w:u w:val="none"/>
    </w:rPr>
  </w:style>
  <w:style w:type="character" w:customStyle="1" w:styleId="12">
    <w:name w:val="font41"/>
    <w:basedOn w:val="5"/>
    <w:uiPriority w:val="99"/>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23</Pages>
  <Words>1508</Words>
  <Characters>8598</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日昃离</cp:lastModifiedBy>
  <cp:lastPrinted>2018-01-22T00:44:56Z</cp:lastPrinted>
  <dcterms:modified xsi:type="dcterms:W3CDTF">2018-01-22T00:46:52Z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