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_GB2312" w:hAnsi="??_GB2312" w:eastAsia="Times New Roman" w:cs="??_GB2312"/>
          <w:sz w:val="44"/>
          <w:szCs w:val="44"/>
        </w:rPr>
      </w:pPr>
      <w:r>
        <w:rPr>
          <w:rFonts w:hint="eastAsia" w:ascii="隶书" w:hAnsi="隶书" w:eastAsia="隶书" w:cs="隶书"/>
          <w:sz w:val="52"/>
          <w:szCs w:val="52"/>
        </w:rPr>
        <w:t>罗山县安全生产监督管理局</w:t>
      </w:r>
    </w:p>
    <w:p>
      <w:pPr>
        <w:jc w:val="center"/>
        <w:rPr>
          <w:rFonts w:ascii="黑体" w:hAnsi="黑体" w:eastAsia="黑体" w:cs="黑体"/>
          <w:sz w:val="52"/>
          <w:szCs w:val="52"/>
        </w:rPr>
      </w:pPr>
    </w:p>
    <w:p>
      <w:pPr>
        <w:jc w:val="center"/>
        <w:rPr>
          <w:rFonts w:ascii="隶书" w:hAnsi="隶书" w:eastAsia="隶书" w:cs="隶书"/>
          <w:sz w:val="52"/>
          <w:szCs w:val="5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425" w:num="1"/>
          <w:docGrid w:type="lines" w:linePitch="312" w:charSpace="0"/>
        </w:sectPr>
      </w:pPr>
      <w:r>
        <w:rPr>
          <w:rFonts w:ascii="隶书" w:hAnsi="隶书" w:eastAsia="隶书" w:cs="隶书"/>
          <w:sz w:val="52"/>
          <w:szCs w:val="52"/>
        </w:rPr>
        <w:t>2016</w:t>
      </w:r>
      <w:r>
        <w:rPr>
          <w:rFonts w:hint="eastAsia" w:ascii="隶书" w:hAnsi="隶书" w:eastAsia="隶书" w:cs="隶书"/>
          <w:sz w:val="52"/>
          <w:szCs w:val="52"/>
        </w:rPr>
        <w:t>年度部门决算</w:t>
      </w:r>
    </w:p>
    <w:p>
      <w:pPr>
        <w:jc w:val="center"/>
        <w:rPr>
          <w:rFonts w:ascii="黑体" w:hAnsi="黑体" w:eastAsia="黑体" w:cs="黑体"/>
          <w:sz w:val="32"/>
          <w:szCs w:val="32"/>
        </w:rPr>
      </w:pPr>
      <w:r>
        <w:rPr>
          <w:rFonts w:hint="eastAsia" w:ascii="黑体" w:hAnsi="黑体" w:eastAsia="黑体" w:cs="黑体"/>
          <w:sz w:val="32"/>
          <w:szCs w:val="32"/>
        </w:rPr>
        <w:t>目　　录</w:t>
      </w:r>
    </w:p>
    <w:p>
      <w:pPr>
        <w:jc w:val="left"/>
        <w:rPr>
          <w:rFonts w:ascii="黑体" w:hAnsi="黑体" w:eastAsia="黑体" w:cs="黑体"/>
          <w:sz w:val="32"/>
          <w:szCs w:val="32"/>
        </w:rPr>
      </w:pPr>
      <w:r>
        <w:rPr>
          <w:rFonts w:hint="eastAsia" w:ascii="黑体" w:hAnsi="黑体" w:eastAsia="黑体" w:cs="黑体"/>
          <w:sz w:val="32"/>
          <w:szCs w:val="32"/>
        </w:rPr>
        <w:t>第一部分　　罗山县安监局局概况</w:t>
      </w:r>
    </w:p>
    <w:p>
      <w:pPr>
        <w:numPr>
          <w:ilvl w:val="0"/>
          <w:numId w:val="1"/>
        </w:numPr>
        <w:jc w:val="left"/>
        <w:rPr>
          <w:rFonts w:ascii="宋体" w:cs="宋体"/>
          <w:sz w:val="32"/>
          <w:szCs w:val="32"/>
        </w:rPr>
      </w:pPr>
      <w:r>
        <w:rPr>
          <w:rFonts w:hint="eastAsia" w:ascii="宋体" w:hAnsi="宋体" w:cs="宋体"/>
          <w:sz w:val="32"/>
          <w:szCs w:val="32"/>
        </w:rPr>
        <w:t>主要职能</w:t>
      </w:r>
    </w:p>
    <w:p>
      <w:pPr>
        <w:numPr>
          <w:ilvl w:val="0"/>
          <w:numId w:val="1"/>
        </w:numPr>
        <w:jc w:val="left"/>
        <w:rPr>
          <w:rFonts w:ascii="宋体" w:cs="宋体"/>
          <w:sz w:val="32"/>
          <w:szCs w:val="32"/>
        </w:rPr>
      </w:pPr>
      <w:r>
        <w:rPr>
          <w:rFonts w:hint="eastAsia" w:ascii="宋体" w:hAnsi="宋体" w:cs="宋体"/>
          <w:sz w:val="32"/>
          <w:szCs w:val="32"/>
        </w:rPr>
        <w:t>部门决算单位构成</w:t>
      </w:r>
    </w:p>
    <w:p>
      <w:pPr>
        <w:jc w:val="left"/>
        <w:rPr>
          <w:rFonts w:ascii="黑体" w:hAnsi="黑体" w:eastAsia="黑体" w:cs="黑体"/>
          <w:sz w:val="32"/>
          <w:szCs w:val="32"/>
        </w:rPr>
      </w:pPr>
      <w:r>
        <w:rPr>
          <w:rFonts w:hint="eastAsia" w:ascii="黑体" w:hAnsi="黑体" w:eastAsia="黑体" w:cs="黑体"/>
          <w:sz w:val="32"/>
          <w:szCs w:val="32"/>
        </w:rPr>
        <w:t>第二部分　　罗山县安监局</w:t>
      </w:r>
      <w:r>
        <w:rPr>
          <w:rFonts w:ascii="黑体" w:hAnsi="黑体" w:eastAsia="黑体" w:cs="黑体"/>
          <w:sz w:val="32"/>
          <w:szCs w:val="32"/>
        </w:rPr>
        <w:t>2016</w:t>
      </w:r>
      <w:r>
        <w:rPr>
          <w:rFonts w:hint="eastAsia" w:ascii="黑体" w:hAnsi="黑体" w:eastAsia="黑体" w:cs="黑体"/>
          <w:sz w:val="32"/>
          <w:szCs w:val="32"/>
        </w:rPr>
        <w:t>年度部门决算表</w:t>
      </w:r>
    </w:p>
    <w:p>
      <w:pPr>
        <w:jc w:val="left"/>
        <w:rPr>
          <w:rFonts w:ascii="宋体" w:cs="宋体"/>
          <w:sz w:val="32"/>
          <w:szCs w:val="32"/>
        </w:rPr>
      </w:pPr>
      <w:r>
        <w:rPr>
          <w:rFonts w:hint="eastAsia" w:ascii="宋体" w:hAnsi="宋体" w:cs="宋体"/>
          <w:sz w:val="32"/>
          <w:szCs w:val="32"/>
        </w:rPr>
        <w:t>一、收入支出决算总表</w:t>
      </w:r>
    </w:p>
    <w:p>
      <w:pPr>
        <w:jc w:val="left"/>
        <w:rPr>
          <w:rFonts w:ascii="宋体" w:cs="宋体"/>
          <w:sz w:val="32"/>
          <w:szCs w:val="32"/>
        </w:rPr>
      </w:pPr>
      <w:r>
        <w:rPr>
          <w:rFonts w:hint="eastAsia" w:ascii="宋体" w:hAnsi="宋体" w:cs="宋体"/>
          <w:sz w:val="32"/>
          <w:szCs w:val="32"/>
        </w:rPr>
        <w:t>二、收入决算表</w:t>
      </w:r>
    </w:p>
    <w:p>
      <w:pPr>
        <w:jc w:val="left"/>
        <w:rPr>
          <w:rFonts w:ascii="宋体" w:cs="宋体"/>
          <w:sz w:val="32"/>
          <w:szCs w:val="32"/>
        </w:rPr>
      </w:pPr>
      <w:r>
        <w:rPr>
          <w:rFonts w:hint="eastAsia" w:ascii="宋体" w:hAnsi="宋体" w:cs="宋体"/>
          <w:sz w:val="32"/>
          <w:szCs w:val="32"/>
        </w:rPr>
        <w:t>三、支出决算表</w:t>
      </w:r>
    </w:p>
    <w:p>
      <w:pPr>
        <w:jc w:val="left"/>
        <w:rPr>
          <w:rFonts w:ascii="宋体" w:cs="宋体"/>
          <w:sz w:val="32"/>
          <w:szCs w:val="32"/>
        </w:rPr>
      </w:pPr>
      <w:r>
        <w:rPr>
          <w:rFonts w:hint="eastAsia" w:ascii="宋体" w:hAnsi="宋体" w:cs="宋体"/>
          <w:sz w:val="32"/>
          <w:szCs w:val="32"/>
        </w:rPr>
        <w:t>四、财政拨款收入支出决算总表</w:t>
      </w:r>
    </w:p>
    <w:p>
      <w:pPr>
        <w:jc w:val="left"/>
        <w:rPr>
          <w:rFonts w:ascii="宋体" w:cs="宋体"/>
          <w:sz w:val="32"/>
          <w:szCs w:val="32"/>
        </w:rPr>
      </w:pPr>
      <w:r>
        <w:rPr>
          <w:rFonts w:hint="eastAsia" w:ascii="宋体" w:hAnsi="宋体" w:cs="宋体"/>
          <w:sz w:val="32"/>
          <w:szCs w:val="32"/>
        </w:rPr>
        <w:t>五、一般公共预算财政拨款支出决算表</w:t>
      </w:r>
    </w:p>
    <w:p>
      <w:pPr>
        <w:jc w:val="left"/>
        <w:rPr>
          <w:rFonts w:ascii="宋体" w:cs="宋体"/>
          <w:sz w:val="32"/>
          <w:szCs w:val="32"/>
        </w:rPr>
      </w:pPr>
      <w:r>
        <w:rPr>
          <w:rFonts w:hint="eastAsia" w:ascii="宋体" w:hAnsi="宋体" w:cs="宋体"/>
          <w:sz w:val="32"/>
          <w:szCs w:val="32"/>
        </w:rPr>
        <w:t>六、一般公共预算财政拨款基本支出决算表</w:t>
      </w:r>
    </w:p>
    <w:p>
      <w:pPr>
        <w:jc w:val="left"/>
        <w:rPr>
          <w:rFonts w:ascii="宋体" w:cs="宋体"/>
          <w:sz w:val="32"/>
          <w:szCs w:val="32"/>
        </w:rPr>
      </w:pPr>
      <w:r>
        <w:rPr>
          <w:rFonts w:hint="eastAsia" w:ascii="宋体" w:hAnsi="宋体" w:cs="宋体"/>
          <w:sz w:val="32"/>
          <w:szCs w:val="32"/>
        </w:rPr>
        <w:t>七、一般公共预算财政拨款“三公”经费支出决算表</w:t>
      </w:r>
    </w:p>
    <w:p>
      <w:pPr>
        <w:jc w:val="left"/>
        <w:rPr>
          <w:rFonts w:ascii="宋体" w:cs="宋体"/>
          <w:sz w:val="32"/>
          <w:szCs w:val="32"/>
        </w:rPr>
      </w:pPr>
      <w:r>
        <w:rPr>
          <w:rFonts w:hint="eastAsia" w:ascii="宋体" w:hAnsi="宋体" w:cs="宋体"/>
          <w:sz w:val="32"/>
          <w:szCs w:val="32"/>
        </w:rPr>
        <w:t>八、政府性基金预算财政拨款收入支出决算表</w:t>
      </w:r>
    </w:p>
    <w:p>
      <w:pPr>
        <w:jc w:val="left"/>
        <w:rPr>
          <w:rFonts w:ascii="黑体" w:hAnsi="黑体" w:eastAsia="黑体" w:cs="黑体"/>
          <w:sz w:val="32"/>
          <w:szCs w:val="32"/>
        </w:rPr>
      </w:pPr>
      <w:r>
        <w:rPr>
          <w:rFonts w:hint="eastAsia" w:ascii="黑体" w:hAnsi="黑体" w:eastAsia="黑体" w:cs="黑体"/>
          <w:sz w:val="32"/>
          <w:szCs w:val="32"/>
        </w:rPr>
        <w:t>第三部分　　罗山县安监局</w:t>
      </w:r>
      <w:r>
        <w:rPr>
          <w:rFonts w:ascii="黑体" w:hAnsi="黑体" w:eastAsia="黑体" w:cs="黑体"/>
          <w:sz w:val="32"/>
          <w:szCs w:val="32"/>
        </w:rPr>
        <w:t>2016</w:t>
      </w:r>
      <w:r>
        <w:rPr>
          <w:rFonts w:hint="eastAsia" w:ascii="黑体" w:hAnsi="黑体" w:eastAsia="黑体" w:cs="黑体"/>
          <w:sz w:val="32"/>
          <w:szCs w:val="32"/>
        </w:rPr>
        <w:t>年度部门决算情况说明</w:t>
      </w:r>
    </w:p>
    <w:p>
      <w:pPr>
        <w:jc w:val="left"/>
        <w:rPr>
          <w:rFonts w:ascii="黑体" w:hAnsi="黑体" w:eastAsia="黑体" w:cs="黑体"/>
          <w:sz w:val="32"/>
          <w:szCs w:val="32"/>
        </w:rPr>
        <w:sectPr>
          <w:footerReference r:id="rId9" w:type="default"/>
          <w:pgSz w:w="11906" w:h="16838"/>
          <w:pgMar w:top="1440" w:right="1800" w:bottom="1440" w:left="1800" w:header="851" w:footer="992" w:gutter="0"/>
          <w:pgNumType w:fmt="numberInDash"/>
          <w:cols w:space="425" w:num="1"/>
          <w:docGrid w:type="lines" w:linePitch="312" w:charSpace="0"/>
        </w:sectPr>
      </w:pPr>
      <w:r>
        <w:rPr>
          <w:rFonts w:hint="eastAsia" w:ascii="黑体" w:hAnsi="黑体" w:eastAsia="黑体" w:cs="黑体"/>
          <w:sz w:val="32"/>
          <w:szCs w:val="32"/>
        </w:rPr>
        <w:t>第四部分　　名词解释</w:t>
      </w: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center"/>
        <w:outlineLvl w:val="0"/>
        <w:rPr>
          <w:rFonts w:ascii="隶书" w:hAnsi="隶书" w:eastAsia="隶书" w:cs="隶书"/>
          <w:sz w:val="48"/>
          <w:szCs w:val="48"/>
        </w:rPr>
        <w:sectPr>
          <w:footerReference r:id="rId10" w:type="default"/>
          <w:pgSz w:w="11906" w:h="16838"/>
          <w:pgMar w:top="1440" w:right="1800" w:bottom="1440" w:left="1800" w:header="851" w:footer="992" w:gutter="0"/>
          <w:pgNumType w:fmt="numberInDash" w:start="1"/>
          <w:cols w:space="425" w:num="1"/>
          <w:docGrid w:type="lines" w:linePitch="312" w:charSpace="0"/>
        </w:sectPr>
      </w:pPr>
      <w:r>
        <w:rPr>
          <w:rFonts w:hint="eastAsia" w:ascii="隶书" w:hAnsi="隶书" w:eastAsia="隶书" w:cs="隶书"/>
          <w:sz w:val="48"/>
          <w:szCs w:val="48"/>
        </w:rPr>
        <w:t>第一部分　　罗山县安监局概况</w:t>
      </w:r>
    </w:p>
    <w:p>
      <w:pPr>
        <w:spacing w:line="360" w:lineRule="auto"/>
        <w:ind w:firstLine="640" w:firstLineChars="200"/>
        <w:jc w:val="left"/>
        <w:outlineLvl w:val="1"/>
        <w:rPr>
          <w:rFonts w:ascii="黑体" w:hAnsi="黑体" w:eastAsia="黑体" w:cs="黑体"/>
          <w:sz w:val="32"/>
          <w:szCs w:val="32"/>
        </w:rPr>
      </w:pPr>
      <w:r>
        <w:rPr>
          <w:rFonts w:hint="eastAsia" w:ascii="黑体" w:hAnsi="黑体" w:eastAsia="黑体" w:cs="黑体"/>
          <w:sz w:val="32"/>
          <w:szCs w:val="32"/>
        </w:rPr>
        <w:t>一、主要职能</w:t>
      </w:r>
    </w:p>
    <w:p>
      <w:pPr>
        <w:widowControl/>
        <w:shd w:val="clear" w:color="auto" w:fill="FFFFFF"/>
        <w:spacing w:line="480" w:lineRule="atLeast"/>
        <w:ind w:firstLine="640"/>
        <w:jc w:val="left"/>
        <w:rPr>
          <w:rFonts w:ascii="仿宋" w:hAnsi="仿宋" w:eastAsia="仿宋" w:cs="仿宋"/>
          <w:color w:val="3D3D3D"/>
          <w:sz w:val="32"/>
          <w:szCs w:val="32"/>
        </w:rPr>
      </w:pPr>
      <w:r>
        <w:rPr>
          <w:rFonts w:ascii="仿宋" w:hAnsi="仿宋" w:eastAsia="仿宋" w:cs="仿宋"/>
          <w:color w:val="000000"/>
          <w:kern w:val="0"/>
          <w:sz w:val="32"/>
          <w:szCs w:val="32"/>
          <w:shd w:val="clear" w:color="auto" w:fill="FFFFFF"/>
        </w:rPr>
        <w:t>1</w:t>
      </w:r>
      <w:r>
        <w:rPr>
          <w:rFonts w:hint="eastAsia" w:ascii="仿宋" w:hAnsi="仿宋" w:eastAsia="仿宋" w:cs="仿宋"/>
          <w:color w:val="000000"/>
          <w:kern w:val="0"/>
          <w:sz w:val="32"/>
          <w:szCs w:val="32"/>
          <w:shd w:val="clear" w:color="auto" w:fill="FFFFFF"/>
        </w:rPr>
        <w:t>、单位主要职责。</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一）贯彻执行国家和省市有关安全生产的法律法规和方针政策，综合协调全县安全生产工作，分析预测全县安全生产形势，发布全县安全生产信息，负责安全生产新闻宣传报道，及时报告和协调解决安全生产中的重大问题。</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（二）承担全县安全生产综合监督管理责任，依法行使综合监督管理职权</w:t>
      </w:r>
      <w:r>
        <w:rPr>
          <w:rFonts w:ascii="仿宋" w:hAnsi="仿宋" w:eastAsia="仿宋" w:cs="仿宋"/>
          <w:color w:val="484848"/>
          <w:kern w:val="0"/>
          <w:sz w:val="32"/>
          <w:szCs w:val="32"/>
          <w:shd w:val="clear" w:color="auto" w:fill="FFFFFF"/>
        </w:rPr>
        <w:t>, </w:t>
      </w:r>
      <w:r>
        <w:rPr>
          <w:rFonts w:hint="eastAsia" w:ascii="仿宋" w:hAnsi="仿宋" w:eastAsia="仿宋" w:cs="仿宋"/>
          <w:color w:val="484848"/>
          <w:kern w:val="0"/>
          <w:sz w:val="32"/>
          <w:szCs w:val="32"/>
          <w:shd w:val="clear" w:color="auto" w:fill="FFFFFF"/>
        </w:rPr>
        <w:t>指导协调、监督检查县政府有关部门和乡镇人民政府安全生产工作，监督考核并通报安全生产控制指标执行情况，监督事故查处和责任追究落实情况。</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（三）承担全县非煤矿山、危险化学品、烟花爆竹安全生产监督管理工作，依法组织并指导监督实施安全生产准入制度，负责监督检查职责范围内新建、改建、扩建工程项目安全设施的设计审查和竣工验收。</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（四）承担工矿商贸作业场所职业卫生监督检查职责，组织查处职业危害事故和违法违规行为。</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（五）指导全县工矿商贸企业安全生产标准化工作，负责重大危险源监控和安全生产隐患排查治理监督检查工作。</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（六）负责组织全县安全生产检查和专项督查，依法组织一般事故调查处理和办理结案，参与较大以上事故的调查处理工作。</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（七）组织协调安全生产应急救援工作，负责全县生产安全监控网络系统建设和管理。</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（八）组织监督全县工矿商贸生产经营单位主要负责人、安全管理人员、特种作业人员（特种设备作业人员除外）的教育培训工作。</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（九）负责全县安全生产行政执法工作，承担全县生产安全伤亡事故统计分析工作。</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（十）指导协调全县安全生产检测检验工作，监督管理安全生产社会中介机构和安全评价工作。</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（十一）承担县安全生产委员会办公室的具体工作。</w:t>
      </w:r>
    </w:p>
    <w:p>
      <w:pPr>
        <w:widowControl/>
        <w:shd w:val="clear" w:color="auto" w:fill="FFFFFF"/>
        <w:spacing w:line="600" w:lineRule="atLeast"/>
        <w:ind w:firstLine="640"/>
        <w:jc w:val="left"/>
        <w:rPr>
          <w:rFonts w:ascii="仿宋" w:hAnsi="仿宋" w:eastAsia="仿宋" w:cs="仿宋"/>
          <w:color w:val="484848"/>
          <w:sz w:val="32"/>
          <w:szCs w:val="32"/>
        </w:rPr>
      </w:pPr>
      <w:r>
        <w:rPr>
          <w:rFonts w:hint="eastAsia" w:ascii="仿宋" w:hAnsi="仿宋" w:eastAsia="仿宋" w:cs="仿宋"/>
          <w:color w:val="484848"/>
          <w:kern w:val="0"/>
          <w:sz w:val="32"/>
          <w:szCs w:val="32"/>
          <w:shd w:val="clear" w:color="auto" w:fill="FFFFFF"/>
        </w:rPr>
        <w:t>（十二）承办县委、县政府和上级业务主管部门交办的其他事项。</w:t>
      </w:r>
    </w:p>
    <w:p>
      <w:pPr>
        <w:spacing w:line="360" w:lineRule="auto"/>
        <w:ind w:firstLine="640" w:firstLineChars="200"/>
        <w:jc w:val="left"/>
        <w:outlineLvl w:val="1"/>
        <w:rPr>
          <w:rFonts w:ascii="黑体" w:hAnsi="黑体" w:eastAsia="黑体" w:cs="黑体"/>
          <w:sz w:val="32"/>
          <w:szCs w:val="32"/>
        </w:rPr>
      </w:pPr>
      <w:r>
        <w:rPr>
          <w:rFonts w:hint="eastAsia" w:ascii="黑体" w:hAnsi="黑体" w:eastAsia="黑体" w:cs="黑体"/>
          <w:sz w:val="32"/>
          <w:szCs w:val="32"/>
        </w:rPr>
        <w:t>二、部门决算单位构成</w:t>
      </w:r>
    </w:p>
    <w:p>
      <w:pPr>
        <w:jc w:val="left"/>
        <w:rPr>
          <w:rFonts w:ascii="黑体" w:hAnsi="黑体" w:eastAsia="黑体" w:cs="黑体"/>
          <w:sz w:val="32"/>
          <w:szCs w:val="32"/>
        </w:rPr>
      </w:pPr>
      <w:r>
        <w:rPr>
          <w:rFonts w:ascii="仿宋" w:hAnsi="仿宋" w:eastAsia="仿宋" w:cs="仿宋"/>
          <w:color w:val="000000"/>
          <w:sz w:val="32"/>
          <w:szCs w:val="32"/>
          <w:shd w:val="clear" w:color="auto" w:fill="FFFFFF"/>
        </w:rPr>
        <w:t>2016</w:t>
      </w:r>
      <w:r>
        <w:rPr>
          <w:rFonts w:hint="eastAsia" w:ascii="仿宋" w:hAnsi="仿宋" w:eastAsia="仿宋" w:cs="仿宋"/>
          <w:color w:val="000000"/>
          <w:sz w:val="32"/>
          <w:szCs w:val="32"/>
          <w:shd w:val="clear" w:color="auto" w:fill="FFFFFF"/>
        </w:rPr>
        <w:t>年罗山县安全生产监督管理局部门决算编制单位</w:t>
      </w:r>
      <w:r>
        <w:rPr>
          <w:rFonts w:ascii="仿宋" w:hAnsi="仿宋" w:eastAsia="仿宋" w:cs="仿宋"/>
          <w:color w:val="000000"/>
          <w:sz w:val="32"/>
          <w:szCs w:val="32"/>
          <w:shd w:val="clear" w:color="auto" w:fill="FFFFFF"/>
        </w:rPr>
        <w:t>4</w:t>
      </w:r>
      <w:r>
        <w:rPr>
          <w:rFonts w:hint="eastAsia" w:ascii="仿宋" w:hAnsi="仿宋" w:eastAsia="仿宋" w:cs="仿宋"/>
          <w:color w:val="000000"/>
          <w:sz w:val="32"/>
          <w:szCs w:val="32"/>
          <w:shd w:val="clear" w:color="auto" w:fill="FFFFFF"/>
        </w:rPr>
        <w:t>个（局机关、安全生产监察大队、应急救援指挥中心、石材专业园区安监站）。</w:t>
      </w: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r>
        <w:rPr>
          <w:rFonts w:hint="eastAsia" w:ascii="隶书" w:hAnsi="隶书" w:eastAsia="隶书" w:cs="隶书"/>
          <w:sz w:val="48"/>
          <w:szCs w:val="48"/>
        </w:rPr>
        <w:t>第二部分</w:t>
      </w:r>
    </w:p>
    <w:p>
      <w:pPr>
        <w:jc w:val="center"/>
        <w:rPr>
          <w:rFonts w:ascii="隶书" w:hAnsi="隶书" w:eastAsia="隶书" w:cs="隶书"/>
          <w:sz w:val="48"/>
          <w:szCs w:val="48"/>
        </w:rPr>
        <w:sectPr>
          <w:pgSz w:w="11906" w:h="16838"/>
          <w:pgMar w:top="1440" w:right="1800" w:bottom="1440" w:left="1800" w:header="851" w:footer="992" w:gutter="0"/>
          <w:pgNumType w:fmt="numberInDash"/>
          <w:cols w:space="425" w:num="1"/>
          <w:docGrid w:type="lines" w:linePitch="312" w:charSpace="0"/>
        </w:sectPr>
      </w:pPr>
      <w:r>
        <w:rPr>
          <w:rFonts w:hint="eastAsia" w:ascii="隶书" w:hAnsi="隶书" w:eastAsia="隶书" w:cs="隶书"/>
          <w:sz w:val="48"/>
          <w:szCs w:val="48"/>
        </w:rPr>
        <w:t>安监局</w:t>
      </w:r>
      <w:r>
        <w:rPr>
          <w:rFonts w:ascii="隶书" w:hAnsi="隶书" w:eastAsia="隶书" w:cs="隶书"/>
          <w:sz w:val="48"/>
          <w:szCs w:val="48"/>
        </w:rPr>
        <w:t>2016</w:t>
      </w:r>
      <w:r>
        <w:rPr>
          <w:rFonts w:hint="eastAsia" w:ascii="隶书" w:hAnsi="隶书" w:eastAsia="隶书" w:cs="隶书"/>
          <w:sz w:val="48"/>
          <w:szCs w:val="48"/>
        </w:rPr>
        <w:t>年度部门决算表</w:t>
      </w:r>
    </w:p>
    <w:tbl>
      <w:tblPr>
        <w:tblStyle w:val="6"/>
        <w:tblW w:w="10320" w:type="dxa"/>
        <w:tblInd w:w="-1051" w:type="dxa"/>
        <w:tblLayout w:type="fixed"/>
        <w:tblCellMar>
          <w:top w:w="15" w:type="dxa"/>
          <w:left w:w="15" w:type="dxa"/>
          <w:bottom w:w="15" w:type="dxa"/>
          <w:right w:w="15" w:type="dxa"/>
        </w:tblCellMar>
      </w:tblPr>
      <w:tblGrid>
        <w:gridCol w:w="2899"/>
        <w:gridCol w:w="353"/>
        <w:gridCol w:w="1963"/>
        <w:gridCol w:w="1849"/>
        <w:gridCol w:w="393"/>
        <w:gridCol w:w="388"/>
        <w:gridCol w:w="405"/>
        <w:gridCol w:w="2070"/>
      </w:tblGrid>
      <w:tr>
        <w:tblPrEx>
          <w:tblLayout w:type="fixed"/>
          <w:tblCellMar>
            <w:top w:w="15" w:type="dxa"/>
            <w:left w:w="15" w:type="dxa"/>
            <w:bottom w:w="15" w:type="dxa"/>
            <w:right w:w="15" w:type="dxa"/>
          </w:tblCellMar>
        </w:tblPrEx>
        <w:trPr>
          <w:trHeight w:val="375" w:hRule="atLeast"/>
        </w:trPr>
        <w:tc>
          <w:tcPr>
            <w:tcW w:w="10320" w:type="dxa"/>
            <w:gridSpan w:val="8"/>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收入支出决算总表</w:t>
            </w:r>
          </w:p>
        </w:tc>
      </w:tr>
      <w:tr>
        <w:tblPrEx>
          <w:tblLayout w:type="fixed"/>
          <w:tblCellMar>
            <w:top w:w="15" w:type="dxa"/>
            <w:left w:w="15" w:type="dxa"/>
            <w:bottom w:w="15" w:type="dxa"/>
            <w:right w:w="15" w:type="dxa"/>
          </w:tblCellMar>
        </w:tblPrEx>
        <w:trPr>
          <w:trHeight w:val="315" w:hRule="atLeast"/>
        </w:trPr>
        <w:tc>
          <w:tcPr>
            <w:tcW w:w="2899" w:type="dxa"/>
            <w:vAlign w:val="center"/>
          </w:tcPr>
          <w:p>
            <w:pPr>
              <w:widowControl/>
              <w:jc w:val="left"/>
              <w:textAlignment w:val="center"/>
              <w:rPr>
                <w:rFonts w:ascii="宋体" w:cs="宋体"/>
                <w:color w:val="000000"/>
                <w:sz w:val="16"/>
                <w:szCs w:val="16"/>
              </w:rPr>
            </w:pPr>
            <w:r>
              <w:rPr>
                <w:rFonts w:ascii="宋体" w:cs="宋体"/>
                <w:color w:val="000000"/>
                <w:kern w:val="0"/>
                <w:sz w:val="16"/>
                <w:szCs w:val="16"/>
              </w:rPr>
              <w:t>.</w:t>
            </w:r>
          </w:p>
        </w:tc>
        <w:tc>
          <w:tcPr>
            <w:tcW w:w="353" w:type="dxa"/>
            <w:vAlign w:val="center"/>
          </w:tcPr>
          <w:p>
            <w:pPr>
              <w:rPr>
                <w:rFonts w:ascii="宋体" w:cs="宋体"/>
                <w:color w:val="000000"/>
                <w:sz w:val="16"/>
                <w:szCs w:val="16"/>
              </w:rPr>
            </w:pPr>
          </w:p>
        </w:tc>
        <w:tc>
          <w:tcPr>
            <w:tcW w:w="1963" w:type="dxa"/>
            <w:vAlign w:val="center"/>
          </w:tcPr>
          <w:p>
            <w:pPr>
              <w:rPr>
                <w:rFonts w:ascii="宋体" w:cs="宋体"/>
                <w:color w:val="000000"/>
                <w:sz w:val="16"/>
                <w:szCs w:val="16"/>
              </w:rPr>
            </w:pPr>
          </w:p>
        </w:tc>
        <w:tc>
          <w:tcPr>
            <w:tcW w:w="1849" w:type="dxa"/>
            <w:vAlign w:val="center"/>
          </w:tcPr>
          <w:p>
            <w:pPr>
              <w:rPr>
                <w:rFonts w:ascii="宋体" w:cs="宋体"/>
                <w:color w:val="000000"/>
                <w:sz w:val="16"/>
                <w:szCs w:val="16"/>
              </w:rPr>
            </w:pPr>
          </w:p>
        </w:tc>
        <w:tc>
          <w:tcPr>
            <w:tcW w:w="393" w:type="dxa"/>
            <w:vAlign w:val="center"/>
          </w:tcPr>
          <w:p>
            <w:pPr>
              <w:rPr>
                <w:rFonts w:ascii="宋体" w:cs="宋体"/>
                <w:color w:val="000000"/>
                <w:sz w:val="16"/>
                <w:szCs w:val="16"/>
              </w:rPr>
            </w:pPr>
          </w:p>
        </w:tc>
        <w:tc>
          <w:tcPr>
            <w:tcW w:w="2863" w:type="dxa"/>
            <w:gridSpan w:val="3"/>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01</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2899" w:type="dxa"/>
            <w:vAlign w:val="center"/>
          </w:tcPr>
          <w:p>
            <w:pPr>
              <w:rPr>
                <w:rFonts w:ascii="宋体" w:cs="宋体"/>
                <w:color w:val="000000"/>
                <w:sz w:val="16"/>
                <w:szCs w:val="16"/>
              </w:rPr>
            </w:pPr>
          </w:p>
        </w:tc>
        <w:tc>
          <w:tcPr>
            <w:tcW w:w="353" w:type="dxa"/>
            <w:vAlign w:val="center"/>
          </w:tcPr>
          <w:p>
            <w:pPr>
              <w:rPr>
                <w:rFonts w:ascii="宋体" w:cs="宋体"/>
                <w:color w:val="000000"/>
                <w:sz w:val="16"/>
                <w:szCs w:val="16"/>
              </w:rPr>
            </w:pPr>
          </w:p>
        </w:tc>
        <w:tc>
          <w:tcPr>
            <w:tcW w:w="1963" w:type="dxa"/>
            <w:vAlign w:val="center"/>
          </w:tcPr>
          <w:p>
            <w:pPr>
              <w:rPr>
                <w:rFonts w:ascii="宋体" w:cs="宋体"/>
                <w:color w:val="000000"/>
                <w:sz w:val="16"/>
                <w:szCs w:val="16"/>
              </w:rPr>
            </w:pPr>
          </w:p>
        </w:tc>
        <w:tc>
          <w:tcPr>
            <w:tcW w:w="1849" w:type="dxa"/>
            <w:vAlign w:val="center"/>
          </w:tcPr>
          <w:p>
            <w:pPr>
              <w:rPr>
                <w:rFonts w:ascii="宋体" w:cs="宋体"/>
                <w:color w:val="000000"/>
                <w:sz w:val="16"/>
                <w:szCs w:val="16"/>
              </w:rPr>
            </w:pPr>
          </w:p>
        </w:tc>
        <w:tc>
          <w:tcPr>
            <w:tcW w:w="393" w:type="dxa"/>
            <w:vAlign w:val="center"/>
          </w:tcPr>
          <w:p>
            <w:pPr>
              <w:rPr>
                <w:rFonts w:ascii="宋体" w:cs="宋体"/>
                <w:color w:val="000000"/>
                <w:sz w:val="16"/>
                <w:szCs w:val="16"/>
              </w:rPr>
            </w:pPr>
          </w:p>
        </w:tc>
        <w:tc>
          <w:tcPr>
            <w:tcW w:w="2863" w:type="dxa"/>
            <w:gridSpan w:val="3"/>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215"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5105"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35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40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一、财政拨款收入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219.84</w:t>
            </w: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一、一般公共服务支出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二、上级补助收入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三、国防支出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30</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三、事业收入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四、公共安全支出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四、经营收入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五、教育支出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五、附属单位上缴收入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六、科学技术支出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六、其他收入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七、文化体育与传媒支出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八、社会保障和就业支出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九、医疗卫生与计划生育支出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十、节能环保支出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十一、城乡社区支出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十二、农林水支出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十三、交通运输支出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十四、资源勘探信息等支出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十五、商业服务业等支出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十六、金融支出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十七、援助其他地区支出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十八、国土海洋气象等支出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十九、住房保障支出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二十、粮油物资储备支出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二十一、其他支出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二十二、债务还本支出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二十三、债务付息支出</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24</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1" w:firstLineChars="100"/>
              <w:jc w:val="right"/>
              <w:textAlignment w:val="center"/>
              <w:rPr>
                <w:rFonts w:hint="eastAsia" w:ascii="宋体" w:eastAsia="宋体" w:cs="宋体"/>
                <w:b/>
                <w:color w:val="000000"/>
                <w:sz w:val="16"/>
                <w:szCs w:val="16"/>
                <w:lang w:eastAsia="zh-CN"/>
              </w:rPr>
            </w:pPr>
            <w:r>
              <w:rPr>
                <w:rFonts w:hint="eastAsia" w:ascii="宋体" w:hAnsi="宋体" w:cs="宋体"/>
                <w:b/>
                <w:color w:val="000000"/>
                <w:kern w:val="0"/>
                <w:sz w:val="16"/>
                <w:szCs w:val="16"/>
                <w:lang w:val="en-US" w:eastAsia="zh-CN"/>
              </w:rPr>
              <w:t>219.84</w:t>
            </w: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52</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kern w:val="0"/>
                <w:sz w:val="16"/>
                <w:szCs w:val="16"/>
                <w:lang w:val="en-US" w:eastAsia="zh-CN"/>
              </w:rPr>
              <w:t>219.84</w:t>
            </w: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用事业基金弥补收支差额</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25</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结余分配</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年初结转和结余</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963" w:type="dxa"/>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年末结转和结余</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20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9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3"/>
            <w:tcBorders>
              <w:top w:val="single" w:color="000000" w:sz="4" w:space="0"/>
              <w:left w:val="single" w:color="000000" w:sz="4" w:space="0"/>
              <w:bottom w:val="single" w:color="000000" w:sz="4" w:space="0"/>
              <w:right w:val="single" w:color="000000" w:sz="4" w:space="0"/>
            </w:tcBorders>
            <w:vAlign w:val="center"/>
          </w:tcPr>
          <w:p>
            <w:pPr>
              <w:rPr>
                <w:rFonts w:ascii="宋体" w:cs="宋体"/>
                <w:color w:val="000000"/>
                <w:sz w:val="16"/>
                <w:szCs w:val="16"/>
              </w:rPr>
            </w:pP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55</w:t>
            </w:r>
          </w:p>
        </w:tc>
        <w:tc>
          <w:tcPr>
            <w:tcW w:w="2070" w:type="dxa"/>
            <w:tcBorders>
              <w:top w:val="single" w:color="000000" w:sz="4" w:space="0"/>
              <w:left w:val="single" w:color="000000" w:sz="4" w:space="0"/>
              <w:bottom w:val="single" w:color="000000" w:sz="4" w:space="0"/>
              <w:right w:val="single" w:color="000000" w:sz="12" w:space="0"/>
            </w:tcBorders>
            <w:vAlign w:val="center"/>
          </w:tcPr>
          <w:p>
            <w:pP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353"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28</w:t>
            </w:r>
          </w:p>
        </w:tc>
        <w:tc>
          <w:tcPr>
            <w:tcW w:w="1963" w:type="dxa"/>
            <w:tcBorders>
              <w:top w:val="single" w:color="000000" w:sz="4" w:space="0"/>
              <w:left w:val="single" w:color="000000" w:sz="4" w:space="0"/>
              <w:bottom w:val="single" w:color="000000" w:sz="12" w:space="0"/>
              <w:right w:val="single" w:color="000000" w:sz="4" w:space="0"/>
            </w:tcBorders>
            <w:vAlign w:val="center"/>
          </w:tcPr>
          <w:p>
            <w:pPr>
              <w:widowControl/>
              <w:ind w:firstLine="161" w:firstLineChars="100"/>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2630"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40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56</w:t>
            </w:r>
          </w:p>
        </w:tc>
        <w:tc>
          <w:tcPr>
            <w:tcW w:w="207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r>
      <w:tr>
        <w:tblPrEx>
          <w:tblLayout w:type="fixed"/>
          <w:tblCellMar>
            <w:top w:w="15" w:type="dxa"/>
            <w:left w:w="15" w:type="dxa"/>
            <w:bottom w:w="15" w:type="dxa"/>
            <w:right w:w="15" w:type="dxa"/>
          </w:tblCellMar>
        </w:tblPrEx>
        <w:trPr>
          <w:trHeight w:val="555" w:hRule="atLeast"/>
        </w:trPr>
        <w:tc>
          <w:tcPr>
            <w:tcW w:w="10320" w:type="dxa"/>
            <w:gridSpan w:val="8"/>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注：本表反映部门本年度的总收支和年末结转结余情况。</w:t>
            </w:r>
          </w:p>
        </w:tc>
      </w:tr>
    </w:tbl>
    <w:p>
      <w:pPr>
        <w:spacing w:line="360" w:lineRule="auto"/>
        <w:jc w:val="center"/>
        <w:rPr>
          <w:rFonts w:ascii="隶书" w:hAnsi="隶书" w:eastAsia="隶书" w:cs="隶书"/>
          <w:sz w:val="52"/>
          <w:szCs w:val="52"/>
        </w:rPr>
      </w:pPr>
    </w:p>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20" w:type="dxa"/>
        <w:tblInd w:w="-1051" w:type="dxa"/>
        <w:tblLayout w:type="fixed"/>
        <w:tblCellMar>
          <w:top w:w="15" w:type="dxa"/>
          <w:left w:w="15" w:type="dxa"/>
          <w:bottom w:w="15" w:type="dxa"/>
          <w:right w:w="15" w:type="dxa"/>
        </w:tblCellMar>
      </w:tblPr>
      <w:tblGrid>
        <w:gridCol w:w="705"/>
        <w:gridCol w:w="938"/>
        <w:gridCol w:w="709"/>
        <w:gridCol w:w="1041"/>
        <w:gridCol w:w="97"/>
        <w:gridCol w:w="902"/>
        <w:gridCol w:w="236"/>
        <w:gridCol w:w="763"/>
        <w:gridCol w:w="375"/>
        <w:gridCol w:w="624"/>
        <w:gridCol w:w="514"/>
        <w:gridCol w:w="485"/>
        <w:gridCol w:w="653"/>
        <w:gridCol w:w="346"/>
        <w:gridCol w:w="792"/>
        <w:gridCol w:w="1140"/>
      </w:tblGrid>
      <w:tr>
        <w:tblPrEx>
          <w:tblLayout w:type="fixed"/>
          <w:tblCellMar>
            <w:top w:w="15" w:type="dxa"/>
            <w:left w:w="15" w:type="dxa"/>
            <w:bottom w:w="15" w:type="dxa"/>
            <w:right w:w="15" w:type="dxa"/>
          </w:tblCellMar>
        </w:tblPrEx>
        <w:trPr>
          <w:trHeight w:val="375" w:hRule="atLeast"/>
        </w:trPr>
        <w:tc>
          <w:tcPr>
            <w:tcW w:w="10320" w:type="dxa"/>
            <w:gridSpan w:val="16"/>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收入决算表</w:t>
            </w:r>
          </w:p>
        </w:tc>
      </w:tr>
      <w:tr>
        <w:tblPrEx>
          <w:tblLayout w:type="fixed"/>
          <w:tblCellMar>
            <w:top w:w="15" w:type="dxa"/>
            <w:left w:w="15" w:type="dxa"/>
            <w:bottom w:w="15" w:type="dxa"/>
            <w:right w:w="15" w:type="dxa"/>
          </w:tblCellMar>
        </w:tblPrEx>
        <w:trPr>
          <w:trHeight w:val="315" w:hRule="atLeast"/>
        </w:trPr>
        <w:tc>
          <w:tcPr>
            <w:tcW w:w="1643" w:type="dxa"/>
            <w:gridSpan w:val="2"/>
            <w:vAlign w:val="center"/>
          </w:tcPr>
          <w:p>
            <w:pPr>
              <w:rPr>
                <w:rFonts w:ascii="宋体" w:cs="宋体"/>
                <w:color w:val="000000"/>
                <w:sz w:val="16"/>
                <w:szCs w:val="16"/>
              </w:rPr>
            </w:pPr>
          </w:p>
        </w:tc>
        <w:tc>
          <w:tcPr>
            <w:tcW w:w="709" w:type="dxa"/>
            <w:vAlign w:val="center"/>
          </w:tcPr>
          <w:p>
            <w:pPr>
              <w:rPr>
                <w:rFonts w:ascii="宋体" w:cs="宋体"/>
                <w:color w:val="000000"/>
                <w:sz w:val="16"/>
                <w:szCs w:val="16"/>
              </w:rPr>
            </w:pPr>
          </w:p>
        </w:tc>
        <w:tc>
          <w:tcPr>
            <w:tcW w:w="104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32"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02</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643" w:type="dxa"/>
            <w:gridSpan w:val="2"/>
            <w:vAlign w:val="center"/>
          </w:tcPr>
          <w:p>
            <w:pPr>
              <w:rPr>
                <w:rFonts w:ascii="宋体" w:cs="宋体"/>
                <w:color w:val="000000"/>
                <w:sz w:val="16"/>
                <w:szCs w:val="16"/>
              </w:rPr>
            </w:pPr>
          </w:p>
        </w:tc>
        <w:tc>
          <w:tcPr>
            <w:tcW w:w="709" w:type="dxa"/>
            <w:vAlign w:val="center"/>
          </w:tcPr>
          <w:p>
            <w:pPr>
              <w:rPr>
                <w:rFonts w:ascii="宋体" w:cs="宋体"/>
                <w:color w:val="000000"/>
                <w:sz w:val="16"/>
                <w:szCs w:val="16"/>
              </w:rPr>
            </w:pPr>
          </w:p>
        </w:tc>
        <w:tc>
          <w:tcPr>
            <w:tcW w:w="104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32"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财政拨款收入</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上级补助收入</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事业收入</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经营收入</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附属单位</w:t>
            </w:r>
            <w:r>
              <w:rPr>
                <w:rFonts w:ascii="宋体" w:cs="宋体"/>
                <w:b/>
                <w:color w:val="000000"/>
                <w:kern w:val="0"/>
                <w:sz w:val="16"/>
                <w:szCs w:val="16"/>
              </w:rPr>
              <w:br w:type="textWrapping"/>
            </w:r>
            <w:r>
              <w:rPr>
                <w:rFonts w:hint="eastAsia" w:ascii="宋体" w:hAnsi="宋体" w:cs="宋体"/>
                <w:b/>
                <w:color w:val="000000"/>
                <w:kern w:val="0"/>
                <w:sz w:val="16"/>
                <w:szCs w:val="16"/>
              </w:rPr>
              <w:t>上缴收入</w:t>
            </w:r>
          </w:p>
        </w:tc>
        <w:tc>
          <w:tcPr>
            <w:tcW w:w="114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其他收入</w:t>
            </w:r>
          </w:p>
        </w:tc>
      </w:tr>
      <w:tr>
        <w:tblPrEx>
          <w:tblLayout w:type="fixed"/>
          <w:tblCellMar>
            <w:top w:w="15" w:type="dxa"/>
            <w:left w:w="15" w:type="dxa"/>
            <w:bottom w:w="15" w:type="dxa"/>
            <w:right w:w="15" w:type="dxa"/>
          </w:tblCellMar>
        </w:tblPrEx>
        <w:trPr>
          <w:trHeight w:val="6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4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203.82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203.82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20199</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其他一般公共服务支出</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2019999</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其他一般公共服务支出</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社会保障和就业支出</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财政对社会保险基金的补助</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10.60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10.60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bookmarkStart w:id="0" w:name="_GoBack"/>
            <w:bookmarkEnd w:id="0"/>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财政对基本养老保险基金的补助</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2080303</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财政对基本医疗保险基金的补助</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ascii="宋体" w:hAnsi="宋体" w:cs="宋体"/>
                <w:color w:val="000000"/>
                <w:kern w:val="0"/>
                <w:sz w:val="16"/>
                <w:szCs w:val="16"/>
              </w:rPr>
              <w:t>2080304</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财政对工伤保险基金的补助</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kern w:val="0"/>
                <w:sz w:val="16"/>
                <w:szCs w:val="16"/>
                <w:lang w:eastAsia="zh-CN"/>
              </w:rPr>
            </w:pPr>
            <w:r>
              <w:rPr>
                <w:rFonts w:hint="eastAsia" w:ascii="宋体" w:hAnsi="宋体" w:cs="宋体"/>
                <w:color w:val="000000"/>
                <w:kern w:val="0"/>
                <w:sz w:val="16"/>
                <w:szCs w:val="16"/>
                <w:lang w:val="en-US" w:eastAsia="zh-CN"/>
              </w:rPr>
              <w:t>0.08</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kern w:val="0"/>
                <w:sz w:val="16"/>
                <w:szCs w:val="16"/>
                <w:lang w:eastAsia="zh-CN"/>
              </w:rPr>
            </w:pPr>
            <w:r>
              <w:rPr>
                <w:rFonts w:hint="eastAsia" w:ascii="宋体" w:hAnsi="宋体" w:cs="宋体"/>
                <w:color w:val="000000"/>
                <w:kern w:val="0"/>
                <w:sz w:val="16"/>
                <w:szCs w:val="16"/>
                <w:lang w:val="en-US" w:eastAsia="zh-CN"/>
              </w:rPr>
              <w:t>0.08</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ascii="宋体" w:hAnsi="宋体" w:cs="宋体"/>
                <w:color w:val="000000"/>
                <w:kern w:val="0"/>
                <w:sz w:val="16"/>
                <w:szCs w:val="16"/>
              </w:rPr>
              <w:t>20805</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行政事业单位离退休</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kern w:val="0"/>
                <w:sz w:val="16"/>
                <w:szCs w:val="16"/>
                <w:lang w:eastAsia="zh-CN"/>
              </w:rPr>
            </w:pPr>
            <w:r>
              <w:rPr>
                <w:rFonts w:hint="eastAsia" w:ascii="宋体" w:hAnsi="宋体" w:cs="宋体"/>
                <w:color w:val="000000"/>
                <w:kern w:val="0"/>
                <w:sz w:val="16"/>
                <w:szCs w:val="16"/>
                <w:lang w:val="en-US" w:eastAsia="zh-CN"/>
              </w:rPr>
              <w:t>5.42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kern w:val="0"/>
                <w:sz w:val="16"/>
                <w:szCs w:val="16"/>
                <w:lang w:eastAsia="zh-CN"/>
              </w:rPr>
            </w:pPr>
            <w:r>
              <w:rPr>
                <w:rFonts w:hint="eastAsia" w:ascii="宋体" w:hAnsi="宋体" w:cs="宋体"/>
                <w:color w:val="000000"/>
                <w:kern w:val="0"/>
                <w:sz w:val="16"/>
                <w:szCs w:val="16"/>
                <w:lang w:val="en-US" w:eastAsia="zh-CN"/>
              </w:rPr>
              <w:t>5.42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ascii="宋体" w:hAnsi="宋体" w:cs="宋体"/>
                <w:color w:val="000000"/>
                <w:kern w:val="0"/>
                <w:sz w:val="16"/>
                <w:szCs w:val="16"/>
              </w:rPr>
              <w:t>2080504</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违规扣管理的行政事业单位离退休</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kern w:val="0"/>
                <w:sz w:val="16"/>
                <w:szCs w:val="16"/>
                <w:lang w:eastAsia="zh-CN"/>
              </w:rPr>
            </w:pPr>
            <w:r>
              <w:rPr>
                <w:rFonts w:hint="eastAsia" w:ascii="宋体" w:hAnsi="宋体" w:cs="宋体"/>
                <w:color w:val="000000"/>
                <w:kern w:val="0"/>
                <w:sz w:val="16"/>
                <w:szCs w:val="16"/>
                <w:lang w:val="en-US" w:eastAsia="zh-CN"/>
              </w:rPr>
              <w:t>5.42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kern w:val="0"/>
                <w:sz w:val="16"/>
                <w:szCs w:val="16"/>
                <w:lang w:eastAsia="zh-CN"/>
              </w:rPr>
            </w:pPr>
            <w:r>
              <w:rPr>
                <w:rFonts w:hint="eastAsia" w:ascii="宋体" w:hAnsi="宋体" w:cs="宋体"/>
                <w:color w:val="000000"/>
                <w:kern w:val="0"/>
                <w:sz w:val="16"/>
                <w:szCs w:val="16"/>
                <w:lang w:val="en-US" w:eastAsia="zh-CN"/>
              </w:rPr>
              <w:t>5.42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60" w:hRule="atLeast"/>
        </w:trPr>
        <w:tc>
          <w:tcPr>
            <w:tcW w:w="10320" w:type="dxa"/>
            <w:gridSpan w:val="16"/>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注：本表反映部门本年度取得的各项收入情况。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35" w:type="dxa"/>
        <w:tblInd w:w="-1051" w:type="dxa"/>
        <w:tblLayout w:type="fixed"/>
        <w:tblCellMar>
          <w:top w:w="15" w:type="dxa"/>
          <w:left w:w="15" w:type="dxa"/>
          <w:bottom w:w="15" w:type="dxa"/>
          <w:right w:w="15" w:type="dxa"/>
        </w:tblCellMar>
      </w:tblPr>
      <w:tblGrid>
        <w:gridCol w:w="720"/>
        <w:gridCol w:w="992"/>
        <w:gridCol w:w="1519"/>
        <w:gridCol w:w="1161"/>
        <w:gridCol w:w="23"/>
        <w:gridCol w:w="976"/>
        <w:gridCol w:w="208"/>
        <w:gridCol w:w="791"/>
        <w:gridCol w:w="393"/>
        <w:gridCol w:w="606"/>
        <w:gridCol w:w="578"/>
        <w:gridCol w:w="421"/>
        <w:gridCol w:w="763"/>
        <w:gridCol w:w="1184"/>
      </w:tblGrid>
      <w:tr>
        <w:tblPrEx>
          <w:tblLayout w:type="fixed"/>
          <w:tblCellMar>
            <w:top w:w="15" w:type="dxa"/>
            <w:left w:w="15" w:type="dxa"/>
            <w:bottom w:w="15" w:type="dxa"/>
            <w:right w:w="15" w:type="dxa"/>
          </w:tblCellMar>
        </w:tblPrEx>
        <w:trPr>
          <w:trHeight w:val="375" w:hRule="atLeast"/>
        </w:trPr>
        <w:tc>
          <w:tcPr>
            <w:tcW w:w="10335" w:type="dxa"/>
            <w:gridSpan w:val="14"/>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支出决算表</w:t>
            </w:r>
          </w:p>
        </w:tc>
      </w:tr>
      <w:tr>
        <w:tblPrEx>
          <w:tblLayout w:type="fixed"/>
          <w:tblCellMar>
            <w:top w:w="15" w:type="dxa"/>
            <w:left w:w="15" w:type="dxa"/>
            <w:bottom w:w="15" w:type="dxa"/>
            <w:right w:w="15" w:type="dxa"/>
          </w:tblCellMar>
        </w:tblPrEx>
        <w:trPr>
          <w:trHeight w:val="315" w:hRule="atLeast"/>
        </w:trPr>
        <w:tc>
          <w:tcPr>
            <w:tcW w:w="1712" w:type="dxa"/>
            <w:gridSpan w:val="2"/>
            <w:vAlign w:val="center"/>
          </w:tcPr>
          <w:p>
            <w:pPr>
              <w:rPr>
                <w:rFonts w:ascii="宋体" w:cs="宋体"/>
                <w:color w:val="000000"/>
                <w:sz w:val="16"/>
                <w:szCs w:val="16"/>
              </w:rPr>
            </w:pPr>
          </w:p>
        </w:tc>
        <w:tc>
          <w:tcPr>
            <w:tcW w:w="1519" w:type="dxa"/>
            <w:vAlign w:val="center"/>
          </w:tcPr>
          <w:p>
            <w:pPr>
              <w:rPr>
                <w:rFonts w:ascii="宋体" w:cs="宋体"/>
                <w:color w:val="000000"/>
                <w:sz w:val="16"/>
                <w:szCs w:val="16"/>
              </w:rPr>
            </w:pPr>
          </w:p>
        </w:tc>
        <w:tc>
          <w:tcPr>
            <w:tcW w:w="116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47"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712" w:type="dxa"/>
            <w:gridSpan w:val="2"/>
            <w:vAlign w:val="center"/>
          </w:tcPr>
          <w:p>
            <w:pPr>
              <w:rPr>
                <w:rFonts w:ascii="宋体" w:cs="宋体"/>
                <w:color w:val="000000"/>
                <w:sz w:val="16"/>
                <w:szCs w:val="16"/>
              </w:rPr>
            </w:pPr>
          </w:p>
        </w:tc>
        <w:tc>
          <w:tcPr>
            <w:tcW w:w="1519" w:type="dxa"/>
            <w:vAlign w:val="center"/>
          </w:tcPr>
          <w:p>
            <w:pPr>
              <w:rPr>
                <w:rFonts w:ascii="宋体" w:cs="宋体"/>
                <w:color w:val="000000"/>
                <w:sz w:val="16"/>
                <w:szCs w:val="16"/>
              </w:rPr>
            </w:pPr>
          </w:p>
        </w:tc>
        <w:tc>
          <w:tcPr>
            <w:tcW w:w="116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47"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上缴上级支出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经营支出</w:t>
            </w:r>
          </w:p>
        </w:tc>
        <w:tc>
          <w:tcPr>
            <w:tcW w:w="1184"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对附属单位</w:t>
            </w:r>
            <w:r>
              <w:rPr>
                <w:rFonts w:ascii="宋体" w:cs="宋体"/>
                <w:b/>
                <w:color w:val="000000"/>
                <w:kern w:val="0"/>
                <w:sz w:val="16"/>
                <w:szCs w:val="16"/>
              </w:rPr>
              <w:br w:type="textWrapping"/>
            </w:r>
            <w:r>
              <w:rPr>
                <w:rFonts w:hint="eastAsia" w:ascii="宋体" w:hAnsi="宋体" w:cs="宋体"/>
                <w:b/>
                <w:color w:val="000000"/>
                <w:kern w:val="0"/>
                <w:sz w:val="16"/>
                <w:szCs w:val="16"/>
              </w:rPr>
              <w:t>补助支出</w:t>
            </w:r>
          </w:p>
        </w:tc>
      </w:tr>
      <w:tr>
        <w:tblPrEx>
          <w:tblLayout w:type="fixed"/>
          <w:tblCellMar>
            <w:top w:w="15" w:type="dxa"/>
            <w:left w:w="15" w:type="dxa"/>
            <w:bottom w:w="15" w:type="dxa"/>
            <w:right w:w="15" w:type="dxa"/>
          </w:tblCellMar>
        </w:tblPrEx>
        <w:trPr>
          <w:trHeight w:val="6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203.82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203.82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20199</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其他一般公共服务支出</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2019999</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其他一般公共服务支出</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hint="eastAsia" w:ascii="宋体" w:hAnsi="宋体" w:cs="宋体"/>
                <w:color w:val="000000"/>
                <w:sz w:val="16"/>
                <w:szCs w:val="16"/>
                <w:lang w:val="en-US" w:eastAsia="zh-CN"/>
              </w:rPr>
              <w:t>20</w:t>
            </w:r>
            <w:r>
              <w:rPr>
                <w:rFonts w:ascii="宋体" w:hAnsi="宋体" w:cs="宋体"/>
                <w:color w:val="000000"/>
                <w:sz w:val="16"/>
                <w:szCs w:val="16"/>
              </w:rPr>
              <w:t>3</w:t>
            </w:r>
            <w:r>
              <w:rPr>
                <w:rFonts w:hint="eastAsia" w:ascii="宋体" w:hAnsi="宋体" w:cs="宋体"/>
                <w:color w:val="000000"/>
                <w:sz w:val="16"/>
                <w:szCs w:val="16"/>
                <w:lang w:val="en-US" w:eastAsia="zh-CN"/>
              </w:rPr>
              <w:t>.82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社会保障和就业支出</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财政对社会保险基金的补助</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10.60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10.60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财政对基本养老保险基金的补助</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2080303</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财政对基本医疗保险基金的补助</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2080304</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财政对工伤保险基金的补助</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kern w:val="0"/>
                <w:sz w:val="16"/>
                <w:szCs w:val="16"/>
                <w:lang w:val="en-US" w:eastAsia="zh-CN"/>
              </w:rPr>
              <w:t>0.08</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kern w:val="0"/>
                <w:sz w:val="16"/>
                <w:szCs w:val="16"/>
                <w:lang w:val="en-US" w:eastAsia="zh-CN"/>
              </w:rPr>
              <w:t>0.08</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20805</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行政事业单位离退休</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kern w:val="0"/>
                <w:sz w:val="16"/>
                <w:szCs w:val="16"/>
                <w:lang w:val="en-US" w:eastAsia="zh-CN"/>
              </w:rPr>
              <w:t>5.42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kern w:val="0"/>
                <w:sz w:val="16"/>
                <w:szCs w:val="16"/>
                <w:lang w:val="en-US" w:eastAsia="zh-CN"/>
              </w:rPr>
              <w:t>5.42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2080504</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违规扣管理的行政事业单位离退休</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kern w:val="0"/>
                <w:sz w:val="16"/>
                <w:szCs w:val="16"/>
                <w:lang w:val="en-US" w:eastAsia="zh-CN"/>
              </w:rPr>
              <w:t>5.42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kern w:val="0"/>
                <w:sz w:val="16"/>
                <w:szCs w:val="16"/>
                <w:lang w:val="en-US" w:eastAsia="zh-CN"/>
              </w:rPr>
              <w:t>5.42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60" w:hRule="atLeast"/>
        </w:trPr>
        <w:tc>
          <w:tcPr>
            <w:tcW w:w="10335" w:type="dxa"/>
            <w:gridSpan w:val="14"/>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注：本表反映部门本年度取得的各项支出情况。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65" w:type="dxa"/>
        <w:tblInd w:w="-1066" w:type="dxa"/>
        <w:tblLayout w:type="fixed"/>
        <w:tblCellMar>
          <w:top w:w="15" w:type="dxa"/>
          <w:left w:w="15" w:type="dxa"/>
          <w:bottom w:w="15" w:type="dxa"/>
          <w:right w:w="15" w:type="dxa"/>
        </w:tblCellMar>
      </w:tblPr>
      <w:tblGrid>
        <w:gridCol w:w="2190"/>
        <w:gridCol w:w="278"/>
        <w:gridCol w:w="122"/>
        <w:gridCol w:w="193"/>
        <w:gridCol w:w="1102"/>
        <w:gridCol w:w="1746"/>
        <w:gridCol w:w="316"/>
        <w:gridCol w:w="203"/>
        <w:gridCol w:w="325"/>
        <w:gridCol w:w="471"/>
        <w:gridCol w:w="824"/>
        <w:gridCol w:w="175"/>
        <w:gridCol w:w="1120"/>
        <w:gridCol w:w="1300"/>
      </w:tblGrid>
      <w:tr>
        <w:tblPrEx>
          <w:tblLayout w:type="fixed"/>
          <w:tblCellMar>
            <w:top w:w="15" w:type="dxa"/>
            <w:left w:w="15" w:type="dxa"/>
            <w:bottom w:w="15" w:type="dxa"/>
            <w:right w:w="15" w:type="dxa"/>
          </w:tblCellMar>
        </w:tblPrEx>
        <w:trPr>
          <w:trHeight w:val="375" w:hRule="atLeast"/>
        </w:trPr>
        <w:tc>
          <w:tcPr>
            <w:tcW w:w="10365" w:type="dxa"/>
            <w:gridSpan w:val="14"/>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财政拨款收入支出决算表</w:t>
            </w:r>
          </w:p>
        </w:tc>
      </w:tr>
      <w:tr>
        <w:tblPrEx>
          <w:tblLayout w:type="fixed"/>
          <w:tblCellMar>
            <w:top w:w="15" w:type="dxa"/>
            <w:left w:w="15" w:type="dxa"/>
            <w:bottom w:w="15" w:type="dxa"/>
            <w:right w:w="15" w:type="dxa"/>
          </w:tblCellMar>
        </w:tblPrEx>
        <w:trPr>
          <w:trHeight w:val="285" w:hRule="atLeast"/>
        </w:trPr>
        <w:tc>
          <w:tcPr>
            <w:tcW w:w="2468" w:type="dxa"/>
            <w:gridSpan w:val="2"/>
            <w:vAlign w:val="center"/>
          </w:tcPr>
          <w:p>
            <w:pPr>
              <w:rPr>
                <w:rFonts w:ascii="宋体" w:cs="宋体"/>
                <w:color w:val="000000"/>
                <w:sz w:val="16"/>
                <w:szCs w:val="16"/>
              </w:rPr>
            </w:pPr>
          </w:p>
        </w:tc>
        <w:tc>
          <w:tcPr>
            <w:tcW w:w="315" w:type="dxa"/>
            <w:gridSpan w:val="2"/>
            <w:vAlign w:val="center"/>
          </w:tcPr>
          <w:p>
            <w:pPr>
              <w:rPr>
                <w:rFonts w:ascii="宋体" w:cs="宋体"/>
                <w:color w:val="000000"/>
                <w:sz w:val="16"/>
                <w:szCs w:val="16"/>
              </w:rPr>
            </w:pPr>
          </w:p>
        </w:tc>
        <w:tc>
          <w:tcPr>
            <w:tcW w:w="1102" w:type="dxa"/>
            <w:vAlign w:val="center"/>
          </w:tcPr>
          <w:p>
            <w:pPr>
              <w:rPr>
                <w:rFonts w:ascii="宋体" w:cs="宋体"/>
                <w:color w:val="000000"/>
                <w:sz w:val="16"/>
                <w:szCs w:val="16"/>
              </w:rPr>
            </w:pPr>
          </w:p>
        </w:tc>
        <w:tc>
          <w:tcPr>
            <w:tcW w:w="1746" w:type="dxa"/>
            <w:vAlign w:val="center"/>
          </w:tcPr>
          <w:p>
            <w:pPr>
              <w:rPr>
                <w:rFonts w:ascii="宋体" w:cs="宋体"/>
                <w:color w:val="000000"/>
                <w:sz w:val="16"/>
                <w:szCs w:val="16"/>
              </w:rPr>
            </w:pPr>
          </w:p>
        </w:tc>
        <w:tc>
          <w:tcPr>
            <w:tcW w:w="316" w:type="dxa"/>
            <w:vAlign w:val="center"/>
          </w:tcPr>
          <w:p>
            <w:pPr>
              <w:rPr>
                <w:rFonts w:ascii="宋体" w:cs="宋体"/>
                <w:color w:val="000000"/>
                <w:sz w:val="16"/>
                <w:szCs w:val="16"/>
              </w:rPr>
            </w:pPr>
          </w:p>
        </w:tc>
        <w:tc>
          <w:tcPr>
            <w:tcW w:w="999" w:type="dxa"/>
            <w:gridSpan w:val="3"/>
            <w:vAlign w:val="center"/>
          </w:tcPr>
          <w:p>
            <w:pPr>
              <w:jc w:val="right"/>
              <w:rPr>
                <w:rFonts w:ascii="宋体" w:cs="宋体"/>
                <w:color w:val="000000"/>
                <w:sz w:val="16"/>
                <w:szCs w:val="16"/>
              </w:rPr>
            </w:pPr>
          </w:p>
        </w:tc>
        <w:tc>
          <w:tcPr>
            <w:tcW w:w="999" w:type="dxa"/>
            <w:gridSpan w:val="2"/>
            <w:vAlign w:val="center"/>
          </w:tcPr>
          <w:p>
            <w:pPr>
              <w:jc w:val="right"/>
              <w:rPr>
                <w:rFonts w:ascii="宋体" w:cs="宋体"/>
                <w:color w:val="000000"/>
                <w:sz w:val="16"/>
                <w:szCs w:val="16"/>
              </w:rPr>
            </w:pPr>
          </w:p>
        </w:tc>
        <w:tc>
          <w:tcPr>
            <w:tcW w:w="2420"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85" w:hRule="atLeast"/>
        </w:trPr>
        <w:tc>
          <w:tcPr>
            <w:tcW w:w="2468" w:type="dxa"/>
            <w:gridSpan w:val="2"/>
            <w:vAlign w:val="center"/>
          </w:tcPr>
          <w:p>
            <w:pPr>
              <w:rPr>
                <w:rFonts w:ascii="宋体" w:cs="宋体"/>
                <w:color w:val="000000"/>
                <w:sz w:val="16"/>
                <w:szCs w:val="16"/>
              </w:rPr>
            </w:pPr>
          </w:p>
        </w:tc>
        <w:tc>
          <w:tcPr>
            <w:tcW w:w="315" w:type="dxa"/>
            <w:gridSpan w:val="2"/>
            <w:vAlign w:val="center"/>
          </w:tcPr>
          <w:p>
            <w:pPr>
              <w:rPr>
                <w:rFonts w:ascii="宋体" w:cs="宋体"/>
                <w:color w:val="000000"/>
                <w:sz w:val="16"/>
                <w:szCs w:val="16"/>
              </w:rPr>
            </w:pPr>
          </w:p>
        </w:tc>
        <w:tc>
          <w:tcPr>
            <w:tcW w:w="1102" w:type="dxa"/>
            <w:vAlign w:val="center"/>
          </w:tcPr>
          <w:p>
            <w:pPr>
              <w:rPr>
                <w:rFonts w:ascii="宋体" w:cs="宋体"/>
                <w:color w:val="000000"/>
                <w:sz w:val="16"/>
                <w:szCs w:val="16"/>
              </w:rPr>
            </w:pPr>
          </w:p>
        </w:tc>
        <w:tc>
          <w:tcPr>
            <w:tcW w:w="1746" w:type="dxa"/>
            <w:vAlign w:val="center"/>
          </w:tcPr>
          <w:p>
            <w:pPr>
              <w:rPr>
                <w:rFonts w:ascii="宋体" w:cs="宋体"/>
                <w:color w:val="000000"/>
                <w:sz w:val="16"/>
                <w:szCs w:val="16"/>
              </w:rPr>
            </w:pPr>
          </w:p>
        </w:tc>
        <w:tc>
          <w:tcPr>
            <w:tcW w:w="316" w:type="dxa"/>
            <w:vAlign w:val="center"/>
          </w:tcPr>
          <w:p>
            <w:pPr>
              <w:rPr>
                <w:rFonts w:ascii="宋体" w:cs="宋体"/>
                <w:color w:val="000000"/>
                <w:sz w:val="16"/>
                <w:szCs w:val="16"/>
              </w:rPr>
            </w:pPr>
          </w:p>
        </w:tc>
        <w:tc>
          <w:tcPr>
            <w:tcW w:w="999" w:type="dxa"/>
            <w:gridSpan w:val="3"/>
            <w:vAlign w:val="center"/>
          </w:tcPr>
          <w:p>
            <w:pPr>
              <w:jc w:val="right"/>
              <w:rPr>
                <w:rFonts w:ascii="宋体" w:cs="宋体"/>
                <w:color w:val="000000"/>
                <w:sz w:val="16"/>
                <w:szCs w:val="16"/>
              </w:rPr>
            </w:pPr>
          </w:p>
        </w:tc>
        <w:tc>
          <w:tcPr>
            <w:tcW w:w="999" w:type="dxa"/>
            <w:gridSpan w:val="2"/>
            <w:vAlign w:val="center"/>
          </w:tcPr>
          <w:p>
            <w:pPr>
              <w:jc w:val="right"/>
              <w:rPr>
                <w:rFonts w:ascii="宋体" w:cs="宋体"/>
                <w:color w:val="000000"/>
                <w:sz w:val="16"/>
                <w:szCs w:val="16"/>
              </w:rPr>
            </w:pPr>
          </w:p>
        </w:tc>
        <w:tc>
          <w:tcPr>
            <w:tcW w:w="2420"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885"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6480" w:type="dxa"/>
            <w:gridSpan w:val="9"/>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trHeight w:val="480"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一般公共预算财政拨款</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政府性基金预算财政拨款</w:t>
            </w: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w:t>
            </w:r>
            <w:r>
              <w:rPr>
                <w:rFonts w:ascii="宋体" w:hAnsi="宋体" w:cs="宋体"/>
                <w:b/>
                <w:color w:val="000000"/>
                <w:kern w:val="0"/>
                <w:sz w:val="16"/>
                <w:szCs w:val="16"/>
              </w:rPr>
              <w:t xml:space="preserve">    </w:t>
            </w:r>
            <w:r>
              <w:rPr>
                <w:rFonts w:hint="eastAsia" w:ascii="宋体" w:hAnsi="宋体" w:cs="宋体"/>
                <w:b/>
                <w:color w:val="000000"/>
                <w:kern w:val="0"/>
                <w:sz w:val="16"/>
                <w:szCs w:val="16"/>
              </w:rPr>
              <w:t>次</w:t>
            </w:r>
          </w:p>
        </w:tc>
        <w:tc>
          <w:tcPr>
            <w:tcW w:w="32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219.84</w:t>
            </w: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一、一般公共服务支出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二、政府性基金预算财政拨款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二、外交支出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三、国防支出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四、公共安全支出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五、教育支出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六、科学技术支出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七、文化体育与传媒支出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八、社会保障和就业支出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九、医疗卫生与计划生育支出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十、节能环保支出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十一、城乡社区支出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十二、农林水支出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十三、交通运输支出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十四、资源勘探信息等支出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十五、商业服务业等支出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十六、金融支出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十七、援助其他地区支出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十八、国土海洋气象等支出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十九、住房保障支出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二十、粮油物资储备支出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二十一、其他支出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二十二、债务还本支出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52</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二十三、债务付息支出</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25</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55</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年初财政拨款结转和结余</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年末财政拨款结转和结余</w:t>
            </w: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56</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一般公共预算财政拨款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219.84</w:t>
            </w: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57</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政府性基金预算财政拨款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28</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58</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59</w:t>
            </w: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400"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30</w:t>
            </w:r>
          </w:p>
        </w:tc>
        <w:tc>
          <w:tcPr>
            <w:tcW w:w="129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p>
        </w:tc>
        <w:tc>
          <w:tcPr>
            <w:tcW w:w="2265" w:type="dxa"/>
            <w:gridSpan w:val="3"/>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32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60</w:t>
            </w:r>
          </w:p>
        </w:tc>
        <w:tc>
          <w:tcPr>
            <w:tcW w:w="129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p>
        </w:tc>
        <w:tc>
          <w:tcPr>
            <w:tcW w:w="129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p>
        </w:tc>
        <w:tc>
          <w:tcPr>
            <w:tcW w:w="130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495" w:hRule="atLeast"/>
        </w:trPr>
        <w:tc>
          <w:tcPr>
            <w:tcW w:w="10365" w:type="dxa"/>
            <w:gridSpan w:val="14"/>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注：本表反映部门本年度一般公共预算财政拨款和政府性基金预算财政拨款的总收入和年末结转结余情况。</w:t>
            </w:r>
            <w:r>
              <w:rPr>
                <w:rFonts w:ascii="宋体" w:hAnsi="宋体" w:cs="宋体"/>
                <w:color w:val="000000"/>
                <w:kern w:val="0"/>
                <w:sz w:val="16"/>
                <w:szCs w:val="16"/>
              </w:rPr>
              <w:t xml:space="preserve">             </w:t>
            </w:r>
          </w:p>
        </w:tc>
      </w:tr>
    </w:tbl>
    <w:p>
      <w:pPr>
        <w:spacing w:line="360" w:lineRule="auto"/>
        <w:jc w:val="center"/>
        <w:rPr>
          <w:rFonts w:ascii="隶书" w:hAnsi="隶书" w:eastAsia="隶书" w:cs="隶书"/>
          <w:sz w:val="52"/>
          <w:szCs w:val="52"/>
        </w:rPr>
      </w:pPr>
      <w:r>
        <w:rPr>
          <w:rFonts w:ascii="隶书" w:hAnsi="隶书" w:eastAsia="隶书" w:cs="隶书"/>
          <w:sz w:val="52"/>
          <w:szCs w:val="52"/>
        </w:rPr>
        <w:br w:type="page"/>
      </w:r>
    </w:p>
    <w:tbl>
      <w:tblPr>
        <w:tblStyle w:val="6"/>
        <w:tblW w:w="10335" w:type="dxa"/>
        <w:tblInd w:w="-1066" w:type="dxa"/>
        <w:tblLayout w:type="fixed"/>
        <w:tblCellMar>
          <w:top w:w="15" w:type="dxa"/>
          <w:left w:w="15" w:type="dxa"/>
          <w:bottom w:w="15" w:type="dxa"/>
          <w:right w:w="15" w:type="dxa"/>
        </w:tblCellMar>
      </w:tblPr>
      <w:tblGrid>
        <w:gridCol w:w="1380"/>
        <w:gridCol w:w="675"/>
        <w:gridCol w:w="1800"/>
        <w:gridCol w:w="2160"/>
        <w:gridCol w:w="165"/>
        <w:gridCol w:w="1575"/>
        <w:gridCol w:w="420"/>
        <w:gridCol w:w="2160"/>
      </w:tblGrid>
      <w:tr>
        <w:tblPrEx>
          <w:tblLayout w:type="fixed"/>
          <w:tblCellMar>
            <w:top w:w="15" w:type="dxa"/>
            <w:left w:w="15" w:type="dxa"/>
            <w:bottom w:w="15" w:type="dxa"/>
            <w:right w:w="15" w:type="dxa"/>
          </w:tblCellMar>
        </w:tblPrEx>
        <w:trPr>
          <w:trHeight w:val="375" w:hRule="atLeast"/>
        </w:trPr>
        <w:tc>
          <w:tcPr>
            <w:tcW w:w="10335" w:type="dxa"/>
            <w:gridSpan w:val="8"/>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一般公共预算财政拨款支出决算表</w:t>
            </w:r>
          </w:p>
        </w:tc>
      </w:tr>
      <w:tr>
        <w:tblPrEx>
          <w:tblLayout w:type="fixed"/>
          <w:tblCellMar>
            <w:top w:w="15" w:type="dxa"/>
            <w:left w:w="15" w:type="dxa"/>
            <w:bottom w:w="15" w:type="dxa"/>
            <w:right w:w="15" w:type="dxa"/>
          </w:tblCellMar>
        </w:tblPrEx>
        <w:trPr>
          <w:trHeight w:val="285" w:hRule="atLeast"/>
        </w:trPr>
        <w:tc>
          <w:tcPr>
            <w:tcW w:w="2055" w:type="dxa"/>
            <w:gridSpan w:val="2"/>
            <w:vAlign w:val="center"/>
          </w:tcPr>
          <w:p>
            <w:pPr>
              <w:rPr>
                <w:rFonts w:ascii="宋体" w:cs="宋体"/>
                <w:color w:val="000000"/>
                <w:sz w:val="16"/>
                <w:szCs w:val="16"/>
              </w:rPr>
            </w:pPr>
          </w:p>
        </w:tc>
        <w:tc>
          <w:tcPr>
            <w:tcW w:w="1800" w:type="dxa"/>
            <w:vAlign w:val="center"/>
          </w:tcPr>
          <w:p>
            <w:pPr>
              <w:rPr>
                <w:rFonts w:ascii="宋体" w:cs="宋体"/>
                <w:color w:val="000000"/>
                <w:sz w:val="16"/>
                <w:szCs w:val="16"/>
              </w:rPr>
            </w:pPr>
          </w:p>
        </w:tc>
        <w:tc>
          <w:tcPr>
            <w:tcW w:w="2325" w:type="dxa"/>
            <w:gridSpan w:val="2"/>
            <w:vAlign w:val="center"/>
          </w:tcPr>
          <w:p>
            <w:pPr>
              <w:rPr>
                <w:rFonts w:ascii="宋体" w:cs="宋体"/>
                <w:color w:val="000000"/>
                <w:sz w:val="16"/>
                <w:szCs w:val="16"/>
              </w:rPr>
            </w:pPr>
          </w:p>
        </w:tc>
        <w:tc>
          <w:tcPr>
            <w:tcW w:w="1575" w:type="dxa"/>
            <w:vAlign w:val="center"/>
          </w:tcPr>
          <w:p>
            <w:pPr>
              <w:rPr>
                <w:rFonts w:ascii="宋体" w:cs="宋体"/>
                <w:color w:val="000000"/>
                <w:sz w:val="16"/>
                <w:szCs w:val="16"/>
              </w:rPr>
            </w:pPr>
          </w:p>
        </w:tc>
        <w:tc>
          <w:tcPr>
            <w:tcW w:w="2580"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2055" w:type="dxa"/>
            <w:gridSpan w:val="2"/>
            <w:vAlign w:val="center"/>
          </w:tcPr>
          <w:p>
            <w:pPr>
              <w:rPr>
                <w:rFonts w:ascii="宋体" w:cs="宋体"/>
                <w:color w:val="000000"/>
                <w:sz w:val="16"/>
                <w:szCs w:val="16"/>
              </w:rPr>
            </w:pPr>
          </w:p>
        </w:tc>
        <w:tc>
          <w:tcPr>
            <w:tcW w:w="1800" w:type="dxa"/>
            <w:vAlign w:val="center"/>
          </w:tcPr>
          <w:p>
            <w:pPr>
              <w:rPr>
                <w:rFonts w:ascii="宋体" w:cs="宋体"/>
                <w:color w:val="000000"/>
                <w:sz w:val="16"/>
                <w:szCs w:val="16"/>
              </w:rPr>
            </w:pPr>
          </w:p>
        </w:tc>
        <w:tc>
          <w:tcPr>
            <w:tcW w:w="2325" w:type="dxa"/>
            <w:gridSpan w:val="2"/>
            <w:vAlign w:val="center"/>
          </w:tcPr>
          <w:p>
            <w:pPr>
              <w:rPr>
                <w:rFonts w:ascii="宋体" w:cs="宋体"/>
                <w:color w:val="000000"/>
                <w:sz w:val="16"/>
                <w:szCs w:val="16"/>
              </w:rPr>
            </w:pPr>
          </w:p>
        </w:tc>
        <w:tc>
          <w:tcPr>
            <w:tcW w:w="1575" w:type="dxa"/>
            <w:vAlign w:val="center"/>
          </w:tcPr>
          <w:p>
            <w:pPr>
              <w:rPr>
                <w:rFonts w:ascii="宋体" w:cs="宋体"/>
                <w:color w:val="000000"/>
                <w:sz w:val="16"/>
                <w:szCs w:val="16"/>
              </w:rPr>
            </w:pPr>
          </w:p>
        </w:tc>
        <w:tc>
          <w:tcPr>
            <w:tcW w:w="2580"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855"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w:t>
            </w:r>
          </w:p>
        </w:tc>
        <w:tc>
          <w:tcPr>
            <w:tcW w:w="2160"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2160"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216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r>
      <w:tr>
        <w:tblPrEx>
          <w:tblLayout w:type="fixed"/>
          <w:tblCellMar>
            <w:top w:w="15" w:type="dxa"/>
            <w:left w:w="15" w:type="dxa"/>
            <w:bottom w:w="15" w:type="dxa"/>
            <w:right w:w="15" w:type="dxa"/>
          </w:tblCellMar>
        </w:tblPrEx>
        <w:trPr>
          <w:trHeight w:val="6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2160"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160"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16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3855"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r>
      <w:tr>
        <w:tblPrEx>
          <w:tblLayout w:type="fixed"/>
          <w:tblCellMar>
            <w:top w:w="15" w:type="dxa"/>
            <w:left w:w="15" w:type="dxa"/>
            <w:bottom w:w="15" w:type="dxa"/>
            <w:right w:w="15" w:type="dxa"/>
          </w:tblCellMar>
        </w:tblPrEx>
        <w:trPr>
          <w:trHeight w:val="300" w:hRule="atLeast"/>
        </w:trPr>
        <w:tc>
          <w:tcPr>
            <w:tcW w:w="3855"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219.84</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203.82</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203.82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20199</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其他一般公共服务支出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2019999</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其他一般公共服务支出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203.82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社会保障和就业支出</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16.02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财政对社会保险基金的补助</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10.60</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10.60</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财政对基本养老保险基金的补助</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财政对基本医疗保险基金的补助</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2080304</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财政对工伤保险基金的补助</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0.08</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0.08</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行政事业单位离退休</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5.42</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5.42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2080504</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违规扣管理的行政事业单位离退休</w:t>
            </w: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5.42</w:t>
            </w: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5.42</w:t>
            </w: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138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216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600" w:hRule="atLeast"/>
        </w:trPr>
        <w:tc>
          <w:tcPr>
            <w:tcW w:w="10335" w:type="dxa"/>
            <w:gridSpan w:val="8"/>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65" w:type="dxa"/>
        <w:tblInd w:w="-1081" w:type="dxa"/>
        <w:tblLayout w:type="fixed"/>
        <w:tblCellMar>
          <w:top w:w="15" w:type="dxa"/>
          <w:left w:w="15" w:type="dxa"/>
          <w:bottom w:w="15" w:type="dxa"/>
          <w:right w:w="15" w:type="dxa"/>
        </w:tblCellMar>
      </w:tblPr>
      <w:tblGrid>
        <w:gridCol w:w="900"/>
        <w:gridCol w:w="935"/>
        <w:gridCol w:w="1794"/>
        <w:gridCol w:w="1620"/>
        <w:gridCol w:w="754"/>
        <w:gridCol w:w="117"/>
        <w:gridCol w:w="1677"/>
        <w:gridCol w:w="993"/>
        <w:gridCol w:w="1575"/>
      </w:tblGrid>
      <w:tr>
        <w:tblPrEx>
          <w:tblLayout w:type="fixed"/>
          <w:tblCellMar>
            <w:top w:w="15" w:type="dxa"/>
            <w:left w:w="15" w:type="dxa"/>
            <w:bottom w:w="15" w:type="dxa"/>
            <w:right w:w="15" w:type="dxa"/>
          </w:tblCellMar>
        </w:tblPrEx>
        <w:trPr>
          <w:trHeight w:val="375" w:hRule="atLeast"/>
        </w:trPr>
        <w:tc>
          <w:tcPr>
            <w:tcW w:w="10365" w:type="dxa"/>
            <w:gridSpan w:val="9"/>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一般公共预算财政拨款基本支出决算表</w:t>
            </w:r>
          </w:p>
        </w:tc>
      </w:tr>
      <w:tr>
        <w:tblPrEx>
          <w:tblLayout w:type="fixed"/>
          <w:tblCellMar>
            <w:top w:w="15" w:type="dxa"/>
            <w:left w:w="15" w:type="dxa"/>
            <w:bottom w:w="15" w:type="dxa"/>
            <w:right w:w="15" w:type="dxa"/>
          </w:tblCellMar>
        </w:tblPrEx>
        <w:trPr>
          <w:trHeight w:val="285" w:hRule="atLeast"/>
        </w:trPr>
        <w:tc>
          <w:tcPr>
            <w:tcW w:w="1835" w:type="dxa"/>
            <w:gridSpan w:val="2"/>
            <w:vAlign w:val="center"/>
          </w:tcPr>
          <w:p>
            <w:pPr>
              <w:rPr>
                <w:rFonts w:ascii="宋体" w:cs="宋体"/>
                <w:color w:val="000000"/>
                <w:sz w:val="16"/>
                <w:szCs w:val="16"/>
              </w:rPr>
            </w:pPr>
          </w:p>
        </w:tc>
        <w:tc>
          <w:tcPr>
            <w:tcW w:w="1794" w:type="dxa"/>
            <w:vAlign w:val="center"/>
          </w:tcPr>
          <w:p>
            <w:pPr>
              <w:rPr>
                <w:rFonts w:ascii="宋体" w:cs="宋体"/>
                <w:color w:val="000000"/>
                <w:sz w:val="16"/>
                <w:szCs w:val="16"/>
              </w:rPr>
            </w:pPr>
          </w:p>
        </w:tc>
        <w:tc>
          <w:tcPr>
            <w:tcW w:w="1620" w:type="dxa"/>
            <w:vAlign w:val="center"/>
          </w:tcPr>
          <w:p>
            <w:pPr>
              <w:rPr>
                <w:rFonts w:ascii="宋体" w:cs="宋体"/>
                <w:color w:val="000000"/>
                <w:sz w:val="16"/>
                <w:szCs w:val="16"/>
              </w:rPr>
            </w:pPr>
          </w:p>
        </w:tc>
        <w:tc>
          <w:tcPr>
            <w:tcW w:w="754" w:type="dxa"/>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2568"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835" w:type="dxa"/>
            <w:gridSpan w:val="2"/>
            <w:vAlign w:val="center"/>
          </w:tcPr>
          <w:p>
            <w:pPr>
              <w:rPr>
                <w:rFonts w:ascii="宋体" w:cs="宋体"/>
                <w:color w:val="000000"/>
                <w:sz w:val="16"/>
                <w:szCs w:val="16"/>
              </w:rPr>
            </w:pPr>
          </w:p>
        </w:tc>
        <w:tc>
          <w:tcPr>
            <w:tcW w:w="1794" w:type="dxa"/>
            <w:vAlign w:val="center"/>
          </w:tcPr>
          <w:p>
            <w:pPr>
              <w:rPr>
                <w:rFonts w:ascii="宋体" w:cs="宋体"/>
                <w:color w:val="000000"/>
                <w:sz w:val="16"/>
                <w:szCs w:val="16"/>
              </w:rPr>
            </w:pPr>
          </w:p>
        </w:tc>
        <w:tc>
          <w:tcPr>
            <w:tcW w:w="1620" w:type="dxa"/>
            <w:vAlign w:val="center"/>
          </w:tcPr>
          <w:p>
            <w:pPr>
              <w:rPr>
                <w:rFonts w:ascii="宋体" w:cs="宋体"/>
                <w:color w:val="000000"/>
                <w:sz w:val="16"/>
                <w:szCs w:val="16"/>
              </w:rPr>
            </w:pPr>
          </w:p>
        </w:tc>
        <w:tc>
          <w:tcPr>
            <w:tcW w:w="754" w:type="dxa"/>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2568"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249"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人员经费</w:t>
            </w:r>
          </w:p>
        </w:tc>
        <w:tc>
          <w:tcPr>
            <w:tcW w:w="5116"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公用经费</w:t>
            </w:r>
          </w:p>
        </w:tc>
      </w:tr>
      <w:tr>
        <w:tblPrEx>
          <w:tblLayout w:type="fixed"/>
          <w:tblCellMar>
            <w:top w:w="15" w:type="dxa"/>
            <w:left w:w="15" w:type="dxa"/>
            <w:bottom w:w="15" w:type="dxa"/>
            <w:right w:w="15" w:type="dxa"/>
          </w:tblCellMar>
        </w:tblPrEx>
        <w:trPr>
          <w:trHeight w:val="6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经济分类</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经济分类</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140.09</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50.43</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72.13</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16.37</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39.23</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印刷费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咨询费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手续费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水费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3.77</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邮电费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0.43</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取暖费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24.96</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物业管理费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12.25</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差旅费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8.56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因公出国</w:t>
            </w:r>
            <w:r>
              <w:rPr>
                <w:rFonts w:ascii="宋体" w:hAnsi="宋体" w:cs="宋体"/>
                <w:color w:val="000000"/>
                <w:kern w:val="0"/>
                <w:sz w:val="16"/>
                <w:szCs w:val="16"/>
              </w:rPr>
              <w:t>(</w:t>
            </w:r>
            <w:r>
              <w:rPr>
                <w:rFonts w:hint="eastAsia" w:ascii="宋体" w:hAnsi="宋体" w:cs="宋体"/>
                <w:color w:val="000000"/>
                <w:kern w:val="0"/>
                <w:sz w:val="16"/>
                <w:szCs w:val="16"/>
              </w:rPr>
              <w:t>境</w:t>
            </w:r>
            <w:r>
              <w:rPr>
                <w:rFonts w:ascii="宋体" w:hAnsi="宋体" w:cs="宋体"/>
                <w:color w:val="000000"/>
                <w:kern w:val="0"/>
                <w:sz w:val="16"/>
                <w:szCs w:val="16"/>
              </w:rPr>
              <w:t>)</w:t>
            </w:r>
            <w:r>
              <w:rPr>
                <w:rFonts w:hint="eastAsia" w:ascii="宋体" w:hAnsi="宋体" w:cs="宋体"/>
                <w:color w:val="000000"/>
                <w:kern w:val="0"/>
                <w:sz w:val="16"/>
                <w:szCs w:val="16"/>
              </w:rPr>
              <w:t>费用</w:t>
            </w:r>
            <w:r>
              <w:rPr>
                <w:rFonts w:ascii="宋体" w:hAnsi="宋体" w:cs="宋体"/>
                <w:color w:val="000000"/>
                <w:kern w:val="0"/>
                <w:sz w:val="16"/>
                <w:szCs w:val="16"/>
              </w:rPr>
              <w:t xml:space="preserve"> </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5.42</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维修</w:t>
            </w:r>
            <w:r>
              <w:rPr>
                <w:rFonts w:ascii="宋体" w:hAnsi="宋体" w:cs="宋体"/>
                <w:color w:val="000000"/>
                <w:kern w:val="0"/>
                <w:sz w:val="16"/>
                <w:szCs w:val="16"/>
              </w:rPr>
              <w:t>(</w:t>
            </w:r>
            <w:r>
              <w:rPr>
                <w:rFonts w:hint="eastAsia" w:ascii="宋体" w:hAnsi="宋体" w:cs="宋体"/>
                <w:color w:val="000000"/>
                <w:kern w:val="0"/>
                <w:sz w:val="16"/>
                <w:szCs w:val="16"/>
              </w:rPr>
              <w:t>护</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退职</w:t>
            </w:r>
            <w:r>
              <w:rPr>
                <w:rFonts w:ascii="宋体" w:hAnsi="宋体" w:cs="宋体"/>
                <w:color w:val="000000"/>
                <w:kern w:val="0"/>
                <w:sz w:val="16"/>
                <w:szCs w:val="16"/>
              </w:rPr>
              <w:t>(</w:t>
            </w:r>
            <w:r>
              <w:rPr>
                <w:rFonts w:hint="eastAsia" w:ascii="宋体" w:hAnsi="宋体" w:cs="宋体"/>
                <w:color w:val="000000"/>
                <w:kern w:val="0"/>
                <w:sz w:val="16"/>
                <w:szCs w:val="16"/>
              </w:rPr>
              <w:t>役</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租赁费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会议费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培训费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公务接待费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9.77</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6.75</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专用材料费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8.08</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0.08</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7.22</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b/>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b/>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b/>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其他资本性支出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17.06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房屋建筑物购建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17.06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基础设施建设</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大型修缮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信息网络及软件购置更新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物资储备</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土地补偿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安置补助</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地上附着物和青苗补偿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拆迁补偿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其他交通工具购置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31020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产权参股</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12"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31099</w:t>
            </w:r>
          </w:p>
        </w:tc>
        <w:tc>
          <w:tcPr>
            <w:tcW w:w="26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其他资本性支出</w:t>
            </w:r>
          </w:p>
        </w:tc>
        <w:tc>
          <w:tcPr>
            <w:tcW w:w="157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477" w:hRule="atLeast"/>
        </w:trPr>
        <w:tc>
          <w:tcPr>
            <w:tcW w:w="10365" w:type="dxa"/>
            <w:gridSpan w:val="9"/>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注：本表反映部门本年度一般公共预算财政拨款基本支出明细情况。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50" w:type="dxa"/>
        <w:tblInd w:w="-1081" w:type="dxa"/>
        <w:tblLayout w:type="fixed"/>
        <w:tblCellMar>
          <w:top w:w="15" w:type="dxa"/>
          <w:left w:w="15" w:type="dxa"/>
          <w:bottom w:w="15" w:type="dxa"/>
          <w:right w:w="15" w:type="dxa"/>
        </w:tblCellMar>
      </w:tblPr>
      <w:tblGrid>
        <w:gridCol w:w="840"/>
        <w:gridCol w:w="870"/>
        <w:gridCol w:w="69"/>
        <w:gridCol w:w="693"/>
        <w:gridCol w:w="93"/>
        <w:gridCol w:w="600"/>
        <w:gridCol w:w="270"/>
        <w:gridCol w:w="423"/>
        <w:gridCol w:w="447"/>
        <w:gridCol w:w="246"/>
        <w:gridCol w:w="624"/>
        <w:gridCol w:w="767"/>
        <w:gridCol w:w="118"/>
        <w:gridCol w:w="575"/>
        <w:gridCol w:w="280"/>
        <w:gridCol w:w="413"/>
        <w:gridCol w:w="457"/>
        <w:gridCol w:w="236"/>
        <w:gridCol w:w="619"/>
        <w:gridCol w:w="74"/>
        <w:gridCol w:w="766"/>
        <w:gridCol w:w="870"/>
      </w:tblGrid>
      <w:tr>
        <w:tblPrEx>
          <w:tblLayout w:type="fixed"/>
          <w:tblCellMar>
            <w:top w:w="15" w:type="dxa"/>
            <w:left w:w="15" w:type="dxa"/>
            <w:bottom w:w="15" w:type="dxa"/>
            <w:right w:w="15" w:type="dxa"/>
          </w:tblCellMar>
        </w:tblPrEx>
        <w:trPr>
          <w:trHeight w:val="375" w:hRule="atLeast"/>
        </w:trPr>
        <w:tc>
          <w:tcPr>
            <w:tcW w:w="10350" w:type="dxa"/>
            <w:gridSpan w:val="22"/>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一般公共预算财政拨款“三公”经费支出决算表</w:t>
            </w:r>
          </w:p>
        </w:tc>
      </w:tr>
      <w:tr>
        <w:tblPrEx>
          <w:tblLayout w:type="fixed"/>
          <w:tblCellMar>
            <w:top w:w="15" w:type="dxa"/>
            <w:left w:w="15" w:type="dxa"/>
            <w:bottom w:w="15" w:type="dxa"/>
            <w:right w:w="15" w:type="dxa"/>
          </w:tblCellMar>
        </w:tblPrEx>
        <w:trPr>
          <w:trHeight w:val="285" w:hRule="atLeast"/>
        </w:trPr>
        <w:tc>
          <w:tcPr>
            <w:tcW w:w="1779" w:type="dxa"/>
            <w:gridSpan w:val="3"/>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24" w:type="dxa"/>
            <w:vAlign w:val="center"/>
          </w:tcPr>
          <w:p>
            <w:pPr>
              <w:rPr>
                <w:rFonts w:ascii="宋体" w:cs="宋体"/>
                <w:color w:val="000000"/>
                <w:sz w:val="16"/>
                <w:szCs w:val="16"/>
              </w:rPr>
            </w:pPr>
          </w:p>
        </w:tc>
        <w:tc>
          <w:tcPr>
            <w:tcW w:w="767"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1636"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07</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779" w:type="dxa"/>
            <w:gridSpan w:val="3"/>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24" w:type="dxa"/>
            <w:vAlign w:val="center"/>
          </w:tcPr>
          <w:p>
            <w:pPr>
              <w:rPr>
                <w:rFonts w:ascii="宋体" w:cs="宋体"/>
                <w:color w:val="000000"/>
                <w:sz w:val="16"/>
                <w:szCs w:val="16"/>
              </w:rPr>
            </w:pPr>
          </w:p>
        </w:tc>
        <w:tc>
          <w:tcPr>
            <w:tcW w:w="767"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1636"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175"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年度决算数</w:t>
            </w:r>
          </w:p>
        </w:tc>
      </w:tr>
      <w:tr>
        <w:tblPrEx>
          <w:tblLayout w:type="fixed"/>
          <w:tblCellMar>
            <w:top w:w="15" w:type="dxa"/>
            <w:left w:w="15" w:type="dxa"/>
            <w:bottom w:w="15" w:type="dxa"/>
            <w:right w:w="15" w:type="dxa"/>
          </w:tblCellMar>
        </w:tblPrEx>
        <w:trPr>
          <w:trHeight w:val="600" w:hRule="atLeast"/>
        </w:trPr>
        <w:tc>
          <w:tcPr>
            <w:tcW w:w="840"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因公出国（境）费</w:t>
            </w:r>
          </w:p>
        </w:tc>
        <w:tc>
          <w:tcPr>
            <w:tcW w:w="3465"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c>
          <w:tcPr>
            <w:tcW w:w="88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85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因公出国（境）费</w:t>
            </w:r>
          </w:p>
        </w:tc>
        <w:tc>
          <w:tcPr>
            <w:tcW w:w="3435" w:type="dxa"/>
            <w:gridSpan w:val="7"/>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r>
      <w:tr>
        <w:tblPrEx>
          <w:tblLayout w:type="fixed"/>
          <w:tblCellMar>
            <w:top w:w="15" w:type="dxa"/>
            <w:left w:w="15" w:type="dxa"/>
            <w:bottom w:w="15" w:type="dxa"/>
            <w:right w:w="15" w:type="dxa"/>
          </w:tblCellMar>
        </w:tblPrEx>
        <w:trPr>
          <w:trHeight w:val="600" w:hRule="atLeast"/>
        </w:trPr>
        <w:tc>
          <w:tcPr>
            <w:tcW w:w="84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b/>
                <w:color w:val="000000"/>
                <w:sz w:val="16"/>
                <w:szCs w:val="16"/>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公务接待费</w:t>
            </w:r>
          </w:p>
        </w:tc>
        <w:tc>
          <w:tcPr>
            <w:tcW w:w="8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5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公务接待费</w:t>
            </w:r>
          </w:p>
        </w:tc>
      </w:tr>
      <w:tr>
        <w:tblPrEx>
          <w:tblLayout w:type="fixed"/>
          <w:tblCellMar>
            <w:top w:w="15" w:type="dxa"/>
            <w:left w:w="15" w:type="dxa"/>
            <w:bottom w:w="15" w:type="dxa"/>
            <w:right w:w="15" w:type="dxa"/>
          </w:tblCellMar>
        </w:tblPrEx>
        <w:trPr>
          <w:trHeight w:val="300" w:hRule="atLeast"/>
        </w:trPr>
        <w:tc>
          <w:tcPr>
            <w:tcW w:w="84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8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r>
      <w:tr>
        <w:tblPrEx>
          <w:tblLayout w:type="fixed"/>
          <w:tblCellMar>
            <w:top w:w="15" w:type="dxa"/>
            <w:left w:w="15" w:type="dxa"/>
            <w:bottom w:w="15" w:type="dxa"/>
            <w:right w:w="15" w:type="dxa"/>
          </w:tblCellMar>
        </w:tblPrEx>
        <w:trPr>
          <w:trHeight w:val="600" w:hRule="atLeast"/>
        </w:trPr>
        <w:tc>
          <w:tcPr>
            <w:tcW w:w="840" w:type="dxa"/>
            <w:tcBorders>
              <w:top w:val="single" w:color="000000" w:sz="4" w:space="0"/>
              <w:left w:val="single" w:color="000000" w:sz="12"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1.2</w:t>
            </w:r>
          </w:p>
        </w:tc>
        <w:tc>
          <w:tcPr>
            <w:tcW w:w="87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5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1.2</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1.2</w:t>
            </w:r>
          </w:p>
        </w:tc>
        <w:tc>
          <w:tcPr>
            <w:tcW w:w="88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hAnsi="宋体" w:cs="宋体"/>
                <w:b/>
                <w:color w:val="000000"/>
                <w:sz w:val="16"/>
                <w:szCs w:val="16"/>
                <w:lang w:val="en-US" w:eastAsia="zh-CN"/>
              </w:rPr>
              <w:t>17.85</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17.85</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4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8.08</w:t>
            </w:r>
          </w:p>
        </w:tc>
        <w:tc>
          <w:tcPr>
            <w:tcW w:w="87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hAnsi="宋体" w:cs="宋体"/>
                <w:color w:val="000000"/>
                <w:sz w:val="16"/>
                <w:szCs w:val="16"/>
                <w:lang w:val="en-US" w:eastAsia="zh-CN"/>
              </w:rPr>
              <w:t>9.77</w:t>
            </w:r>
          </w:p>
        </w:tc>
      </w:tr>
      <w:tr>
        <w:tblPrEx>
          <w:tblLayout w:type="fixed"/>
          <w:tblCellMar>
            <w:top w:w="15" w:type="dxa"/>
            <w:left w:w="15" w:type="dxa"/>
            <w:bottom w:w="15" w:type="dxa"/>
            <w:right w:w="15" w:type="dxa"/>
          </w:tblCellMar>
        </w:tblPrEx>
        <w:trPr>
          <w:trHeight w:val="600" w:hRule="atLeast"/>
        </w:trPr>
        <w:tc>
          <w:tcPr>
            <w:tcW w:w="10350" w:type="dxa"/>
            <w:gridSpan w:val="22"/>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注：本表反映部门本年度“三公”经费支出预决算情况。其中，</w:t>
            </w:r>
            <w:r>
              <w:rPr>
                <w:rFonts w:ascii="宋体" w:hAnsi="宋体" w:cs="宋体"/>
                <w:color w:val="000000"/>
                <w:kern w:val="0"/>
                <w:sz w:val="16"/>
                <w:szCs w:val="16"/>
              </w:rPr>
              <w:t>2016</w:t>
            </w:r>
            <w:r>
              <w:rPr>
                <w:rFonts w:hint="eastAsia" w:ascii="宋体" w:hAnsi="宋体" w:cs="宋体"/>
                <w:color w:val="000000"/>
                <w:kern w:val="0"/>
                <w:sz w:val="16"/>
                <w:szCs w:val="16"/>
              </w:rPr>
              <w:t>年度预算数为“三公”经费年初预算数，决算数是包括当年一般公共预算财政拨款和以前年度结转资金安排的实际支出。</w:t>
            </w:r>
          </w:p>
        </w:tc>
      </w:tr>
    </w:tbl>
    <w:p>
      <w:pPr>
        <w:spacing w:line="360" w:lineRule="auto"/>
        <w:rPr>
          <w:rFonts w:ascii="仿宋" w:hAnsi="仿宋" w:eastAsia="仿宋" w:cs="仿宋"/>
          <w:szCs w:val="21"/>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szCs w:val="21"/>
        </w:rPr>
        <w:t>备注：公车改革后局机关没有公务用车，公车运行维护费的产生是局下属二级机构用车。</w:t>
      </w:r>
    </w:p>
    <w:tbl>
      <w:tblPr>
        <w:tblStyle w:val="6"/>
        <w:tblW w:w="10335" w:type="dxa"/>
        <w:tblInd w:w="-1074" w:type="dxa"/>
        <w:tblLayout w:type="fixed"/>
        <w:tblCellMar>
          <w:top w:w="15" w:type="dxa"/>
          <w:left w:w="15" w:type="dxa"/>
          <w:bottom w:w="15" w:type="dxa"/>
          <w:right w:w="15" w:type="dxa"/>
        </w:tblCellMar>
      </w:tblPr>
      <w:tblGrid>
        <w:gridCol w:w="825"/>
        <w:gridCol w:w="938"/>
        <w:gridCol w:w="1436"/>
        <w:gridCol w:w="1166"/>
        <w:gridCol w:w="24"/>
        <w:gridCol w:w="1191"/>
        <w:gridCol w:w="833"/>
        <w:gridCol w:w="347"/>
        <w:gridCol w:w="652"/>
        <w:gridCol w:w="528"/>
        <w:gridCol w:w="1180"/>
        <w:gridCol w:w="1215"/>
      </w:tblGrid>
      <w:tr>
        <w:tblPrEx>
          <w:tblLayout w:type="fixed"/>
          <w:tblCellMar>
            <w:top w:w="15" w:type="dxa"/>
            <w:left w:w="15" w:type="dxa"/>
            <w:bottom w:w="15" w:type="dxa"/>
            <w:right w:w="15" w:type="dxa"/>
          </w:tblCellMar>
        </w:tblPrEx>
        <w:trPr>
          <w:trHeight w:val="375" w:hRule="atLeast"/>
        </w:trPr>
        <w:tc>
          <w:tcPr>
            <w:tcW w:w="10335" w:type="dxa"/>
            <w:gridSpan w:val="12"/>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政府性基金预算财政拨款收入支出决算表</w:t>
            </w:r>
          </w:p>
        </w:tc>
      </w:tr>
      <w:tr>
        <w:tblPrEx>
          <w:tblLayout w:type="fixed"/>
          <w:tblCellMar>
            <w:top w:w="15" w:type="dxa"/>
            <w:left w:w="15" w:type="dxa"/>
            <w:bottom w:w="15" w:type="dxa"/>
            <w:right w:w="15" w:type="dxa"/>
          </w:tblCellMar>
        </w:tblPrEx>
        <w:trPr>
          <w:trHeight w:val="285" w:hRule="atLeast"/>
        </w:trPr>
        <w:tc>
          <w:tcPr>
            <w:tcW w:w="1763" w:type="dxa"/>
            <w:gridSpan w:val="2"/>
            <w:vAlign w:val="center"/>
          </w:tcPr>
          <w:p>
            <w:pPr>
              <w:rPr>
                <w:rFonts w:ascii="宋体" w:cs="宋体"/>
                <w:color w:val="000000"/>
                <w:sz w:val="16"/>
                <w:szCs w:val="16"/>
              </w:rPr>
            </w:pPr>
          </w:p>
        </w:tc>
        <w:tc>
          <w:tcPr>
            <w:tcW w:w="1436" w:type="dxa"/>
            <w:vAlign w:val="center"/>
          </w:tcPr>
          <w:p>
            <w:pPr>
              <w:rPr>
                <w:rFonts w:ascii="宋体" w:cs="宋体"/>
                <w:color w:val="000000"/>
                <w:sz w:val="16"/>
                <w:szCs w:val="16"/>
              </w:rPr>
            </w:pPr>
          </w:p>
        </w:tc>
        <w:tc>
          <w:tcPr>
            <w:tcW w:w="1166" w:type="dxa"/>
            <w:vAlign w:val="center"/>
          </w:tcPr>
          <w:p>
            <w:pPr>
              <w:rPr>
                <w:rFonts w:ascii="宋体" w:cs="宋体"/>
                <w:color w:val="000000"/>
                <w:sz w:val="16"/>
                <w:szCs w:val="16"/>
              </w:rPr>
            </w:pPr>
          </w:p>
        </w:tc>
        <w:tc>
          <w:tcPr>
            <w:tcW w:w="1215" w:type="dxa"/>
            <w:gridSpan w:val="2"/>
            <w:vAlign w:val="center"/>
          </w:tcPr>
          <w:p>
            <w:pPr>
              <w:rPr>
                <w:rFonts w:ascii="宋体" w:cs="宋体"/>
                <w:color w:val="000000"/>
                <w:sz w:val="16"/>
                <w:szCs w:val="16"/>
              </w:rPr>
            </w:pPr>
          </w:p>
        </w:tc>
        <w:tc>
          <w:tcPr>
            <w:tcW w:w="833"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708" w:type="dxa"/>
            <w:gridSpan w:val="2"/>
            <w:vAlign w:val="center"/>
          </w:tcPr>
          <w:p>
            <w:pPr>
              <w:rPr>
                <w:rFonts w:ascii="宋体" w:cs="宋体"/>
                <w:color w:val="000000"/>
                <w:sz w:val="16"/>
                <w:szCs w:val="16"/>
              </w:rPr>
            </w:pPr>
          </w:p>
        </w:tc>
        <w:tc>
          <w:tcPr>
            <w:tcW w:w="1215"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763" w:type="dxa"/>
            <w:gridSpan w:val="2"/>
            <w:vAlign w:val="center"/>
          </w:tcPr>
          <w:p>
            <w:pPr>
              <w:rPr>
                <w:rFonts w:ascii="宋体" w:cs="宋体"/>
                <w:color w:val="000000"/>
                <w:sz w:val="16"/>
                <w:szCs w:val="16"/>
              </w:rPr>
            </w:pPr>
          </w:p>
        </w:tc>
        <w:tc>
          <w:tcPr>
            <w:tcW w:w="1436" w:type="dxa"/>
            <w:vAlign w:val="center"/>
          </w:tcPr>
          <w:p>
            <w:pPr>
              <w:rPr>
                <w:rFonts w:ascii="宋体" w:cs="宋体"/>
                <w:color w:val="000000"/>
                <w:sz w:val="16"/>
                <w:szCs w:val="16"/>
              </w:rPr>
            </w:pPr>
          </w:p>
        </w:tc>
        <w:tc>
          <w:tcPr>
            <w:tcW w:w="1166" w:type="dxa"/>
            <w:vAlign w:val="center"/>
          </w:tcPr>
          <w:p>
            <w:pPr>
              <w:rPr>
                <w:rFonts w:ascii="宋体" w:cs="宋体"/>
                <w:color w:val="000000"/>
                <w:sz w:val="16"/>
                <w:szCs w:val="16"/>
              </w:rPr>
            </w:pPr>
          </w:p>
        </w:tc>
        <w:tc>
          <w:tcPr>
            <w:tcW w:w="1215" w:type="dxa"/>
            <w:gridSpan w:val="2"/>
            <w:vAlign w:val="center"/>
          </w:tcPr>
          <w:p>
            <w:pPr>
              <w:rPr>
                <w:rFonts w:ascii="宋体" w:cs="宋体"/>
                <w:color w:val="000000"/>
                <w:sz w:val="16"/>
                <w:szCs w:val="16"/>
              </w:rPr>
            </w:pPr>
          </w:p>
        </w:tc>
        <w:tc>
          <w:tcPr>
            <w:tcW w:w="833"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708" w:type="dxa"/>
            <w:gridSpan w:val="2"/>
            <w:vAlign w:val="center"/>
          </w:tcPr>
          <w:p>
            <w:pPr>
              <w:rPr>
                <w:rFonts w:ascii="宋体" w:cs="宋体"/>
                <w:color w:val="000000"/>
                <w:sz w:val="16"/>
                <w:szCs w:val="16"/>
              </w:rPr>
            </w:pPr>
          </w:p>
        </w:tc>
        <w:tc>
          <w:tcPr>
            <w:tcW w:w="1215"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199"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19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年初结转和结余</w:t>
            </w:r>
          </w:p>
        </w:tc>
        <w:tc>
          <w:tcPr>
            <w:tcW w:w="1191"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w:t>
            </w:r>
          </w:p>
        </w:tc>
        <w:tc>
          <w:tcPr>
            <w:tcW w:w="3540" w:type="dxa"/>
            <w:gridSpan w:val="5"/>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w:t>
            </w:r>
          </w:p>
        </w:tc>
        <w:tc>
          <w:tcPr>
            <w:tcW w:w="121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年末结转和结余</w:t>
            </w:r>
          </w:p>
        </w:tc>
      </w:tr>
      <w:tr>
        <w:tblPrEx>
          <w:tblLayout w:type="fixed"/>
          <w:tblCellMar>
            <w:top w:w="15" w:type="dxa"/>
            <w:left w:w="15" w:type="dxa"/>
            <w:bottom w:w="15" w:type="dxa"/>
            <w:right w:w="15" w:type="dxa"/>
          </w:tblCellMar>
        </w:tblPrEx>
        <w:trPr>
          <w:trHeight w:val="420"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90"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91"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c>
          <w:tcPr>
            <w:tcW w:w="1215"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285" w:hRule="atLeast"/>
        </w:trPr>
        <w:tc>
          <w:tcPr>
            <w:tcW w:w="31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tblPrEx>
          <w:tblLayout w:type="fixed"/>
          <w:tblCellMar>
            <w:top w:w="15" w:type="dxa"/>
            <w:left w:w="15" w:type="dxa"/>
            <w:bottom w:w="15" w:type="dxa"/>
            <w:right w:w="15" w:type="dxa"/>
          </w:tblCellMar>
        </w:tblPrEx>
        <w:trPr>
          <w:trHeight w:val="285" w:hRule="atLeast"/>
        </w:trPr>
        <w:tc>
          <w:tcPr>
            <w:tcW w:w="3199"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文化体育与传媒支出</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420"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资助国产影片放映</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资助城市影院</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资助少数民族电影译制</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420"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其他国家电影事业发展专项资金支出</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社会保障和就业支出</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大中型水库移民后期扶持基金支出</w:t>
            </w: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285" w:hRule="atLeast"/>
        </w:trPr>
        <w:tc>
          <w:tcPr>
            <w:tcW w:w="82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37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9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2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270" w:hRule="atLeast"/>
        </w:trPr>
        <w:tc>
          <w:tcPr>
            <w:tcW w:w="82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374"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9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91"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21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10335" w:type="dxa"/>
            <w:gridSpan w:val="12"/>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注：本表反映部门本年度政府性基金预算财政拨款收入支出及结转和结余情况。</w:t>
            </w:r>
          </w:p>
        </w:tc>
      </w:tr>
      <w:tr>
        <w:tblPrEx>
          <w:tblLayout w:type="fixed"/>
          <w:tblCellMar>
            <w:top w:w="15" w:type="dxa"/>
            <w:left w:w="15" w:type="dxa"/>
            <w:bottom w:w="15" w:type="dxa"/>
            <w:right w:w="15" w:type="dxa"/>
          </w:tblCellMar>
        </w:tblPrEx>
        <w:trPr>
          <w:trHeight w:val="285" w:hRule="atLeast"/>
        </w:trPr>
        <w:tc>
          <w:tcPr>
            <w:tcW w:w="10335" w:type="dxa"/>
            <w:gridSpan w:val="12"/>
            <w:vAlign w:val="center"/>
          </w:tcPr>
          <w:p>
            <w:pPr>
              <w:widowControl/>
              <w:jc w:val="left"/>
              <w:textAlignment w:val="center"/>
              <w:rPr>
                <w:rFonts w:ascii="宋体" w:cs="宋体"/>
                <w:b/>
                <w:color w:val="FF0000"/>
                <w:sz w:val="20"/>
                <w:szCs w:val="20"/>
              </w:rPr>
            </w:pPr>
            <w:r>
              <w:rPr>
                <w:rFonts w:hint="eastAsia" w:ascii="宋体" w:hAnsi="宋体" w:cs="宋体"/>
                <w:b/>
                <w:color w:val="FF0000"/>
                <w:kern w:val="0"/>
                <w:sz w:val="20"/>
                <w:szCs w:val="20"/>
              </w:rPr>
              <w:t>说明：</w:t>
            </w:r>
            <w:r>
              <w:rPr>
                <w:rFonts w:hint="eastAsia" w:ascii="宋体" w:hAnsi="宋体" w:cs="宋体"/>
                <w:b/>
                <w:color w:val="FF0000"/>
                <w:kern w:val="0"/>
                <w:sz w:val="20"/>
                <w:szCs w:val="20"/>
                <w:lang w:eastAsia="zh-CN"/>
              </w:rPr>
              <w:t>罗山县安监局</w:t>
            </w:r>
            <w:r>
              <w:rPr>
                <w:rFonts w:hint="eastAsia" w:ascii="宋体" w:hAnsi="宋体" w:cs="宋体"/>
                <w:b/>
                <w:color w:val="FF0000"/>
                <w:kern w:val="0"/>
                <w:sz w:val="20"/>
                <w:szCs w:val="20"/>
              </w:rPr>
              <w:t>没有政府性基金收入，也没有使用政府性基金安排的支出，故本表无数据。</w:t>
            </w:r>
          </w:p>
        </w:tc>
      </w:tr>
    </w:tbl>
    <w:p>
      <w:pPr>
        <w:spacing w:line="360" w:lineRule="auto"/>
        <w:jc w:val="center"/>
        <w:rPr>
          <w:rFonts w:ascii="隶书" w:hAnsi="隶书" w:eastAsia="隶书" w:cs="隶书"/>
          <w:sz w:val="52"/>
          <w:szCs w:val="52"/>
        </w:rPr>
        <w:sectPr>
          <w:pgSz w:w="11906" w:h="16838"/>
          <w:pgMar w:top="1134" w:right="1134" w:bottom="1134" w:left="1134" w:header="851" w:footer="992" w:gutter="0"/>
          <w:pgNumType w:fmt="numberInDash"/>
          <w:cols w:space="0" w:num="1"/>
          <w:docGrid w:type="lines" w:linePitch="312" w:charSpace="0"/>
        </w:sect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center"/>
        <w:outlineLvl w:val="0"/>
        <w:rPr>
          <w:rFonts w:ascii="隶书" w:hAnsi="隶书" w:eastAsia="隶书" w:cs="隶书"/>
          <w:sz w:val="48"/>
          <w:szCs w:val="48"/>
        </w:rPr>
      </w:pPr>
      <w:r>
        <w:rPr>
          <w:rFonts w:hint="eastAsia" w:ascii="隶书" w:hAnsi="隶书" w:eastAsia="隶书" w:cs="隶书"/>
          <w:sz w:val="48"/>
          <w:szCs w:val="48"/>
        </w:rPr>
        <w:t>第三部分</w:t>
      </w:r>
    </w:p>
    <w:p>
      <w:pPr>
        <w:jc w:val="center"/>
        <w:rPr>
          <w:rFonts w:ascii="隶书" w:hAnsi="隶书" w:eastAsia="隶书" w:cs="隶书"/>
          <w:sz w:val="48"/>
          <w:szCs w:val="48"/>
        </w:rPr>
      </w:pPr>
      <w:r>
        <w:rPr>
          <w:rFonts w:hint="eastAsia" w:ascii="隶书" w:hAnsi="隶书" w:eastAsia="隶书" w:cs="隶书"/>
          <w:sz w:val="48"/>
          <w:szCs w:val="48"/>
        </w:rPr>
        <w:t>安监局</w:t>
      </w:r>
    </w:p>
    <w:p>
      <w:pPr>
        <w:jc w:val="center"/>
        <w:rPr>
          <w:rFonts w:ascii="隶书" w:hAnsi="隶书" w:eastAsia="隶书" w:cs="隶书"/>
          <w:sz w:val="48"/>
          <w:szCs w:val="48"/>
        </w:rPr>
        <w:sectPr>
          <w:pgSz w:w="11906" w:h="16838"/>
          <w:pgMar w:top="1440" w:right="1800" w:bottom="1440" w:left="1800" w:header="851" w:footer="992" w:gutter="0"/>
          <w:pgNumType w:fmt="numberInDash"/>
          <w:cols w:space="425" w:num="1"/>
          <w:docGrid w:type="lines" w:linePitch="312" w:charSpace="0"/>
        </w:sectPr>
      </w:pPr>
      <w:r>
        <w:rPr>
          <w:rFonts w:ascii="隶书" w:hAnsi="隶书" w:eastAsia="隶书" w:cs="隶书"/>
          <w:sz w:val="48"/>
          <w:szCs w:val="48"/>
        </w:rPr>
        <w:t>2016</w:t>
      </w:r>
      <w:r>
        <w:rPr>
          <w:rFonts w:hint="eastAsia" w:ascii="隶书" w:hAnsi="隶书" w:eastAsia="隶书" w:cs="隶书"/>
          <w:sz w:val="48"/>
          <w:szCs w:val="48"/>
        </w:rPr>
        <w:t>年度部门决算情况说明</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关于收入支出决算总体情况说明</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2016年度收入总计219.8</w:t>
      </w:r>
      <w:r>
        <w:rPr>
          <w:rFonts w:hint="eastAsia" w:ascii="??_GB2312" w:hAnsi="宋体" w:cs="Courier New"/>
          <w:sz w:val="32"/>
          <w:szCs w:val="32"/>
          <w:lang w:val="en-US" w:eastAsia="zh-CN"/>
        </w:rPr>
        <w:t>4</w:t>
      </w:r>
      <w:r>
        <w:rPr>
          <w:rFonts w:ascii="??_GB2312" w:hAnsi="宋体" w:eastAsia="Times New Roman" w:cs="Courier New"/>
          <w:sz w:val="32"/>
          <w:szCs w:val="32"/>
        </w:rPr>
        <w:t>万元，支出总计219.8</w:t>
      </w:r>
      <w:r>
        <w:rPr>
          <w:rFonts w:hint="eastAsia" w:ascii="??_GB2312" w:hAnsi="宋体" w:cs="Courier New"/>
          <w:sz w:val="32"/>
          <w:szCs w:val="32"/>
          <w:lang w:val="en-US" w:eastAsia="zh-CN"/>
        </w:rPr>
        <w:t>4</w:t>
      </w:r>
      <w:r>
        <w:rPr>
          <w:rFonts w:ascii="??_GB2312" w:hAnsi="宋体" w:eastAsia="Times New Roman" w:cs="Courier New"/>
          <w:sz w:val="32"/>
          <w:szCs w:val="32"/>
        </w:rPr>
        <w:t>万元，与2015年相比，收、支总计各增加61.7</w:t>
      </w:r>
      <w:r>
        <w:rPr>
          <w:rFonts w:hint="eastAsia" w:ascii="??_GB2312" w:hAnsi="宋体" w:cs="Courier New"/>
          <w:sz w:val="32"/>
          <w:szCs w:val="32"/>
          <w:lang w:val="en-US" w:eastAsia="zh-CN"/>
        </w:rPr>
        <w:t>4</w:t>
      </w:r>
      <w:r>
        <w:rPr>
          <w:rFonts w:ascii="??_GB2312" w:hAnsi="宋体" w:eastAsia="Times New Roman" w:cs="Courier New"/>
          <w:sz w:val="32"/>
          <w:szCs w:val="32"/>
        </w:rPr>
        <w:t>万元，增长28%。</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关于收入决算情况说明</w:t>
      </w:r>
    </w:p>
    <w:p>
      <w:pPr>
        <w:adjustRightInd w:val="0"/>
        <w:snapToGrid w:val="0"/>
        <w:spacing w:line="360" w:lineRule="auto"/>
        <w:ind w:firstLine="640" w:firstLineChars="200"/>
        <w:rPr>
          <w:rFonts w:ascii="??_GB2312" w:hAnsi="Times New Roman" w:eastAsia="Times New Roman"/>
          <w:sz w:val="32"/>
          <w:szCs w:val="32"/>
        </w:rPr>
      </w:pPr>
      <w:r>
        <w:rPr>
          <w:rFonts w:ascii="??_GB2312" w:hAnsi="宋体" w:eastAsia="Times New Roman" w:cs="Courier New"/>
          <w:sz w:val="32"/>
          <w:szCs w:val="32"/>
        </w:rPr>
        <w:t>2016年度</w:t>
      </w:r>
      <w:r>
        <w:rPr>
          <w:rFonts w:ascii="??_GB2312" w:hAnsi="Times New Roman" w:eastAsia="Times New Roman"/>
          <w:sz w:val="32"/>
          <w:szCs w:val="32"/>
        </w:rPr>
        <w:t>收入合计219.</w:t>
      </w:r>
      <w:r>
        <w:rPr>
          <w:rFonts w:hint="eastAsia" w:ascii="??_GB2312" w:hAnsi="Times New Roman"/>
          <w:sz w:val="32"/>
          <w:szCs w:val="32"/>
          <w:lang w:val="en-US" w:eastAsia="zh-CN"/>
        </w:rPr>
        <w:t>4</w:t>
      </w:r>
      <w:r>
        <w:rPr>
          <w:rFonts w:ascii="??_GB2312" w:hAnsi="Times New Roman" w:eastAsia="Times New Roman"/>
          <w:sz w:val="32"/>
          <w:szCs w:val="32"/>
        </w:rPr>
        <w:t>8万元，其中：财政拨款收入219.8</w:t>
      </w:r>
      <w:r>
        <w:rPr>
          <w:rFonts w:hint="eastAsia" w:ascii="??_GB2312" w:hAnsi="Times New Roman"/>
          <w:sz w:val="32"/>
          <w:szCs w:val="32"/>
          <w:lang w:val="en-US" w:eastAsia="zh-CN"/>
        </w:rPr>
        <w:t>4</w:t>
      </w:r>
      <w:r>
        <w:rPr>
          <w:rFonts w:ascii="??_GB2312" w:hAnsi="Times New Roman" w:eastAsia="Times New Roman"/>
          <w:sz w:val="32"/>
          <w:szCs w:val="32"/>
        </w:rPr>
        <w:t>万元，占100%。</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关于支出决算情况说明</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2016年度支出合计219.8</w:t>
      </w:r>
      <w:r>
        <w:rPr>
          <w:rFonts w:hint="eastAsia" w:ascii="??_GB2312" w:hAnsi="宋体" w:cs="Courier New"/>
          <w:sz w:val="32"/>
          <w:szCs w:val="32"/>
          <w:lang w:val="en-US" w:eastAsia="zh-CN"/>
        </w:rPr>
        <w:t>4</w:t>
      </w:r>
      <w:r>
        <w:rPr>
          <w:rFonts w:ascii="??_GB2312" w:hAnsi="宋体" w:eastAsia="Times New Roman" w:cs="Courier New"/>
          <w:sz w:val="32"/>
          <w:szCs w:val="32"/>
        </w:rPr>
        <w:t>万元，其中：基本支出219.8</w:t>
      </w:r>
      <w:r>
        <w:rPr>
          <w:rFonts w:hint="eastAsia" w:ascii="??_GB2312" w:hAnsi="宋体" w:cs="Courier New"/>
          <w:sz w:val="32"/>
          <w:szCs w:val="32"/>
          <w:lang w:val="en-US" w:eastAsia="zh-CN"/>
        </w:rPr>
        <w:t>4</w:t>
      </w:r>
      <w:r>
        <w:rPr>
          <w:rFonts w:ascii="??_GB2312" w:hAnsi="宋体" w:eastAsia="Times New Roman" w:cs="Courier New"/>
          <w:sz w:val="32"/>
          <w:szCs w:val="32"/>
        </w:rPr>
        <w:t>万元，占100%。</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关于财政拨款收入支出决算总体情况说明</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2016年财政拨款收支总决算219.8</w:t>
      </w:r>
      <w:r>
        <w:rPr>
          <w:rFonts w:hint="eastAsia" w:ascii="??_GB2312" w:hAnsi="宋体" w:cs="Courier New"/>
          <w:sz w:val="32"/>
          <w:szCs w:val="32"/>
          <w:lang w:val="en-US" w:eastAsia="zh-CN"/>
        </w:rPr>
        <w:t>4</w:t>
      </w:r>
      <w:r>
        <w:rPr>
          <w:rFonts w:ascii="??_GB2312" w:hAnsi="宋体" w:eastAsia="Times New Roman" w:cs="Courier New"/>
          <w:sz w:val="32"/>
          <w:szCs w:val="32"/>
        </w:rPr>
        <w:t>万元。与2015年相比，财政拨款收、支总计各增加61.7</w:t>
      </w:r>
      <w:r>
        <w:rPr>
          <w:rFonts w:hint="eastAsia" w:ascii="??_GB2312" w:hAnsi="宋体" w:cs="Courier New"/>
          <w:sz w:val="32"/>
          <w:szCs w:val="32"/>
          <w:lang w:val="en-US" w:eastAsia="zh-CN"/>
        </w:rPr>
        <w:t>4</w:t>
      </w:r>
      <w:r>
        <w:rPr>
          <w:rFonts w:ascii="??_GB2312" w:hAnsi="宋体" w:eastAsia="Times New Roman" w:cs="Courier New"/>
          <w:sz w:val="32"/>
          <w:szCs w:val="32"/>
        </w:rPr>
        <w:t>万元，增长28%。</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关于一般公共预算财政拨款支出决算情况说明</w:t>
      </w:r>
    </w:p>
    <w:p>
      <w:pPr>
        <w:numPr>
          <w:ilvl w:val="0"/>
          <w:numId w:val="3"/>
        </w:numPr>
        <w:adjustRightInd w:val="0"/>
        <w:snapToGrid w:val="0"/>
        <w:spacing w:line="360" w:lineRule="auto"/>
        <w:ind w:firstLine="640" w:firstLineChars="200"/>
        <w:rPr>
          <w:rFonts w:ascii="??_GB2312" w:hAnsi="??_GB2312" w:eastAsia="Times New Roman" w:cs="??_GB2312"/>
          <w:sz w:val="32"/>
          <w:szCs w:val="32"/>
        </w:rPr>
      </w:pPr>
      <w:r>
        <w:rPr>
          <w:rFonts w:hint="eastAsia" w:ascii="宋体" w:hAnsi="宋体" w:cs="宋体"/>
          <w:sz w:val="32"/>
          <w:szCs w:val="32"/>
        </w:rPr>
        <w:t>财政拨款支出决算总体情况。</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2016年一般公共预算财政拨款支出219.8</w:t>
      </w:r>
      <w:r>
        <w:rPr>
          <w:rFonts w:hint="eastAsia" w:ascii="??_GB2312" w:hAnsi="宋体" w:cs="Courier New"/>
          <w:sz w:val="32"/>
          <w:szCs w:val="32"/>
          <w:lang w:val="en-US" w:eastAsia="zh-CN"/>
        </w:rPr>
        <w:t>4</w:t>
      </w:r>
      <w:r>
        <w:rPr>
          <w:rFonts w:ascii="??_GB2312" w:hAnsi="宋体" w:eastAsia="Times New Roman" w:cs="Courier New"/>
          <w:sz w:val="32"/>
          <w:szCs w:val="32"/>
        </w:rPr>
        <w:t>万元，占支出合计的100%。与2015年相比，一般公共预算财政拨款支出增加61.7</w:t>
      </w:r>
      <w:r>
        <w:rPr>
          <w:rFonts w:hint="eastAsia" w:ascii="??_GB2312" w:hAnsi="宋体" w:cs="Courier New"/>
          <w:sz w:val="32"/>
          <w:szCs w:val="32"/>
          <w:lang w:val="en-US" w:eastAsia="zh-CN"/>
        </w:rPr>
        <w:t>4</w:t>
      </w:r>
      <w:r>
        <w:rPr>
          <w:rFonts w:ascii="??_GB2312" w:hAnsi="宋体" w:eastAsia="Times New Roman" w:cs="Courier New"/>
          <w:sz w:val="32"/>
          <w:szCs w:val="32"/>
        </w:rPr>
        <w:t>万元，增长28%。</w:t>
      </w:r>
    </w:p>
    <w:p>
      <w:pPr>
        <w:numPr>
          <w:ilvl w:val="0"/>
          <w:numId w:val="3"/>
        </w:numPr>
        <w:adjustRightInd w:val="0"/>
        <w:snapToGrid w:val="0"/>
        <w:spacing w:line="360" w:lineRule="auto"/>
        <w:ind w:firstLine="640" w:firstLineChars="200"/>
        <w:rPr>
          <w:rFonts w:ascii="??_GB2312" w:hAnsi="??_GB2312" w:eastAsia="Times New Roman" w:cs="??_GB2312"/>
          <w:sz w:val="32"/>
          <w:szCs w:val="32"/>
        </w:rPr>
      </w:pPr>
      <w:r>
        <w:rPr>
          <w:rFonts w:hint="eastAsia" w:ascii="宋体" w:hAnsi="宋体" w:cs="宋体"/>
          <w:sz w:val="32"/>
          <w:szCs w:val="32"/>
        </w:rPr>
        <w:t>财政拨款支出决算结构情况。</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2016年度一般公共预算财政拨款支出2</w:t>
      </w:r>
      <w:r>
        <w:rPr>
          <w:rFonts w:hint="eastAsia" w:ascii="??_GB2312" w:hAnsi="宋体" w:cs="Courier New"/>
          <w:sz w:val="32"/>
          <w:szCs w:val="32"/>
          <w:lang w:val="en-US" w:eastAsia="zh-CN"/>
        </w:rPr>
        <w:t>16</w:t>
      </w:r>
      <w:r>
        <w:rPr>
          <w:rFonts w:ascii="??_GB2312" w:hAnsi="宋体" w:eastAsia="Times New Roman" w:cs="Courier New"/>
          <w:sz w:val="32"/>
          <w:szCs w:val="32"/>
        </w:rPr>
        <w:t>万元，主要用于以下方面：</w:t>
      </w:r>
      <w:r>
        <w:rPr>
          <w:rFonts w:ascii="??_GB2312" w:hAnsi="宋体" w:eastAsia="Times New Roman" w:cs="Courier New"/>
          <w:b/>
          <w:bCs/>
          <w:sz w:val="32"/>
          <w:szCs w:val="32"/>
        </w:rPr>
        <w:t>一般公共服务（类）</w:t>
      </w:r>
      <w:r>
        <w:rPr>
          <w:rFonts w:ascii="??_GB2312" w:hAnsi="宋体" w:eastAsia="Times New Roman" w:cs="Courier New"/>
          <w:sz w:val="32"/>
          <w:szCs w:val="32"/>
        </w:rPr>
        <w:t>支出216万元，占100%。</w:t>
      </w:r>
    </w:p>
    <w:p>
      <w:pPr>
        <w:numPr>
          <w:ilvl w:val="0"/>
          <w:numId w:val="3"/>
        </w:numPr>
        <w:adjustRightInd w:val="0"/>
        <w:snapToGrid w:val="0"/>
        <w:spacing w:line="360" w:lineRule="auto"/>
        <w:ind w:firstLine="640" w:firstLineChars="200"/>
        <w:rPr>
          <w:rFonts w:ascii="??_GB2312" w:hAnsi="??_GB2312" w:eastAsia="Times New Roman" w:cs="??_GB2312"/>
          <w:sz w:val="32"/>
          <w:szCs w:val="32"/>
        </w:rPr>
      </w:pPr>
      <w:r>
        <w:rPr>
          <w:rFonts w:hint="eastAsia" w:ascii="宋体" w:hAnsi="宋体" w:cs="宋体"/>
          <w:sz w:val="32"/>
          <w:szCs w:val="32"/>
        </w:rPr>
        <w:t>财政拨款支出决算具体情况。</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2016年度一般公共预算财政拨款支出年初预算为216万元，支出决算为219.8万元，完成年初预算的102%。决算数大于预算数的主要原因工作人员增加，工资上涨调整。</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关于一般公共预算财政拨款基本支出决算情况说明</w:t>
      </w:r>
    </w:p>
    <w:p>
      <w:pPr>
        <w:rPr>
          <w:rFonts w:ascii="??_GB2312" w:hAnsi="宋体" w:eastAsia="Times New Roman" w:cs="Courier New"/>
          <w:sz w:val="32"/>
          <w:szCs w:val="32"/>
        </w:rPr>
      </w:pPr>
      <w:r>
        <w:rPr>
          <w:rFonts w:ascii="??_GB2312" w:hAnsi="宋体" w:eastAsia="Times New Roman" w:cs="Courier New"/>
          <w:sz w:val="32"/>
          <w:szCs w:val="32"/>
        </w:rPr>
        <w:t>2016年一般公共预算财政拨款基本支出219.8万元，其中：</w:t>
      </w:r>
      <w:r>
        <w:rPr>
          <w:rFonts w:ascii="??_GB2312" w:hAnsi="Times New Roman" w:eastAsia="Times New Roman" w:cs="??_GB2312"/>
          <w:bCs/>
          <w:spacing w:val="-1"/>
          <w:kern w:val="0"/>
          <w:sz w:val="32"/>
          <w:szCs w:val="32"/>
        </w:rPr>
        <w:t>人员经费152.3万元</w:t>
      </w:r>
      <w:r>
        <w:rPr>
          <w:rFonts w:ascii="??_GB2312" w:hAnsi="宋体" w:eastAsia="Times New Roman" w:cs="Courier New"/>
          <w:bCs/>
          <w:sz w:val="32"/>
          <w:szCs w:val="32"/>
        </w:rPr>
        <w:t>，</w:t>
      </w:r>
      <w:r>
        <w:rPr>
          <w:rFonts w:ascii="??_GB2312" w:hAnsi="宋体" w:eastAsia="Times New Roman" w:cs="Courier New"/>
          <w:sz w:val="32"/>
          <w:szCs w:val="32"/>
        </w:rPr>
        <w:t>主要包括：基本工资、津贴补贴</w:t>
      </w:r>
      <w:r>
        <w:rPr>
          <w:rFonts w:hint="eastAsia" w:ascii="仿宋" w:hAnsi="仿宋" w:eastAsia="仿宋" w:cs="仿宋"/>
          <w:sz w:val="32"/>
          <w:szCs w:val="32"/>
        </w:rPr>
        <w:t>、</w:t>
      </w:r>
      <w:r>
        <w:rPr>
          <w:rFonts w:hint="eastAsia" w:ascii="仿宋" w:hAnsi="仿宋" w:eastAsia="仿宋" w:cs="仿宋"/>
          <w:color w:val="000000"/>
          <w:kern w:val="0"/>
          <w:sz w:val="32"/>
          <w:szCs w:val="32"/>
        </w:rPr>
        <w:t>机关事业单位基本养老保险缴费、其他工资福利支出、退休费、医疗费、</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其他对个人和家庭的补助支出</w:t>
      </w:r>
      <w:r>
        <w:rPr>
          <w:rFonts w:ascii="??_GB2312" w:hAnsi="宋体" w:eastAsia="Times New Roman" w:cs="Courier New"/>
          <w:sz w:val="32"/>
          <w:szCs w:val="32"/>
        </w:rPr>
        <w:t>；</w:t>
      </w:r>
      <w:r>
        <w:rPr>
          <w:rFonts w:ascii="??_GB2312" w:hAnsi="Times New Roman" w:eastAsia="Times New Roman" w:cs="??_GB2312"/>
          <w:b/>
          <w:spacing w:val="-1"/>
          <w:kern w:val="0"/>
          <w:sz w:val="32"/>
          <w:szCs w:val="32"/>
        </w:rPr>
        <w:t>公用经费</w:t>
      </w:r>
      <w:r>
        <w:rPr>
          <w:rFonts w:ascii="??_GB2312" w:hAnsi="Times New Roman" w:eastAsia="Times New Roman" w:cs="??_GB2312"/>
          <w:spacing w:val="-2"/>
          <w:kern w:val="0"/>
          <w:sz w:val="32"/>
          <w:szCs w:val="32"/>
        </w:rPr>
        <w:t>67.5万元</w:t>
      </w:r>
      <w:r>
        <w:rPr>
          <w:rFonts w:ascii="??_GB2312" w:hAnsi="宋体" w:eastAsia="Times New Roman" w:cs="Courier New"/>
          <w:sz w:val="32"/>
          <w:szCs w:val="32"/>
        </w:rPr>
        <w:t>，主要包括：</w:t>
      </w:r>
      <w:r>
        <w:rPr>
          <w:rFonts w:hint="eastAsia" w:ascii="宋体" w:hAnsi="宋体" w:cs="宋体"/>
          <w:color w:val="000000"/>
          <w:kern w:val="0"/>
          <w:sz w:val="32"/>
          <w:szCs w:val="32"/>
        </w:rPr>
        <w:t>邮电费、差旅费、公务接待费</w:t>
      </w:r>
      <w:r>
        <w:rPr>
          <w:rFonts w:ascii="宋体" w:hAnsi="宋体" w:cs="宋体"/>
          <w:color w:val="000000"/>
          <w:kern w:val="0"/>
          <w:sz w:val="32"/>
          <w:szCs w:val="32"/>
        </w:rPr>
        <w:t xml:space="preserve"> </w:t>
      </w:r>
      <w:r>
        <w:rPr>
          <w:rFonts w:hint="eastAsia" w:ascii="宋体" w:hAnsi="宋体" w:cs="宋体"/>
          <w:color w:val="000000"/>
          <w:kern w:val="0"/>
          <w:sz w:val="32"/>
          <w:szCs w:val="32"/>
        </w:rPr>
        <w:t>公务用车运行维护费、办公设备购置、其他商品和服务支出</w:t>
      </w:r>
      <w:r>
        <w:rPr>
          <w:rFonts w:ascii="??_GB2312" w:hAnsi="宋体" w:eastAsia="Times New Roman" w:cs="Courier New"/>
          <w:sz w:val="32"/>
          <w:szCs w:val="32"/>
        </w:rPr>
        <w:t>。</w:t>
      </w:r>
    </w:p>
    <w:p>
      <w:pPr>
        <w:numPr>
          <w:ilvl w:val="0"/>
          <w:numId w:val="2"/>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关于一般公共预算财政拨款“三公”经费支出决算情况说明</w:t>
      </w:r>
    </w:p>
    <w:p>
      <w:pPr>
        <w:numPr>
          <w:ilvl w:val="0"/>
          <w:numId w:val="4"/>
        </w:numPr>
        <w:kinsoku w:val="0"/>
        <w:overflowPunct w:val="0"/>
        <w:autoSpaceDE w:val="0"/>
        <w:autoSpaceDN w:val="0"/>
        <w:adjustRightInd w:val="0"/>
        <w:snapToGrid w:val="0"/>
        <w:spacing w:line="360" w:lineRule="auto"/>
        <w:ind w:firstLine="640" w:firstLineChars="200"/>
        <w:rPr>
          <w:rFonts w:ascii="??_GB2312" w:hAnsi="??_GB2312" w:eastAsia="Times New Roman" w:cs="??_GB2312"/>
          <w:sz w:val="32"/>
          <w:szCs w:val="32"/>
        </w:rPr>
      </w:pPr>
      <w:r>
        <w:rPr>
          <w:rFonts w:ascii="??_GB2312" w:hAnsi="??_GB2312" w:eastAsia="Times New Roman"/>
          <w:sz w:val="32"/>
          <w:szCs w:val="32"/>
        </w:rPr>
        <w:t>“</w:t>
      </w:r>
      <w:r>
        <w:rPr>
          <w:rFonts w:hint="eastAsia" w:ascii="宋体" w:hAnsi="宋体" w:cs="宋体"/>
          <w:sz w:val="32"/>
          <w:szCs w:val="32"/>
        </w:rPr>
        <w:t>三公</w:t>
      </w:r>
      <w:r>
        <w:rPr>
          <w:rFonts w:ascii="??_GB2312" w:hAnsi="??_GB2312" w:eastAsia="Times New Roman"/>
          <w:sz w:val="32"/>
          <w:szCs w:val="32"/>
        </w:rPr>
        <w:t>”</w:t>
      </w:r>
      <w:r>
        <w:rPr>
          <w:rFonts w:hint="eastAsia" w:ascii="宋体" w:hAnsi="宋体" w:cs="宋体"/>
          <w:sz w:val="32"/>
          <w:szCs w:val="32"/>
        </w:rPr>
        <w:t>经费财政拨款支出决算总体情况说明。</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2016年度“三公”经费财政拨款支出预算为12万元（只包含公务经费），支出决算为9.7万元，完成预算的80.8%。</w:t>
      </w:r>
      <w:r>
        <w:rPr>
          <w:rFonts w:hint="eastAsia" w:ascii="??_GB2312" w:hAnsi="宋体" w:cs="Courier New"/>
          <w:sz w:val="32"/>
          <w:szCs w:val="32"/>
          <w:lang w:val="en-US" w:eastAsia="zh-CN"/>
        </w:rPr>
        <w:t>2016年公务接待共89次801人次。</w:t>
      </w:r>
      <w:r>
        <w:rPr>
          <w:rFonts w:ascii="??_GB2312" w:hAnsi="宋体" w:eastAsia="Times New Roman" w:cs="Courier New"/>
          <w:sz w:val="32"/>
          <w:szCs w:val="32"/>
        </w:rPr>
        <w:t>2016年度“三公”经费支出决算数小于预算数的主要原因是公务接待人次、费用的降低。</w:t>
      </w:r>
    </w:p>
    <w:p>
      <w:pPr>
        <w:numPr>
          <w:ilvl w:val="0"/>
          <w:numId w:val="4"/>
        </w:numPr>
        <w:kinsoku w:val="0"/>
        <w:overflowPunct w:val="0"/>
        <w:autoSpaceDE w:val="0"/>
        <w:autoSpaceDN w:val="0"/>
        <w:adjustRightInd w:val="0"/>
        <w:snapToGrid w:val="0"/>
        <w:spacing w:line="360" w:lineRule="auto"/>
        <w:ind w:firstLine="640" w:firstLineChars="200"/>
        <w:rPr>
          <w:rFonts w:ascii="??_GB2312" w:hAnsi="??_GB2312" w:eastAsia="Times New Roman" w:cs="??_GB2312"/>
          <w:sz w:val="32"/>
          <w:szCs w:val="32"/>
        </w:rPr>
      </w:pPr>
      <w:r>
        <w:rPr>
          <w:rFonts w:ascii="??_GB2312" w:hAnsi="??_GB2312" w:eastAsia="Times New Roman"/>
          <w:sz w:val="32"/>
          <w:szCs w:val="32"/>
        </w:rPr>
        <w:t>“</w:t>
      </w:r>
      <w:r>
        <w:rPr>
          <w:rFonts w:hint="eastAsia" w:ascii="宋体" w:hAnsi="宋体" w:cs="宋体"/>
          <w:sz w:val="32"/>
          <w:szCs w:val="32"/>
        </w:rPr>
        <w:t>三公</w:t>
      </w:r>
      <w:r>
        <w:rPr>
          <w:rFonts w:ascii="??_GB2312" w:hAnsi="??_GB2312" w:eastAsia="Times New Roman"/>
          <w:sz w:val="32"/>
          <w:szCs w:val="32"/>
        </w:rPr>
        <w:t>”</w:t>
      </w:r>
      <w:r>
        <w:rPr>
          <w:rFonts w:hint="eastAsia" w:ascii="宋体" w:hAnsi="宋体" w:cs="宋体"/>
          <w:sz w:val="32"/>
          <w:szCs w:val="32"/>
        </w:rPr>
        <w:t>经费财政拨款支出决算具体情况说明。</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2016年度“三公”经费财政拨款支出决算中公务用车购置及运行费支出决算8.1万元</w:t>
      </w:r>
      <w:r>
        <w:rPr>
          <w:rFonts w:hint="eastAsia" w:ascii="??_GB2312" w:hAnsi="宋体" w:cs="Courier New"/>
          <w:sz w:val="32"/>
          <w:szCs w:val="32"/>
          <w:lang w:eastAsia="zh-CN"/>
        </w:rPr>
        <w:t>。</w:t>
      </w:r>
      <w:r>
        <w:rPr>
          <w:rFonts w:ascii="??_GB2312" w:hAnsi="宋体" w:eastAsia="Times New Roman" w:cs="Courier New"/>
          <w:sz w:val="32"/>
          <w:szCs w:val="32"/>
        </w:rPr>
        <w:t>具体情况如下：</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b/>
          <w:bCs/>
          <w:sz w:val="32"/>
          <w:szCs w:val="32"/>
        </w:rPr>
        <w:t>公务用车购置及运行费</w:t>
      </w:r>
      <w:r>
        <w:rPr>
          <w:rFonts w:ascii="??_GB2312" w:hAnsi="宋体" w:eastAsia="Times New Roman" w:cs="Courier New"/>
          <w:sz w:val="32"/>
          <w:szCs w:val="32"/>
        </w:rPr>
        <w:t>支出8.1万元。</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b/>
          <w:bCs/>
          <w:sz w:val="32"/>
          <w:szCs w:val="32"/>
        </w:rPr>
        <w:t>公务用车购置</w:t>
      </w:r>
      <w:r>
        <w:rPr>
          <w:rFonts w:ascii="??_GB2312" w:hAnsi="宋体" w:eastAsia="Times New Roman" w:cs="Courier New"/>
          <w:sz w:val="32"/>
          <w:szCs w:val="32"/>
        </w:rPr>
        <w:t>0万元。</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b/>
          <w:bCs/>
          <w:sz w:val="32"/>
          <w:szCs w:val="32"/>
        </w:rPr>
        <w:t>公务用车运行</w:t>
      </w:r>
      <w:r>
        <w:rPr>
          <w:rFonts w:ascii="??_GB2312" w:hAnsi="宋体" w:eastAsia="Times New Roman" w:cs="Courier New"/>
          <w:sz w:val="32"/>
          <w:szCs w:val="32"/>
        </w:rPr>
        <w:t>支出8.1万元。主要用于车辆的维修于加油。2016年期末，罗山县安监局下属单位开支财政拨款的公务用车保有量为</w:t>
      </w:r>
      <w:r>
        <w:rPr>
          <w:rFonts w:ascii="??_GB2312" w:hAnsi="宋体" w:cs="Courier New"/>
          <w:sz w:val="32"/>
          <w:szCs w:val="32"/>
        </w:rPr>
        <w:t>2</w:t>
      </w:r>
      <w:r>
        <w:rPr>
          <w:rFonts w:hint="eastAsia" w:ascii="??_GB2312" w:hAnsi="宋体" w:cs="Courier New"/>
          <w:sz w:val="32"/>
          <w:szCs w:val="32"/>
        </w:rPr>
        <w:t>辆</w:t>
      </w:r>
      <w:r>
        <w:rPr>
          <w:rFonts w:ascii="??_GB2312" w:hAnsi="宋体" w:eastAsia="Times New Roman" w:cs="Courier New"/>
          <w:sz w:val="32"/>
          <w:szCs w:val="32"/>
        </w:rPr>
        <w:t>。</w:t>
      </w:r>
    </w:p>
    <w:p>
      <w:pPr>
        <w:kinsoku w:val="0"/>
        <w:overflowPunct w:val="0"/>
        <w:autoSpaceDE w:val="0"/>
        <w:autoSpaceDN w:val="0"/>
        <w:adjustRightInd w:val="0"/>
        <w:snapToGrid w:val="0"/>
        <w:spacing w:line="360" w:lineRule="auto"/>
        <w:ind w:firstLine="643" w:firstLineChars="200"/>
        <w:rPr>
          <w:rFonts w:hint="eastAsia" w:ascii="??_GB2312" w:hAnsi="宋体" w:eastAsia="宋体" w:cs="Courier New"/>
          <w:b/>
          <w:bCs/>
          <w:sz w:val="32"/>
          <w:szCs w:val="32"/>
          <w:lang w:eastAsia="zh-CN"/>
        </w:rPr>
      </w:pPr>
      <w:r>
        <w:rPr>
          <w:rFonts w:hint="eastAsia" w:ascii="??_GB2312" w:hAnsi="宋体" w:cs="Courier New"/>
          <w:b/>
          <w:bCs/>
          <w:sz w:val="32"/>
          <w:szCs w:val="32"/>
          <w:lang w:eastAsia="zh-CN"/>
        </w:rPr>
        <w:t>八、</w:t>
      </w:r>
      <w:r>
        <w:rPr>
          <w:rFonts w:hint="eastAsia" w:ascii="??_GB2312" w:hAnsi="宋体" w:cs="Courier New"/>
          <w:b/>
          <w:bCs/>
          <w:sz w:val="32"/>
          <w:szCs w:val="32"/>
          <w:lang w:val="en-US" w:eastAsia="zh-CN"/>
        </w:rPr>
        <w:t>2016年政府采购情况说明</w:t>
      </w:r>
    </w:p>
    <w:p>
      <w:pPr>
        <w:rPr>
          <w:rFonts w:hint="default" w:ascii="Times New Roman" w:hAnsi="Times New Roman" w:eastAsia="仿宋" w:cs="Times New Roman"/>
          <w:sz w:val="32"/>
          <w:szCs w:val="32"/>
          <w:lang w:val="en-US"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 w:cs="Times New Roman"/>
          <w:sz w:val="32"/>
          <w:szCs w:val="32"/>
          <w:lang w:val="en-US" w:eastAsia="zh-CN"/>
        </w:rPr>
        <w:t xml:space="preserve">  2016年度没有政府采购项支</w:t>
      </w:r>
      <w:r>
        <w:rPr>
          <w:rFonts w:hint="eastAsia" w:ascii="Times New Roman" w:hAnsi="Times New Roman" w:eastAsia="仿宋" w:cs="Times New Roman"/>
          <w:sz w:val="32"/>
          <w:szCs w:val="32"/>
          <w:lang w:val="en-US" w:eastAsia="zh-CN"/>
        </w:rPr>
        <w:t>出</w:t>
      </w:r>
      <w:r>
        <w:rPr>
          <w:rFonts w:hint="default" w:ascii="Times New Roman" w:hAnsi="Times New Roman" w:eastAsia="仿宋" w:cs="Times New Roman"/>
          <w:sz w:val="32"/>
          <w:szCs w:val="32"/>
          <w:lang w:val="en-US" w:eastAsia="zh-CN"/>
        </w:rPr>
        <w:t>。</w:t>
      </w: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left"/>
        <w:rPr>
          <w:rFonts w:ascii="黑体" w:hAnsi="黑体" w:eastAsia="黑体" w:cs="黑体"/>
          <w:sz w:val="32"/>
          <w:szCs w:val="32"/>
        </w:rPr>
      </w:pPr>
    </w:p>
    <w:p>
      <w:pPr>
        <w:jc w:val="center"/>
        <w:outlineLvl w:val="0"/>
        <w:rPr>
          <w:rFonts w:ascii="隶书" w:hAnsi="隶书" w:eastAsia="隶书" w:cs="隶书"/>
          <w:sz w:val="48"/>
          <w:szCs w:val="48"/>
        </w:rPr>
        <w:sectPr>
          <w:pgSz w:w="11906" w:h="16838"/>
          <w:pgMar w:top="1440" w:right="1800" w:bottom="1440" w:left="1800" w:header="851" w:footer="992" w:gutter="0"/>
          <w:pgNumType w:fmt="numberInDash"/>
          <w:cols w:space="425" w:num="1"/>
          <w:docGrid w:type="lines" w:linePitch="312" w:charSpace="0"/>
        </w:sectPr>
      </w:pPr>
      <w:r>
        <w:rPr>
          <w:rFonts w:hint="eastAsia" w:ascii="隶书" w:hAnsi="隶书" w:eastAsia="隶书" w:cs="隶书"/>
          <w:sz w:val="48"/>
          <w:szCs w:val="48"/>
        </w:rPr>
        <w:t>第四部分　　名词解释</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cs="Courier New"/>
          <w:b/>
          <w:bCs/>
          <w:sz w:val="32"/>
          <w:szCs w:val="32"/>
        </w:rPr>
        <w:t>财政拨款收入：</w:t>
      </w:r>
      <w:r>
        <w:rPr>
          <w:rFonts w:ascii="??_GB2312" w:hAnsi="宋体" w:eastAsia="Times New Roman" w:cs="Courier New"/>
          <w:sz w:val="32"/>
          <w:szCs w:val="32"/>
        </w:rPr>
        <w:t>是指省级财政当年拨付的资金。</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事业收入：</w:t>
      </w:r>
      <w:r>
        <w:rPr>
          <w:rFonts w:ascii="??_GB2312" w:hAnsi="宋体" w:eastAsia="Times New Roman" w:cs="Courier New"/>
          <w:sz w:val="32"/>
          <w:szCs w:val="32"/>
        </w:rPr>
        <w:t>是指事业单位开展专业业务活动及辅助活动所取得的收入。如：ＸＸ刊物发行收入，ＸＸ协会收取的会费收入等。</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经营收入：</w:t>
      </w:r>
      <w:r>
        <w:rPr>
          <w:rFonts w:ascii="??_GB2312" w:hAnsi="宋体" w:eastAsia="Times New Roman" w:cs="Courier New"/>
          <w:sz w:val="32"/>
          <w:szCs w:val="32"/>
        </w:rPr>
        <w:t>指事业单位在专业业务活动及其辅助活动之外开展非独立核算经营活动取得的收入。如：ＸＸ杂志社广告收入等。</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其他收入：</w:t>
      </w:r>
      <w:r>
        <w:rPr>
          <w:rFonts w:ascii="??_GB2312" w:hAnsi="宋体" w:eastAsia="Times New Roman" w:cs="Courier New"/>
          <w:sz w:val="32"/>
          <w:szCs w:val="32"/>
        </w:rPr>
        <w:t>指除上述“财政拨款收入”、“事业收入”、“事业单位经营收入”、“经营收入”等以外的收入。主要是按规定动用的售房收入、存款利息收入等。</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用事业基金弥补收支差额：</w:t>
      </w:r>
      <w:r>
        <w:rPr>
          <w:rFonts w:ascii="??_GB2312" w:hAnsi="宋体" w:eastAsia="Times New Roman" w:cs="Courier New"/>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_GB2312" w:hAnsi="宋体" w:eastAsia="Times New Roman" w:cs="Courier New"/>
          <w:b/>
          <w:bCs/>
          <w:sz w:val="32"/>
          <w:szCs w:val="32"/>
        </w:rPr>
        <w:t>。</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年初结转和结余：</w:t>
      </w:r>
      <w:r>
        <w:rPr>
          <w:rFonts w:ascii="??_GB2312" w:hAnsi="宋体" w:eastAsia="Times New Roman" w:cs="Courier New"/>
          <w:sz w:val="32"/>
          <w:szCs w:val="32"/>
        </w:rPr>
        <w:t>指以前年度尚未完成、结转到本年按有关规定继续使用的资金。</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结余分配：</w:t>
      </w:r>
      <w:r>
        <w:rPr>
          <w:rFonts w:ascii="??_GB2312" w:hAnsi="宋体" w:eastAsia="Times New Roman" w:cs="Courier New"/>
          <w:sz w:val="32"/>
          <w:szCs w:val="32"/>
        </w:rPr>
        <w:t>指事业单位按规定提取的职工福利基金、事业基金和缴纳的所得税，以及建设单位按规定应交回的基本建设竣工项目结余资金。</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年末结转和结余：</w:t>
      </w:r>
      <w:r>
        <w:rPr>
          <w:rFonts w:ascii="??_GB2312" w:hAnsi="宋体" w:eastAsia="Times New Roman" w:cs="Courier New"/>
          <w:sz w:val="32"/>
          <w:szCs w:val="32"/>
        </w:rPr>
        <w:t>指本年度或以前年度预算安排、因客观条件发生变化无法按原计划实施，需延迟到以后年度按有关规定继续使用的资金。</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基本支出：</w:t>
      </w:r>
      <w:r>
        <w:rPr>
          <w:rFonts w:ascii="??_GB2312" w:hAnsi="宋体" w:eastAsia="Times New Roman" w:cs="Courier New"/>
          <w:sz w:val="32"/>
          <w:szCs w:val="32"/>
        </w:rPr>
        <w:t>指为保障机构正常运转、完成日常工作任务而发生的人员支出和公用支出。</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项目支出：</w:t>
      </w:r>
      <w:r>
        <w:rPr>
          <w:rFonts w:ascii="??_GB2312" w:hAnsi="宋体" w:eastAsia="Times New Roman" w:cs="Courier New"/>
          <w:sz w:val="32"/>
          <w:szCs w:val="32"/>
        </w:rPr>
        <w:t>指在基本支出之外为完成特定行政任务和事业发展目标所发生的支出。</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经营支出：</w:t>
      </w:r>
      <w:r>
        <w:rPr>
          <w:rFonts w:ascii="??_GB2312" w:hAnsi="宋体" w:eastAsia="Times New Roman" w:cs="Courier New"/>
          <w:sz w:val="32"/>
          <w:szCs w:val="32"/>
        </w:rPr>
        <w:t>指事业单位在专业业务活动及其辅助活动之外开展非独立核算经营活动发生的支出。</w:t>
      </w:r>
    </w:p>
    <w:p>
      <w:pPr>
        <w:numPr>
          <w:ilvl w:val="0"/>
          <w:numId w:val="5"/>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“三公”经费：</w:t>
      </w:r>
      <w:r>
        <w:rPr>
          <w:rFonts w:ascii="??_GB2312" w:hAnsi="宋体" w:eastAsia="Times New Roman" w:cs="Courier New"/>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numPr>
          <w:ilvl w:val="0"/>
          <w:numId w:val="5"/>
        </w:numPr>
        <w:kinsoku w:val="0"/>
        <w:overflowPunct w:val="0"/>
        <w:autoSpaceDE w:val="0"/>
        <w:autoSpaceDN w:val="0"/>
        <w:adjustRightInd w:val="0"/>
        <w:snapToGrid w:val="0"/>
        <w:spacing w:line="360" w:lineRule="auto"/>
        <w:ind w:firstLine="640" w:firstLineChars="200"/>
        <w:rPr>
          <w:rFonts w:ascii="隶书" w:hAnsi="隶书" w:eastAsia="隶书" w:cs="隶书"/>
          <w:sz w:val="48"/>
          <w:szCs w:val="48"/>
        </w:rPr>
      </w:pPr>
      <w:r>
        <w:rPr>
          <w:rFonts w:ascii="??_GB2312" w:hAnsi="宋体" w:eastAsia="Times New Roman"/>
          <w:b/>
          <w:bCs/>
          <w:sz w:val="32"/>
          <w:szCs w:val="32"/>
        </w:rPr>
        <w:t>机关运行经费：</w:t>
      </w:r>
      <w:r>
        <w:rPr>
          <w:rFonts w:ascii="??_GB2312" w:hAnsi="宋体" w:eastAsia="Times New Roman" w:cs="Courier New"/>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insoku w:val="0"/>
        <w:overflowPunct w:val="0"/>
        <w:autoSpaceDE w:val="0"/>
        <w:autoSpaceDN w:val="0"/>
        <w:adjustRightInd w:val="0"/>
        <w:snapToGrid w:val="0"/>
        <w:spacing w:line="360" w:lineRule="auto"/>
        <w:ind w:firstLine="4480" w:firstLineChars="1400"/>
        <w:rPr>
          <w:rFonts w:ascii="仿宋" w:hAnsi="仿宋" w:eastAsia="仿宋" w:cs="仿宋"/>
          <w:sz w:val="32"/>
          <w:szCs w:val="32"/>
        </w:rPr>
      </w:pPr>
      <w:r>
        <w:rPr>
          <w:rFonts w:hint="eastAsia" w:ascii="仿宋" w:hAnsi="仿宋" w:eastAsia="仿宋" w:cs="仿宋"/>
          <w:sz w:val="32"/>
          <w:szCs w:val="32"/>
        </w:rPr>
        <w:t>罗山县安全生产监督管理局</w:t>
      </w:r>
    </w:p>
    <w:p>
      <w:pPr>
        <w:kinsoku w:val="0"/>
        <w:overflowPunct w:val="0"/>
        <w:autoSpaceDE w:val="0"/>
        <w:autoSpaceDN w:val="0"/>
        <w:adjustRightInd w:val="0"/>
        <w:snapToGrid w:val="0"/>
        <w:spacing w:line="360" w:lineRule="auto"/>
        <w:ind w:left="420" w:leftChars="200"/>
        <w:rPr>
          <w:rFonts w:ascii="仿宋" w:hAnsi="仿宋" w:eastAsia="仿宋" w:cs="仿宋"/>
          <w:sz w:val="32"/>
          <w:szCs w:val="32"/>
        </w:rPr>
      </w:pPr>
      <w:r>
        <w:rPr>
          <w:rFonts w:ascii="仿宋" w:hAnsi="仿宋" w:eastAsia="仿宋" w:cs="仿宋"/>
          <w:sz w:val="32"/>
          <w:szCs w:val="32"/>
        </w:rPr>
        <w:t xml:space="preserve">                              2017</w:t>
      </w:r>
      <w:r>
        <w:rPr>
          <w:rFonts w:hint="eastAsia" w:ascii="仿宋" w:hAnsi="仿宋" w:eastAsia="仿宋" w:cs="仿宋"/>
          <w:sz w:val="32"/>
          <w:szCs w:val="32"/>
        </w:rPr>
        <w:t>年</w:t>
      </w:r>
      <w:r>
        <w:rPr>
          <w:rFonts w:ascii="仿宋" w:hAnsi="仿宋" w:eastAsia="仿宋" w:cs="仿宋"/>
          <w:sz w:val="32"/>
          <w:szCs w:val="32"/>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p>
    <w:sectPr>
      <w:pgSz w:w="11906" w:h="16838"/>
      <w:pgMar w:top="1134" w:right="1587" w:bottom="113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微软雅黑"/>
    <w:panose1 w:val="00000000000000000000"/>
    <w:charset w:val="86"/>
    <w:family w:val="auto"/>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华文行楷">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Gungsuh">
    <w:panose1 w:val="02030600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Microsoft JhengHei U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Arabic Typesetting">
    <w:panose1 w:val="03020402040406030203"/>
    <w:charset w:val="00"/>
    <w:family w:val="auto"/>
    <w:pitch w:val="default"/>
    <w:sig w:usb0="A000206F" w:usb1="C0000000" w:usb2="00000008" w:usb3="00000000" w:csb0="200000D3" w:csb1="00000000"/>
  </w:font>
  <w:font w:name="Arial Black">
    <w:panose1 w:val="020B0A04020102020204"/>
    <w:charset w:val="00"/>
    <w:family w:val="auto"/>
    <w:pitch w:val="default"/>
    <w:sig w:usb0="00000287" w:usb1="00000000" w:usb2="00000000" w:usb3="00000000" w:csb0="2000009F" w:csb1="DFD70000"/>
  </w:font>
  <w:font w:name="Arial Narrow">
    <w:panose1 w:val="020B0606020202030204"/>
    <w:charset w:val="00"/>
    <w:family w:val="auto"/>
    <w:pitch w:val="default"/>
    <w:sig w:usb0="00000287" w:usb1="00000800" w:usb2="00000000" w:usb3="00000000" w:csb0="2000009F" w:csb1="DFD70000"/>
  </w:font>
  <w:font w:name="Baskerville Old Face">
    <w:panose1 w:val="02020602080505020303"/>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odoni MT Condensed">
    <w:panose1 w:val="02070606080606020203"/>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ok Antiqua">
    <w:panose1 w:val="02040602050305030304"/>
    <w:charset w:val="00"/>
    <w:family w:val="auto"/>
    <w:pitch w:val="default"/>
    <w:sig w:usb0="00000287" w:usb1="00000000" w:usb2="00000000" w:usb3="00000000" w:csb0="2000009F" w:csb1="DFD70000"/>
  </w:font>
  <w:font w:name="Bookman Old Style">
    <w:panose1 w:val="0205060405050502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Bradley Hand ITC">
    <w:panose1 w:val="03070402050302030203"/>
    <w:charset w:val="00"/>
    <w:family w:val="auto"/>
    <w:pitch w:val="default"/>
    <w:sig w:usb0="00000003" w:usb1="00000000" w:usb2="00000000" w:usb3="00000000" w:csb0="20000001" w:csb1="00000000"/>
  </w:font>
  <w:font w:name="Broadway">
    <w:panose1 w:val="04040905080B02020502"/>
    <w:charset w:val="00"/>
    <w:family w:val="auto"/>
    <w:pitch w:val="default"/>
    <w:sig w:usb0="00000003" w:usb1="00000000" w:usb2="00000000" w:usb3="00000000" w:csb0="20000001" w:csb1="00000000"/>
  </w:font>
  <w:font w:name="Browallia New">
    <w:panose1 w:val="020B0604020202020204"/>
    <w:charset w:val="00"/>
    <w:family w:val="auto"/>
    <w:pitch w:val="default"/>
    <w:sig w:usb0="81000003" w:usb1="00000000" w:usb2="00000000" w:usb3="00000000" w:csb0="00010001" w:csb1="00000000"/>
  </w:font>
  <w:font w:name="Californian FB">
    <w:panose1 w:val="0207040306080B0302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Cambria Math">
    <w:panose1 w:val="02040503050406030204"/>
    <w:charset w:val="00"/>
    <w:family w:val="auto"/>
    <w:pitch w:val="default"/>
    <w:sig w:usb0="E00002FF" w:usb1="420024FF" w:usb2="00000000" w:usb3="00000000" w:csb0="2000019F" w:csb1="00000000"/>
  </w:font>
  <w:font w:name="Candara">
    <w:panose1 w:val="020E0502030303020204"/>
    <w:charset w:val="00"/>
    <w:family w:val="auto"/>
    <w:pitch w:val="default"/>
    <w:sig w:usb0="A00002EF" w:usb1="4000A44B" w:usb2="00000000" w:usb3="00000000" w:csb0="2000019F" w:csb1="00000000"/>
  </w:font>
  <w:font w:name="CordiaUPC">
    <w:panose1 w:val="020B0304020202020204"/>
    <w:charset w:val="00"/>
    <w:family w:val="auto"/>
    <w:pitch w:val="default"/>
    <w:sig w:usb0="81000003" w:usb1="00000000" w:usb2="00000000" w:usb3="00000000" w:csb0="00010001" w:csb1="00000000"/>
  </w:font>
  <w:font w:name="DaunPenh">
    <w:panose1 w:val="01010101010101010101"/>
    <w:charset w:val="00"/>
    <w:family w:val="auto"/>
    <w:pitch w:val="default"/>
    <w:sig w:usb0="00000003" w:usb1="00000000" w:usb2="00010000" w:usb3="00000000" w:csb0="00000001" w:csb1="00000000"/>
  </w:font>
  <w:font w:name="David">
    <w:panose1 w:val="020E0502060401010101"/>
    <w:charset w:val="00"/>
    <w:family w:val="auto"/>
    <w:pitch w:val="default"/>
    <w:sig w:usb0="00000801" w:usb1="00000000" w:usb2="00000000" w:usb3="00000000" w:csb0="00000020" w:csb1="00200000"/>
  </w:font>
  <w:font w:name="DilleniaUPC">
    <w:panose1 w:val="02020603050405020304"/>
    <w:charset w:val="00"/>
    <w:family w:val="auto"/>
    <w:pitch w:val="default"/>
    <w:sig w:usb0="81000027" w:usb1="00000002" w:usb2="00000000" w:usb3="00000000" w:csb0="00010001" w:csb1="00000000"/>
  </w:font>
  <w:font w:name="Euphemia">
    <w:panose1 w:val="020B0503040102020104"/>
    <w:charset w:val="00"/>
    <w:family w:val="auto"/>
    <w:pitch w:val="default"/>
    <w:sig w:usb0="8000006F" w:usb1="0000004A" w:usb2="00002000" w:usb3="00000000" w:csb0="00000001" w:csb1="00000000"/>
  </w:font>
  <w:font w:name="Felix Titling">
    <w:panose1 w:val="04060505060202020A04"/>
    <w:charset w:val="00"/>
    <w:family w:val="auto"/>
    <w:pitch w:val="default"/>
    <w:sig w:usb0="00000003" w:usb1="00000000" w:usb2="00000000" w:usb3="00000000" w:csb0="20000001" w:csb1="00000000"/>
  </w:font>
  <w:font w:name="Palace Script MT">
    <w:panose1 w:val="030303020206070C0B05"/>
    <w:charset w:val="00"/>
    <w:family w:val="auto"/>
    <w:pitch w:val="default"/>
    <w:sig w:usb0="00000003" w:usb1="00000000" w:usb2="00000000" w:usb3="00000000" w:csb0="20000001" w:csb1="00000000"/>
  </w:font>
  <w:font w:name="Palatino Linotype">
    <w:panose1 w:val="02040502050505030304"/>
    <w:charset w:val="00"/>
    <w:family w:val="auto"/>
    <w:pitch w:val="default"/>
    <w:sig w:usb0="E0000287" w:usb1="40000013" w:usb2="00000000" w:usb3="00000000" w:csb0="2000019F" w:csb1="00000000"/>
  </w:font>
  <w:font w:name="Traditional Arabic">
    <w:panose1 w:val="02020603050405020304"/>
    <w:charset w:val="00"/>
    <w:family w:val="auto"/>
    <w:pitch w:val="default"/>
    <w:sig w:usb0="00006003" w:usb1="80000000" w:usb2="00000008" w:usb3="00000000" w:csb0="00000041" w:csb1="20080000"/>
  </w:font>
  <w:font w:name="Tempus Sans ITC">
    <w:panose1 w:val="04020404030D07020202"/>
    <w:charset w:val="00"/>
    <w:family w:val="auto"/>
    <w:pitch w:val="default"/>
    <w:sig w:usb0="00000003" w:usb1="00000000" w:usb2="00000000" w:usb3="00000000" w:csb0="20000001" w:csb1="00000000"/>
  </w:font>
  <w:font w:name="Tahoma">
    <w:panose1 w:val="020B0604030504040204"/>
    <w:charset w:val="00"/>
    <w:family w:val="auto"/>
    <w:pitch w:val="default"/>
    <w:sig w:usb0="E1002EFF" w:usb1="C000605B" w:usb2="00000029" w:usb3="00000000" w:csb0="200101FF" w:csb1="20280000"/>
  </w:font>
  <w:font w:name="Stencil">
    <w:panose1 w:val="040409050D0802020404"/>
    <w:charset w:val="00"/>
    <w:family w:val="auto"/>
    <w:pitch w:val="default"/>
    <w:sig w:usb0="00000003" w:usb1="00000000" w:usb2="00000000" w:usb3="00000000" w:csb0="20000001" w:csb1="00000000"/>
  </w:font>
  <w:font w:name="Sylfaen">
    <w:panose1 w:val="010A0502050306030303"/>
    <w:charset w:val="00"/>
    <w:family w:val="auto"/>
    <w:pitch w:val="default"/>
    <w:sig w:usb0="04000687" w:usb1="00000000" w:usb2="00000000" w:usb3="00000000" w:csb0="2000009F" w:csb1="00000000"/>
  </w:font>
  <w:font w:name="Symbol">
    <w:panose1 w:val="05050102010706020507"/>
    <w:charset w:val="00"/>
    <w:family w:val="auto"/>
    <w:pitch w:val="default"/>
    <w:sig w:usb0="00000000" w:usb1="00000000" w:usb2="00000000" w:usb3="00000000" w:csb0="80000000" w:csb1="00000000"/>
  </w:font>
  <w:font w:name="Tw Cen MT Condensed">
    <w:panose1 w:val="020B0606020104020203"/>
    <w:charset w:val="00"/>
    <w:family w:val="auto"/>
    <w:pitch w:val="default"/>
    <w:sig w:usb0="00000003" w:usb1="00000000" w:usb2="00000000" w:usb3="00000000" w:csb0="20000003" w:csb1="00000000"/>
  </w:font>
  <w:font w:name="Tw Cen MT Condensed Extra Bold">
    <w:panose1 w:val="020B0803020202020204"/>
    <w:charset w:val="00"/>
    <w:family w:val="auto"/>
    <w:pitch w:val="default"/>
    <w:sig w:usb0="00000003" w:usb1="00000000" w:usb2="00000000" w:usb3="00000000" w:csb0="20000003" w:csb1="00000000"/>
  </w:font>
  <w:font w:name="Tw Cen MT">
    <w:panose1 w:val="020B0602020104020603"/>
    <w:charset w:val="00"/>
    <w:family w:val="auto"/>
    <w:pitch w:val="default"/>
    <w:sig w:usb0="00000003"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Wide Latin">
    <w:panose1 w:val="020A0A07050505020404"/>
    <w:charset w:val="00"/>
    <w:family w:val="auto"/>
    <w:pitch w:val="default"/>
    <w:sig w:usb0="00000003" w:usb1="00000000" w:usb2="00000000" w:usb3="00000000" w:csb0="20000001"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ladimir Script">
    <w:panose1 w:val="03050402040407070305"/>
    <w:charset w:val="00"/>
    <w:family w:val="auto"/>
    <w:pitch w:val="default"/>
    <w:sig w:usb0="00000003" w:usb1="00000000" w:usb2="00000000" w:usb3="00000000" w:csb0="20000001" w:csb1="00000000"/>
  </w:font>
  <w:font w:name="Vivaldi">
    <w:panose1 w:val="03020602050506090804"/>
    <w:charset w:val="00"/>
    <w:family w:val="auto"/>
    <w:pitch w:val="default"/>
    <w:sig w:usb0="00000003" w:usb1="00000000" w:usb2="00000000" w:usb3="00000000" w:csb0="20000001" w:csb1="00000000"/>
  </w:font>
  <w:font w:name="Viner Hand ITC">
    <w:panose1 w:val="03070502030502020203"/>
    <w:charset w:val="00"/>
    <w:family w:val="auto"/>
    <w:pitch w:val="default"/>
    <w:sig w:usb0="00000003" w:usb1="00000000" w:usb2="00000000" w:usb3="00000000" w:csb0="2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abriola">
    <w:panose1 w:val="04040605051002020D02"/>
    <w:charset w:val="00"/>
    <w:family w:val="auto"/>
    <w:pitch w:val="default"/>
    <w:sig w:usb0="E00002EF" w:usb1="5000204B" w:usb2="00000000" w:usb3="00000000" w:csb0="2000009F" w:csb1="00000000"/>
  </w:font>
  <w:font w:name="Mongolian Baiti">
    <w:panose1 w:val="03000500000000000000"/>
    <w:charset w:val="00"/>
    <w:family w:val="auto"/>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fldChar w:fldCharType="begin"/>
                          </w:r>
                          <w:r>
                            <w:instrText xml:space="preserve"> PAGE  \* MERGEFORMAT </w:instrText>
                          </w:r>
                          <w:r>
                            <w:fldChar w:fldCharType="separate"/>
                          </w:r>
                          <w:r>
                            <w:rPr>
                              <w:sz w:val="18"/>
                            </w:rPr>
                            <w:t>- 13 -</w:t>
                          </w:r>
                          <w:r>
                            <w:rPr>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LNJ&#10;WO7QAAAABQEAAA8AAAAAAAAAAQAgAAAAIgAAAGRycy9kb3ducmV2LnhtbFBLAQIUABQAAAAIAIdO&#10;4kA3nK7uuQEAAFcDAAAOAAAAAAAAAAEAIAAAAB8BAABkcnMvZTJvRG9jLnhtbFBLBQYAAAAABgAG&#10;AFkBAABK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- 13 -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rPr>
        <w:rFonts w:cs="Times New Roman"/>
      </w:rPr>
    </w:lvl>
  </w:abstractNum>
  <w:abstractNum w:abstractNumId="1">
    <w:nsid w:val="5971DAC2"/>
    <w:multiLevelType w:val="singleLevel"/>
    <w:tmpl w:val="5971DAC2"/>
    <w:lvl w:ilvl="0" w:tentative="0">
      <w:start w:val="1"/>
      <w:numFmt w:val="chineseCounting"/>
      <w:suff w:val="nothing"/>
      <w:lvlText w:val="%1、"/>
      <w:lvlJc w:val="left"/>
      <w:pPr>
        <w:ind w:firstLine="420"/>
      </w:pPr>
      <w:rPr>
        <w:rFonts w:hint="eastAsia" w:cs="Times New Roman"/>
      </w:rPr>
    </w:lvl>
  </w:abstractNum>
  <w:abstractNum w:abstractNumId="2">
    <w:nsid w:val="5971DBDD"/>
    <w:multiLevelType w:val="singleLevel"/>
    <w:tmpl w:val="5971DBDD"/>
    <w:lvl w:ilvl="0" w:tentative="0">
      <w:start w:val="1"/>
      <w:numFmt w:val="chineseCounting"/>
      <w:suff w:val="nothing"/>
      <w:lvlText w:val="（%1）"/>
      <w:lvlJc w:val="left"/>
      <w:pPr>
        <w:ind w:firstLine="420"/>
      </w:pPr>
      <w:rPr>
        <w:rFonts w:hint="eastAsia" w:cs="Times New Roman"/>
      </w:rPr>
    </w:lvl>
  </w:abstractNum>
  <w:abstractNum w:abstractNumId="3">
    <w:nsid w:val="5971E093"/>
    <w:multiLevelType w:val="singleLevel"/>
    <w:tmpl w:val="5971E093"/>
    <w:lvl w:ilvl="0" w:tentative="0">
      <w:start w:val="1"/>
      <w:numFmt w:val="chineseCounting"/>
      <w:suff w:val="nothing"/>
      <w:lvlText w:val="（%1）"/>
      <w:lvlJc w:val="left"/>
      <w:pPr>
        <w:ind w:firstLine="420"/>
      </w:pPr>
      <w:rPr>
        <w:rFonts w:hint="eastAsia" w:cs="Times New Roman"/>
      </w:rPr>
    </w:lvl>
  </w:abstractNum>
  <w:abstractNum w:abstractNumId="4">
    <w:nsid w:val="5971F72C"/>
    <w:multiLevelType w:val="singleLevel"/>
    <w:tmpl w:val="5971F72C"/>
    <w:lvl w:ilvl="0" w:tentative="0">
      <w:start w:val="1"/>
      <w:numFmt w:val="chineseCounting"/>
      <w:suff w:val="nothing"/>
      <w:lvlText w:val="%1、"/>
      <w:lvlJc w:val="left"/>
      <w:pPr>
        <w:ind w:firstLine="420"/>
      </w:pPr>
      <w:rPr>
        <w:rFonts w:hint="eastAsia" w:cs="Times New Roman"/>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731"/>
    <w:rsid w:val="00145A7A"/>
    <w:rsid w:val="00172A27"/>
    <w:rsid w:val="00630D31"/>
    <w:rsid w:val="008730A0"/>
    <w:rsid w:val="009B4794"/>
    <w:rsid w:val="00A64649"/>
    <w:rsid w:val="00A65A48"/>
    <w:rsid w:val="00B54309"/>
    <w:rsid w:val="00B84FB0"/>
    <w:rsid w:val="00C32040"/>
    <w:rsid w:val="00CC3300"/>
    <w:rsid w:val="01741D0B"/>
    <w:rsid w:val="04453648"/>
    <w:rsid w:val="09BB2134"/>
    <w:rsid w:val="0A854767"/>
    <w:rsid w:val="15492582"/>
    <w:rsid w:val="1A9124C6"/>
    <w:rsid w:val="1AC857D3"/>
    <w:rsid w:val="1E7D3B34"/>
    <w:rsid w:val="267509A0"/>
    <w:rsid w:val="2BA4769A"/>
    <w:rsid w:val="2CD06EF4"/>
    <w:rsid w:val="32EF40CE"/>
    <w:rsid w:val="372974AC"/>
    <w:rsid w:val="42271DDB"/>
    <w:rsid w:val="43A30522"/>
    <w:rsid w:val="4586170D"/>
    <w:rsid w:val="48B52937"/>
    <w:rsid w:val="48EE3EF3"/>
    <w:rsid w:val="4C1E2F28"/>
    <w:rsid w:val="50EF025B"/>
    <w:rsid w:val="5651051D"/>
    <w:rsid w:val="57E961A8"/>
    <w:rsid w:val="581E77CF"/>
    <w:rsid w:val="58B06254"/>
    <w:rsid w:val="5AF25131"/>
    <w:rsid w:val="600176AC"/>
    <w:rsid w:val="61110497"/>
    <w:rsid w:val="664A46E0"/>
    <w:rsid w:val="726014B6"/>
    <w:rsid w:val="75494219"/>
    <w:rsid w:val="75531EF6"/>
    <w:rsid w:val="75D0003D"/>
    <w:rsid w:val="77DF59D2"/>
    <w:rsid w:val="7BC316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7"/>
    <w:uiPriority w:val="99"/>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oter Char"/>
    <w:basedOn w:val="5"/>
    <w:link w:val="3"/>
    <w:semiHidden/>
    <w:qFormat/>
    <w:uiPriority w:val="99"/>
    <w:rPr>
      <w:rFonts w:ascii="Calibri" w:hAnsi="Calibri"/>
      <w:sz w:val="18"/>
      <w:szCs w:val="18"/>
    </w:rPr>
  </w:style>
  <w:style w:type="character" w:customStyle="1" w:styleId="8">
    <w:name w:val="Header Char"/>
    <w:basedOn w:val="5"/>
    <w:link w:val="4"/>
    <w:semiHidden/>
    <w:qFormat/>
    <w:uiPriority w:val="99"/>
    <w:rPr>
      <w:rFonts w:ascii="Calibri" w:hAnsi="Calibri"/>
      <w:sz w:val="18"/>
      <w:szCs w:val="18"/>
    </w:rPr>
  </w:style>
  <w:style w:type="character" w:customStyle="1" w:styleId="9">
    <w:name w:val="font31"/>
    <w:basedOn w:val="5"/>
    <w:qFormat/>
    <w:uiPriority w:val="99"/>
    <w:rPr>
      <w:rFonts w:ascii="Arial" w:hAnsi="Arial" w:cs="Arial"/>
      <w:color w:val="000000"/>
      <w:sz w:val="16"/>
      <w:szCs w:val="16"/>
      <w:u w:val="none"/>
    </w:rPr>
  </w:style>
  <w:style w:type="character" w:customStyle="1" w:styleId="10">
    <w:name w:val="font01"/>
    <w:basedOn w:val="5"/>
    <w:qFormat/>
    <w:uiPriority w:val="99"/>
    <w:rPr>
      <w:rFonts w:ascii="Arial" w:hAnsi="Arial" w:cs="Arial"/>
      <w:color w:val="000000"/>
      <w:sz w:val="16"/>
      <w:szCs w:val="16"/>
      <w:u w:val="none"/>
    </w:rPr>
  </w:style>
  <w:style w:type="character" w:customStyle="1" w:styleId="11">
    <w:name w:val="font41"/>
    <w:basedOn w:val="5"/>
    <w:qFormat/>
    <w:uiPriority w:val="99"/>
    <w:rPr>
      <w:rFonts w:ascii="宋体" w:hAnsi="宋体" w:eastAsia="宋体" w:cs="宋体"/>
      <w:color w:val="000000"/>
      <w:sz w:val="16"/>
      <w:szCs w:val="16"/>
      <w:u w:val="none"/>
    </w:rPr>
  </w:style>
  <w:style w:type="character" w:customStyle="1" w:styleId="12">
    <w:name w:val="Balloon Text Char"/>
    <w:basedOn w:val="5"/>
    <w:link w:val="2"/>
    <w:semiHidden/>
    <w:qFormat/>
    <w:uiPriority w:val="99"/>
    <w:rPr>
      <w:rFonts w:ascii="Calibri" w:hAnsi="Calibri"/>
      <w:sz w:val="0"/>
      <w:szCs w:val="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21</Pages>
  <Words>1378</Words>
  <Characters>7857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右手很孤单</cp:lastModifiedBy>
  <cp:lastPrinted>2018-01-23T00:36:01Z</cp:lastPrinted>
  <dcterms:modified xsi:type="dcterms:W3CDTF">2018-01-23T05:57:46Z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