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right="100"/>
        <w:jc w:val="left"/>
        <w:rPr>
          <w:rFonts w:hint="eastAsia" w:ascii="黑体" w:hAnsi="宋体" w:eastAsia="黑体" w:cs="宋体"/>
          <w:color w:val="000000"/>
          <w:kern w:val="0"/>
          <w:sz w:val="32"/>
          <w:szCs w:val="32"/>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罗山县安监局</w:t>
      </w:r>
    </w:p>
    <w:p>
      <w:pPr>
        <w:jc w:val="center"/>
        <w:rPr>
          <w:rFonts w:hint="eastAsia" w:ascii="黑体" w:hAnsi="黑体" w:eastAsia="黑体" w:cs="黑体"/>
          <w:sz w:val="52"/>
          <w:szCs w:val="52"/>
        </w:rPr>
      </w:pPr>
      <w:r>
        <w:rPr>
          <w:rFonts w:hint="eastAsia" w:ascii="黑体" w:hAnsi="黑体" w:eastAsia="黑体" w:cs="黑体"/>
          <w:sz w:val="52"/>
          <w:szCs w:val="52"/>
        </w:rPr>
        <w:t>2017年度部门决算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罗山县安监</w:t>
      </w:r>
      <w:r>
        <w:rPr>
          <w:rFonts w:hint="eastAsia" w:ascii="黑体" w:hAnsi="黑体" w:eastAsia="黑体" w:cs="黑体"/>
          <w:sz w:val="32"/>
          <w:szCs w:val="32"/>
        </w:rPr>
        <w:t>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主要职责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部门决算单位构成</w:t>
      </w:r>
    </w:p>
    <w:p>
      <w:pPr>
        <w:jc w:val="left"/>
        <w:rPr>
          <w:rFonts w:hint="eastAsia"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罗山县安监</w:t>
      </w:r>
      <w:r>
        <w:rPr>
          <w:rFonts w:hint="eastAsia" w:ascii="黑体" w:hAnsi="黑体" w:eastAsia="黑体" w:cs="黑体"/>
          <w:sz w:val="32"/>
          <w:szCs w:val="32"/>
        </w:rPr>
        <w:t>局2017年度部门决算情况说明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十、其他重要事项情况说明</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罗山县安监</w:t>
      </w:r>
      <w:r>
        <w:rPr>
          <w:rFonts w:hint="eastAsia" w:ascii="黑体" w:hAnsi="黑体" w:eastAsia="黑体" w:cs="黑体"/>
          <w:sz w:val="32"/>
          <w:szCs w:val="32"/>
        </w:rPr>
        <w:t>局部门决算名词解释</w:t>
      </w:r>
    </w:p>
    <w:p>
      <w:pPr>
        <w:jc w:val="left"/>
        <w:rPr>
          <w:rFonts w:hint="eastAsia" w:ascii="黑体" w:hAnsi="黑体" w:eastAsia="黑体" w:cs="黑体"/>
          <w:sz w:val="32"/>
          <w:szCs w:val="32"/>
          <w:lang w:val="en-US" w:eastAsia="zh-CN"/>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lang w:eastAsia="zh-CN"/>
        </w:rPr>
        <w:t>第四部分</w:t>
      </w:r>
      <w:r>
        <w:rPr>
          <w:rFonts w:hint="eastAsia" w:ascii="黑体" w:hAnsi="黑体" w:eastAsia="黑体" w:cs="黑体"/>
          <w:sz w:val="32"/>
          <w:szCs w:val="32"/>
          <w:lang w:val="en-US" w:eastAsia="zh-CN"/>
        </w:rPr>
        <w:t xml:space="preserve">    罗山县安监局2017年度部门决算表</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center"/>
        <w:rPr>
          <w:rFonts w:hint="eastAsia" w:ascii="黑体" w:hAnsi="宋体" w:eastAsia="黑体" w:cs="宋体"/>
          <w:color w:val="000000"/>
          <w:kern w:val="0"/>
          <w:sz w:val="28"/>
          <w:szCs w:val="28"/>
        </w:rPr>
      </w:pPr>
      <w:r>
        <w:rPr>
          <w:rFonts w:hint="eastAsia" w:ascii="黑体" w:hAnsi="黑体" w:eastAsia="黑体" w:cs="黑体"/>
          <w:sz w:val="48"/>
          <w:szCs w:val="48"/>
        </w:rPr>
        <w:t>第一部分　　</w:t>
      </w:r>
      <w:r>
        <w:rPr>
          <w:rFonts w:hint="eastAsia" w:ascii="黑体" w:hAnsi="黑体" w:eastAsia="黑体" w:cs="黑体"/>
          <w:sz w:val="48"/>
          <w:szCs w:val="48"/>
          <w:lang w:eastAsia="zh-CN"/>
        </w:rPr>
        <w:t>罗山县安监</w:t>
      </w:r>
      <w:r>
        <w:rPr>
          <w:rFonts w:hint="eastAsia" w:ascii="黑体" w:hAnsi="黑体" w:eastAsia="黑体" w:cs="黑体"/>
          <w:sz w:val="48"/>
          <w:szCs w:val="48"/>
        </w:rPr>
        <w:t>局概况</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一、主要职责</w:t>
      </w:r>
    </w:p>
    <w:p>
      <w:pPr>
        <w:widowControl/>
        <w:shd w:val="clear" w:color="auto" w:fill="FFFFFF"/>
        <w:spacing w:line="480" w:lineRule="atLeast"/>
        <w:ind w:firstLine="640"/>
        <w:jc w:val="left"/>
        <w:rPr>
          <w:rFonts w:ascii="仿宋" w:hAnsi="仿宋" w:eastAsia="仿宋" w:cs="仿宋"/>
          <w:color w:val="3D3D3D"/>
          <w:sz w:val="32"/>
          <w:szCs w:val="32"/>
        </w:rPr>
      </w:pPr>
      <w:r>
        <w:rPr>
          <w:rFonts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rPr>
        <w:t>、单位主要职责。</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一）贯彻执行国家和省市有关安全生产的法律法规和方针政策，综合协调全县安全生产工作，分析预测全县安全生产形势，发布全县安全生产信息，负责安全生产新闻宣传报道，及时报告和协调解决安全生产中的重大问题。</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（二）承担全县安全生产综合监督管理责任，依法行使综合监督管理职权</w:t>
      </w:r>
      <w:r>
        <w:rPr>
          <w:rFonts w:ascii="仿宋" w:hAnsi="仿宋" w:eastAsia="仿宋" w:cs="仿宋"/>
          <w:color w:val="484848"/>
          <w:kern w:val="0"/>
          <w:sz w:val="32"/>
          <w:szCs w:val="32"/>
          <w:shd w:val="clear" w:color="auto" w:fill="FFFFFF"/>
        </w:rPr>
        <w:t>, </w:t>
      </w:r>
      <w:r>
        <w:rPr>
          <w:rFonts w:hint="eastAsia" w:ascii="仿宋" w:hAnsi="仿宋" w:eastAsia="仿宋" w:cs="仿宋"/>
          <w:color w:val="484848"/>
          <w:kern w:val="0"/>
          <w:sz w:val="32"/>
          <w:szCs w:val="32"/>
          <w:shd w:val="clear" w:color="auto" w:fill="FFFFFF"/>
        </w:rPr>
        <w:t>指导协调、监督检查县政府有关部门和乡镇人民政府安全生产工作，监督考核并通报安全生产控制指标执行情况，监督事故查处和责任追究落实情况。</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（三）承担全县非煤矿山、危险化学品、烟花爆竹安全生产监督管理工作，依法组织并指导监督实施安全生产准入制度，负责监督检查职责范围内新建、改建、扩建工程项目安全设施的设计审查和竣工验收。</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（四）承担工矿商贸作业场所职业卫生监督检查职责，组织查处职业危害事故和违法违规行为。</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（五）指导全县工矿商贸企业安全生产标准化工作，负责重大危险源监控和安全生产隐患排查治理监督检查工作。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（六）负责组织全县安全生产检查和专项督查，依法组织一般事故调查处理和办理结案，参与较大以上事故的调查处理工作。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（七）组织协调安全生产应急救援工作，负责全县生产安全监控网络系统建设和管理。</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（八）组织监督全县工矿商贸生产经营单位主要负责人、安全管理人员、特种作业人员（特种设备作业人员除外）的教育培训工作。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（九）负责全县安全生产行政执法工作，承担全县生产安全伤亡事故统计分析工作。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（十）指导协调全县安全生产检测检验工作，监督管理安全生产社会中介机构和安全评价工作。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（十一）承担县安全生产委员会办公室的具体工作。</w:t>
      </w:r>
    </w:p>
    <w:p>
      <w:pPr>
        <w:widowControl/>
        <w:shd w:val="clear" w:color="auto" w:fill="FFFFFF"/>
        <w:spacing w:line="600" w:lineRule="atLeast"/>
        <w:ind w:firstLine="640"/>
        <w:jc w:val="left"/>
        <w:rPr>
          <w:rFonts w:ascii="仿宋" w:hAnsi="仿宋" w:eastAsia="仿宋" w:cs="仿宋"/>
          <w:color w:val="484848"/>
          <w:sz w:val="32"/>
          <w:szCs w:val="32"/>
        </w:rPr>
      </w:pPr>
      <w:r>
        <w:rPr>
          <w:rFonts w:hint="eastAsia" w:ascii="仿宋" w:hAnsi="仿宋" w:eastAsia="仿宋" w:cs="仿宋"/>
          <w:color w:val="484848"/>
          <w:kern w:val="0"/>
          <w:sz w:val="32"/>
          <w:szCs w:val="32"/>
          <w:shd w:val="clear" w:color="auto" w:fill="FFFFFF"/>
        </w:rPr>
        <w:t>（十二）承办县委、县政府和上级业务主管部门交办的其他事项。</w:t>
      </w:r>
    </w:p>
    <w:p>
      <w:pPr>
        <w:widowControl/>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罗山县安监局由局本级及</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w:t>
      </w:r>
      <w:r>
        <w:rPr>
          <w:rFonts w:hint="eastAsia" w:ascii="仿宋_GB2312" w:hAnsi="仿宋_GB2312" w:eastAsia="仿宋_GB2312" w:cs="仿宋_GB2312"/>
          <w:color w:val="000000"/>
          <w:kern w:val="0"/>
          <w:sz w:val="32"/>
          <w:szCs w:val="32"/>
          <w:lang w:eastAsia="zh-CN"/>
        </w:rPr>
        <w:t>二级机构构成。</w:t>
      </w:r>
      <w:r>
        <w:rPr>
          <w:rFonts w:hint="eastAsia" w:ascii="仿宋_GB2312" w:hAnsi="仿宋_GB2312" w:eastAsia="仿宋_GB2312" w:cs="仿宋_GB2312"/>
          <w:color w:val="000000"/>
          <w:kern w:val="0"/>
          <w:sz w:val="32"/>
          <w:szCs w:val="32"/>
        </w:rPr>
        <w:t>本决算为汇总决算，纳入本部门2017年度部门决算编报范围的预算单位包括</w:t>
      </w:r>
      <w:r>
        <w:rPr>
          <w:rFonts w:hint="eastAsia" w:ascii="仿宋_GB2312" w:hAnsi="仿宋_GB2312" w:eastAsia="仿宋_GB2312" w:cs="仿宋_GB2312"/>
          <w:color w:val="000000"/>
          <w:kern w:val="0"/>
          <w:sz w:val="32"/>
          <w:szCs w:val="32"/>
          <w:lang w:eastAsia="zh-CN"/>
        </w:rPr>
        <w:t>罗山县安监局</w:t>
      </w:r>
      <w:r>
        <w:rPr>
          <w:rFonts w:hint="eastAsia" w:ascii="仿宋_GB2312" w:hAnsi="仿宋_GB2312" w:eastAsia="仿宋_GB2312" w:cs="仿宋_GB2312"/>
          <w:color w:val="000000"/>
          <w:kern w:val="0"/>
          <w:sz w:val="32"/>
          <w:szCs w:val="32"/>
        </w:rPr>
        <w:t>局本级、所属</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个二级单位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具体单位名单如下：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930" w:type="dxa"/>
            <w:vAlign w:val="top"/>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6930" w:type="dxa"/>
            <w:vAlign w:val="top"/>
          </w:tcPr>
          <w:p>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罗山县安监局</w:t>
            </w:r>
            <w:r>
              <w:rPr>
                <w:rFonts w:hint="eastAsia" w:ascii="宋体" w:hAnsi="宋体" w:cs="宋体"/>
                <w:color w:val="000000"/>
                <w:kern w:val="0"/>
                <w:sz w:val="28"/>
                <w:szCs w:val="28"/>
              </w:rPr>
              <w:t>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6930" w:type="dxa"/>
            <w:vAlign w:val="top"/>
          </w:tcPr>
          <w:p>
            <w:pPr>
              <w:widowControl/>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罗山县安全生产监察大队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widowControl/>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w:t>
            </w:r>
          </w:p>
        </w:tc>
        <w:tc>
          <w:tcPr>
            <w:tcW w:w="6930" w:type="dxa"/>
            <w:vAlign w:val="top"/>
          </w:tcPr>
          <w:p>
            <w:pPr>
              <w:widowControl/>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罗山县安全生产应急救援指挥中心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widowControl/>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w:t>
            </w:r>
          </w:p>
        </w:tc>
        <w:tc>
          <w:tcPr>
            <w:tcW w:w="6930" w:type="dxa"/>
            <w:vAlign w:val="top"/>
          </w:tcPr>
          <w:p>
            <w:pPr>
              <w:widowControl/>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罗山县定远石材专业园区安全生产监督管理站</w:t>
            </w:r>
          </w:p>
        </w:tc>
      </w:tr>
    </w:tbl>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w:t>
      </w:r>
    </w:p>
    <w:p>
      <w:pPr>
        <w:jc w:val="center"/>
        <w:rPr>
          <w:rFonts w:hint="eastAsia" w:ascii="黑体" w:hAnsi="黑体" w:eastAsia="黑体" w:cs="黑体"/>
          <w:sz w:val="48"/>
          <w:szCs w:val="48"/>
        </w:rPr>
      </w:pPr>
      <w:r>
        <w:rPr>
          <w:rFonts w:hint="eastAsia" w:ascii="黑体" w:hAnsi="黑体" w:eastAsia="黑体" w:cs="黑体"/>
          <w:sz w:val="48"/>
          <w:szCs w:val="48"/>
          <w:lang w:eastAsia="zh-CN"/>
        </w:rPr>
        <w:t>罗山县安监</w:t>
      </w:r>
      <w:r>
        <w:rPr>
          <w:rFonts w:hint="eastAsia" w:ascii="黑体" w:hAnsi="黑体" w:eastAsia="黑体" w:cs="黑体"/>
          <w:sz w:val="48"/>
          <w:szCs w:val="48"/>
        </w:rPr>
        <w:t>局</w:t>
      </w:r>
    </w:p>
    <w:p>
      <w:pPr>
        <w:widowControl/>
        <w:jc w:val="center"/>
        <w:rPr>
          <w:rFonts w:hint="eastAsia" w:ascii="黑体" w:hAnsi="黑体" w:eastAsia="黑体" w:cs="黑体"/>
          <w:sz w:val="48"/>
          <w:szCs w:val="48"/>
        </w:rPr>
      </w:pPr>
      <w:r>
        <w:rPr>
          <w:rFonts w:hint="eastAsia" w:ascii="黑体" w:hAnsi="黑体" w:eastAsia="黑体" w:cs="黑体"/>
          <w:sz w:val="48"/>
          <w:szCs w:val="48"/>
        </w:rPr>
        <w:t>2017年度部门决算情况说明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2017年度收入总计</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万元，与2016年相比，收、支总计各增加</w:t>
      </w:r>
      <w:r>
        <w:rPr>
          <w:rFonts w:hint="eastAsia" w:ascii="仿宋_GB2312" w:hAnsi="仿宋_GB2312" w:eastAsia="仿宋_GB2312" w:cs="仿宋_GB2312"/>
          <w:sz w:val="32"/>
          <w:szCs w:val="32"/>
          <w:lang w:val="en-US" w:eastAsia="zh-CN"/>
        </w:rPr>
        <w:t>120.03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sz w:val="32"/>
          <w:szCs w:val="32"/>
        </w:rPr>
        <w:t>%。收入变动的主要原因是：</w:t>
      </w:r>
      <w:r>
        <w:rPr>
          <w:rFonts w:hint="eastAsia" w:ascii="仿宋_GB2312" w:hAnsi="仿宋_GB2312" w:eastAsia="仿宋_GB2312" w:cs="仿宋_GB2312"/>
          <w:sz w:val="32"/>
          <w:szCs w:val="32"/>
          <w:lang w:eastAsia="zh-CN"/>
        </w:rPr>
        <w:t>财政拨款增加</w:t>
      </w:r>
      <w:r>
        <w:rPr>
          <w:rFonts w:hint="eastAsia" w:ascii="仿宋_GB2312" w:hAnsi="仿宋_GB2312" w:eastAsia="仿宋_GB2312" w:cs="仿宋_GB2312"/>
          <w:sz w:val="32"/>
          <w:szCs w:val="32"/>
        </w:rPr>
        <w:t>。支出变动的主要原因：</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2017年度收入合计</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三、关于支出决算情况说明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2017年度支出合计</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2017年财政拨款收支总决算</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万元。与2016年相比，财政拨款收、支总计各增加</w:t>
      </w:r>
      <w:r>
        <w:rPr>
          <w:rFonts w:hint="eastAsia" w:ascii="仿宋_GB2312" w:hAnsi="仿宋_GB2312" w:eastAsia="仿宋_GB2312" w:cs="仿宋_GB2312"/>
          <w:sz w:val="32"/>
          <w:szCs w:val="32"/>
          <w:lang w:val="en-US" w:eastAsia="zh-CN"/>
        </w:rPr>
        <w:t>120.07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%。变动的主要原因：</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2017年一般公共预算财政拨款支出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%。与2016年相比，一般公共预算财政拨款支出增加</w:t>
      </w:r>
      <w:r>
        <w:rPr>
          <w:rFonts w:hint="eastAsia" w:ascii="仿宋_GB2312" w:hAnsi="仿宋_GB2312" w:eastAsia="仿宋_GB2312" w:cs="仿宋_GB2312"/>
          <w:sz w:val="32"/>
          <w:szCs w:val="32"/>
          <w:lang w:val="en-US" w:eastAsia="zh-CN"/>
        </w:rPr>
        <w:t>120.07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%。变动的主要原因：</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。其中：</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1．一般公共服务（类）财政事务（款）行政运行（项）。年初预算为</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%。决算数大于预算数的主要原因是</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2017年一般公共预算财政拨款基本支出</w:t>
      </w:r>
      <w:r>
        <w:rPr>
          <w:rFonts w:hint="eastAsia" w:ascii="仿宋_GB2312" w:hAnsi="仿宋_GB2312" w:eastAsia="仿宋_GB2312" w:cs="仿宋_GB2312"/>
          <w:sz w:val="32"/>
          <w:szCs w:val="32"/>
          <w:lang w:val="en-US" w:eastAsia="zh-CN"/>
        </w:rPr>
        <w:t>339.87</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281.44</w:t>
      </w:r>
      <w:r>
        <w:rPr>
          <w:rFonts w:hint="eastAsia" w:ascii="仿宋_GB2312" w:hAnsi="仿宋_GB2312" w:eastAsia="仿宋_GB2312" w:cs="仿宋_GB2312"/>
          <w:sz w:val="32"/>
          <w:szCs w:val="32"/>
        </w:rPr>
        <w:t>万元，主要包括：基本工资、津贴补贴、绩效工资</w:t>
      </w:r>
      <w:r>
        <w:rPr>
          <w:rFonts w:hint="eastAsia" w:ascii="仿宋_GB2312" w:hAnsi="仿宋_GB2312" w:eastAsia="仿宋_GB2312" w:cs="仿宋_GB2312"/>
          <w:sz w:val="32"/>
          <w:szCs w:val="32"/>
          <w:lang w:eastAsia="zh-CN"/>
        </w:rPr>
        <w:t>机关养老保险、其他工资福利支出等</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46.35</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eastAsia="zh-CN"/>
        </w:rPr>
        <w:t>、差旅费、公务接待费、公务用车维护运行费和其他商品服务支出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其他资本性支出</w:t>
      </w:r>
      <w:r>
        <w:rPr>
          <w:rFonts w:hint="eastAsia" w:ascii="仿宋_GB2312" w:hAnsi="仿宋_GB2312" w:eastAsia="仿宋_GB2312" w:cs="仿宋_GB2312"/>
          <w:sz w:val="32"/>
          <w:szCs w:val="32"/>
          <w:lang w:val="en-US" w:eastAsia="zh-CN"/>
        </w:rPr>
        <w:t>12.08万元，主要包括专项设备购置。</w:t>
      </w:r>
      <w:r>
        <w:rPr>
          <w:rFonts w:hint="eastAsia" w:ascii="仿宋_GB2312" w:hAnsi="仿宋_GB2312" w:eastAsia="仿宋_GB2312" w:cs="仿宋_GB2312"/>
          <w:sz w:val="32"/>
          <w:szCs w:val="32"/>
        </w:rPr>
        <w:t>与2016年相比，一般公共预算财政拨款基本支出增加</w:t>
      </w:r>
      <w:r>
        <w:rPr>
          <w:rFonts w:hint="eastAsia" w:ascii="仿宋_GB2312" w:hAnsi="仿宋_GB2312" w:eastAsia="仿宋_GB2312" w:cs="仿宋_GB2312"/>
          <w:sz w:val="32"/>
          <w:szCs w:val="32"/>
          <w:lang w:val="en-US" w:eastAsia="zh-CN"/>
        </w:rPr>
        <w:t>120.07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%。变动的主要原因：</w:t>
      </w:r>
      <w:r>
        <w:rPr>
          <w:rFonts w:hint="eastAsia" w:ascii="仿宋_GB2312" w:hAnsi="仿宋_GB2312" w:eastAsia="仿宋_GB2312" w:cs="仿宋_GB2312"/>
          <w:sz w:val="32"/>
          <w:szCs w:val="32"/>
          <w:lang w:eastAsia="zh-CN"/>
        </w:rPr>
        <w:t>工作人员增加、工资上涨，车补等费用的兑现落实</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16.41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86.37</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因公出国（境）费支出；公务用车购置及运行费支出决算为</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94.96</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81.42</w:t>
      </w:r>
      <w:r>
        <w:rPr>
          <w:rFonts w:hint="eastAsia" w:ascii="仿宋_GB2312" w:hAnsi="仿宋_GB2312" w:eastAsia="仿宋_GB2312" w:cs="仿宋_GB2312"/>
          <w:sz w:val="32"/>
          <w:szCs w:val="32"/>
        </w:rPr>
        <w:t>%。2017年度“三公”经费支出决算数与预算数存在差异的主要原因是</w:t>
      </w:r>
      <w:r>
        <w:rPr>
          <w:rFonts w:hint="eastAsia" w:ascii="仿宋_GB2312" w:hAnsi="仿宋_GB2312" w:eastAsia="仿宋_GB2312" w:cs="仿宋_GB2312"/>
          <w:sz w:val="32"/>
          <w:szCs w:val="32"/>
          <w:lang w:eastAsia="zh-CN"/>
        </w:rPr>
        <w:t>车辆减少、公务用车次数减少等</w:t>
      </w:r>
      <w:r>
        <w:rPr>
          <w:rFonts w:hint="eastAsia" w:ascii="仿宋_GB2312" w:hAnsi="仿宋_GB2312" w:eastAsia="仿宋_GB2312" w:cs="仿宋_GB2312"/>
          <w:sz w:val="32"/>
          <w:szCs w:val="32"/>
        </w:rPr>
        <w:t>。</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2017年度“三公”经费财政拨款支出决算数比201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8.07</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因公出国（境）费支出决算增加（减少）；公务用车购置及运行费支出决算减少</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17.82</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无增减变化</w:t>
      </w:r>
      <w:r>
        <w:rPr>
          <w:rFonts w:hint="eastAsia" w:ascii="仿宋_GB2312" w:hAnsi="仿宋_GB2312" w:eastAsia="仿宋_GB2312" w:cs="仿宋_GB2312"/>
          <w:sz w:val="32"/>
          <w:szCs w:val="32"/>
        </w:rPr>
        <w:t>。公务用车购置及运行费支出减少的主要原因是</w:t>
      </w:r>
      <w:r>
        <w:rPr>
          <w:rFonts w:hint="eastAsia" w:ascii="仿宋_GB2312" w:hAnsi="仿宋_GB2312" w:eastAsia="仿宋_GB2312" w:cs="仿宋_GB2312"/>
          <w:sz w:val="32"/>
          <w:szCs w:val="32"/>
          <w:lang w:eastAsia="zh-CN"/>
        </w:rPr>
        <w:t>车辆减少、公务用车次数减少等</w:t>
      </w:r>
      <w:r>
        <w:rPr>
          <w:rFonts w:hint="eastAsia" w:ascii="仿宋_GB2312" w:hAnsi="仿宋_GB2312" w:eastAsia="仿宋_GB2312" w:cs="仿宋_GB2312"/>
          <w:sz w:val="32"/>
          <w:szCs w:val="32"/>
        </w:rPr>
        <w:t>。</w:t>
      </w:r>
    </w:p>
    <w:p>
      <w:pPr>
        <w:widowControl/>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因公出国（境）费支出；公务用车购置及运行费支出决算</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40.46</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59.54</w:t>
      </w:r>
      <w:r>
        <w:rPr>
          <w:rFonts w:hint="eastAsia" w:ascii="仿宋_GB2312" w:hAnsi="仿宋_GB2312" w:eastAsia="仿宋_GB2312" w:cs="仿宋_GB2312"/>
          <w:sz w:val="32"/>
          <w:szCs w:val="32"/>
        </w:rPr>
        <w:t>%。具体情况如下：</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．公务用车购置及运行费支出</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万元。其中：</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公务用车购置支出。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公务车的运行及公务车的维修维护</w:t>
      </w:r>
      <w:r>
        <w:rPr>
          <w:rFonts w:hint="eastAsia" w:ascii="仿宋_GB2312" w:hAnsi="仿宋_GB2312" w:eastAsia="仿宋_GB2312" w:cs="仿宋_GB2312"/>
          <w:sz w:val="32"/>
          <w:szCs w:val="32"/>
        </w:rPr>
        <w:t>。2017年期末，部门财政拨款公务用车保有量为</w:t>
      </w:r>
      <w:r>
        <w:rPr>
          <w:rFonts w:hint="eastAsia" w:ascii="仿宋_GB2312" w:hAnsi="仿宋_GB2312" w:eastAsia="仿宋_GB2312" w:cs="仿宋_GB2312"/>
          <w:sz w:val="32"/>
          <w:szCs w:val="32"/>
          <w:lang w:val="en-US" w:eastAsia="zh-CN"/>
        </w:rPr>
        <w:t>2辆</w:t>
      </w:r>
      <w:r>
        <w:rPr>
          <w:rFonts w:hint="eastAsia" w:ascii="仿宋_GB2312" w:hAnsi="仿宋_GB2312" w:eastAsia="仿宋_GB2312" w:cs="仿宋_GB2312"/>
          <w:sz w:val="32"/>
          <w:szCs w:val="32"/>
        </w:rPr>
        <w:t>。</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上级检查、同级交流学习等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罗山县安监局</w:t>
      </w:r>
      <w:r>
        <w:rPr>
          <w:rFonts w:hint="eastAsia" w:ascii="仿宋_GB2312" w:hAnsi="仿宋_GB2312" w:eastAsia="仿宋_GB2312" w:cs="仿宋_GB2312"/>
          <w:sz w:val="32"/>
          <w:szCs w:val="32"/>
        </w:rPr>
        <w:t>2017年度共接待国内来访团组</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个、来访人员</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rPr>
        <w:t>人次（不包括陪同人员）。</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八、关于预算绩效情况说明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2017年罗山县安监局未实行绩效管理制度，绩效管理制度在研究讨论阶段。</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（二）项目绩效自评结果。</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未开展此项工作，</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w:t>
      </w:r>
      <w:r>
        <w:rPr>
          <w:rFonts w:hint="eastAsia" w:ascii="仿宋_GB2312" w:hAnsi="仿宋_GB2312" w:eastAsia="仿宋_GB2312" w:cs="仿宋_GB2312"/>
          <w:sz w:val="32"/>
          <w:szCs w:val="32"/>
          <w:lang w:eastAsia="zh-CN"/>
        </w:rPr>
        <w:t>罗山县安监局无</w:t>
      </w:r>
      <w:r>
        <w:rPr>
          <w:rFonts w:hint="eastAsia" w:ascii="仿宋_GB2312" w:hAnsi="仿宋_GB2312" w:eastAsia="仿宋_GB2312" w:cs="仿宋_GB2312"/>
          <w:sz w:val="32"/>
          <w:szCs w:val="32"/>
        </w:rPr>
        <w:t>政府性基金预算财政拨款支出</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2017年度机关运行经费支出</w:t>
      </w:r>
      <w:r>
        <w:rPr>
          <w:rFonts w:hint="eastAsia" w:ascii="仿宋_GB2312" w:hAnsi="仿宋_GB2312" w:eastAsia="仿宋_GB2312" w:cs="仿宋_GB2312"/>
          <w:sz w:val="32"/>
          <w:szCs w:val="32"/>
          <w:lang w:val="en-US" w:eastAsia="zh-CN"/>
        </w:rPr>
        <w:t>46.35</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4.08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rPr>
        <w:t>%。变动的主要原因是：</w:t>
      </w:r>
      <w:r>
        <w:rPr>
          <w:rFonts w:hint="eastAsia" w:ascii="仿宋_GB2312" w:hAnsi="仿宋_GB2312" w:eastAsia="仿宋_GB2312" w:cs="仿宋_GB2312"/>
          <w:sz w:val="32"/>
          <w:szCs w:val="32"/>
          <w:lang w:eastAsia="zh-CN"/>
        </w:rPr>
        <w:t>公务用车次数的减少、公务车辆的减少、办公费的减少等</w:t>
      </w:r>
      <w:r>
        <w:rPr>
          <w:rFonts w:hint="eastAsia" w:ascii="仿宋_GB2312" w:hAnsi="仿宋_GB2312" w:eastAsia="仿宋_GB2312" w:cs="仿宋_GB2312"/>
          <w:sz w:val="32"/>
          <w:szCs w:val="32"/>
        </w:rPr>
        <w:t>。</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2017年度政府采购支出总额</w:t>
      </w:r>
      <w:r>
        <w:rPr>
          <w:rFonts w:hint="eastAsia" w:ascii="仿宋_GB2312" w:hAnsi="仿宋_GB2312" w:eastAsia="仿宋_GB2312" w:cs="仿宋_GB2312"/>
          <w:sz w:val="32"/>
          <w:szCs w:val="32"/>
          <w:lang w:val="en-US" w:eastAsia="zh-CN"/>
        </w:rPr>
        <w:t>12.08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12.08</w:t>
      </w:r>
      <w:r>
        <w:rPr>
          <w:rFonts w:hint="eastAsia" w:ascii="仿宋_GB2312" w:hAnsi="仿宋_GB2312" w:eastAsia="仿宋_GB2312" w:cs="仿宋_GB2312"/>
          <w:sz w:val="32"/>
          <w:szCs w:val="32"/>
        </w:rPr>
        <w:t>万元。</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（三）国有资产占用情况。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2017年期末，</w:t>
      </w:r>
      <w:r>
        <w:rPr>
          <w:rFonts w:hint="eastAsia" w:ascii="仿宋_GB2312" w:hAnsi="仿宋_GB2312" w:eastAsia="仿宋_GB2312" w:cs="仿宋_GB2312"/>
          <w:sz w:val="32"/>
          <w:szCs w:val="32"/>
          <w:lang w:eastAsia="zh-CN"/>
        </w:rPr>
        <w:t>罗山县安监</w:t>
      </w:r>
      <w:r>
        <w:rPr>
          <w:rFonts w:hint="eastAsia" w:ascii="仿宋_GB2312" w:hAnsi="仿宋_GB2312" w:eastAsia="仿宋_GB2312" w:cs="仿宋_GB2312"/>
          <w:sz w:val="32"/>
          <w:szCs w:val="32"/>
        </w:rPr>
        <w:t>局共有车辆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w:t>
      </w:r>
      <w:r>
        <w:rPr>
          <w:rFonts w:hint="eastAsia" w:ascii="黑体" w:hAnsi="黑体" w:eastAsia="黑体" w:cs="黑体"/>
          <w:sz w:val="48"/>
          <w:szCs w:val="48"/>
          <w:lang w:eastAsia="zh-CN"/>
        </w:rPr>
        <w:t>罗山县安监</w:t>
      </w:r>
      <w:r>
        <w:rPr>
          <w:rFonts w:hint="eastAsia" w:ascii="黑体" w:hAnsi="黑体" w:eastAsia="黑体" w:cs="黑体"/>
          <w:sz w:val="48"/>
          <w:szCs w:val="48"/>
        </w:rPr>
        <w:t>局</w:t>
      </w:r>
    </w:p>
    <w:p>
      <w:pPr>
        <w:jc w:val="center"/>
        <w:outlineLvl w:val="0"/>
        <w:rPr>
          <w:rFonts w:hint="eastAsia" w:ascii="黑体" w:hAnsi="黑体" w:eastAsia="黑体" w:cs="黑体"/>
          <w:sz w:val="48"/>
          <w:szCs w:val="48"/>
        </w:rPr>
      </w:pPr>
      <w:r>
        <w:rPr>
          <w:rFonts w:hint="eastAsia" w:ascii="黑体" w:hAnsi="黑体" w:eastAsia="黑体" w:cs="黑体"/>
          <w:sz w:val="48"/>
          <w:szCs w:val="48"/>
        </w:rPr>
        <w:t>部门决算名词解释</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jc w:val="left"/>
        <w:rPr>
          <w:rFonts w:hint="eastAsia" w:ascii="黑体" w:hAnsi="黑体" w:eastAsia="黑体" w:cs="黑体"/>
          <w:sz w:val="32"/>
          <w:szCs w:val="32"/>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rPr>
        <w:t>第四部分</w:t>
      </w:r>
      <w:r>
        <w:rPr>
          <w:rFonts w:hint="eastAsia" w:ascii="黑体" w:hAnsi="黑体" w:eastAsia="黑体" w:cs="黑体"/>
          <w:sz w:val="48"/>
          <w:szCs w:val="48"/>
          <w:lang w:val="en-US" w:eastAsia="zh-CN"/>
        </w:rPr>
        <w:t xml:space="preserve">  罗山县安监局</w:t>
      </w:r>
    </w:p>
    <w:p>
      <w:pPr>
        <w:jc w:val="center"/>
        <w:rPr>
          <w:rFonts w:hint="eastAsia" w:ascii="黑体" w:hAnsi="黑体" w:eastAsia="黑体" w:cs="黑体"/>
          <w:sz w:val="48"/>
          <w:szCs w:val="48"/>
        </w:rPr>
      </w:pPr>
      <w:r>
        <w:rPr>
          <w:rFonts w:hint="eastAsia" w:ascii="黑体" w:hAnsi="黑体" w:eastAsia="黑体" w:cs="黑体"/>
          <w:sz w:val="48"/>
          <w:szCs w:val="48"/>
        </w:rPr>
        <w:t>2017年度部门决算表</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tbl>
      <w:tblPr>
        <w:tblStyle w:val="4"/>
        <w:tblW w:w="13983" w:type="dxa"/>
        <w:tblInd w:w="0" w:type="dxa"/>
        <w:tblLayout w:type="fixed"/>
        <w:tblCellMar>
          <w:top w:w="15" w:type="dxa"/>
          <w:left w:w="15" w:type="dxa"/>
          <w:bottom w:w="15" w:type="dxa"/>
          <w:right w:w="15" w:type="dxa"/>
        </w:tblCellMar>
      </w:tblPr>
      <w:tblGrid>
        <w:gridCol w:w="3268"/>
        <w:gridCol w:w="487"/>
        <w:gridCol w:w="3214"/>
        <w:gridCol w:w="3267"/>
        <w:gridCol w:w="488"/>
        <w:gridCol w:w="3259"/>
      </w:tblGrid>
      <w:tr>
        <w:tblPrEx>
          <w:tblLayout w:type="fixed"/>
          <w:tblCellMar>
            <w:top w:w="15" w:type="dxa"/>
            <w:left w:w="15" w:type="dxa"/>
            <w:bottom w:w="15" w:type="dxa"/>
            <w:right w:w="15" w:type="dxa"/>
          </w:tblCellMar>
        </w:tblPrEx>
        <w:trPr>
          <w:trHeight w:val="540" w:hRule="atLeast"/>
        </w:trPr>
        <w:tc>
          <w:tcPr>
            <w:tcW w:w="13983" w:type="dxa"/>
            <w:gridSpan w:val="6"/>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收入支出决算表</w:t>
            </w:r>
          </w:p>
        </w:tc>
      </w:tr>
      <w:tr>
        <w:tblPrEx>
          <w:tblLayout w:type="fixed"/>
          <w:tblCellMar>
            <w:top w:w="15" w:type="dxa"/>
            <w:left w:w="15" w:type="dxa"/>
            <w:bottom w:w="15" w:type="dxa"/>
            <w:right w:w="15" w:type="dxa"/>
          </w:tblCellMar>
        </w:tblPrEx>
        <w:trPr>
          <w:trHeight w:val="285" w:hRule="atLeast"/>
        </w:trPr>
        <w:tc>
          <w:tcPr>
            <w:tcW w:w="3268" w:type="dxa"/>
            <w:shd w:val="clear" w:color="auto" w:fill="auto"/>
            <w:vAlign w:val="bottom"/>
          </w:tcPr>
          <w:p>
            <w:pPr>
              <w:rPr>
                <w:rFonts w:hint="eastAsia" w:ascii="Arial" w:hAnsi="Arial" w:cs="Arial"/>
                <w:color w:val="000000"/>
                <w:sz w:val="20"/>
                <w:szCs w:val="20"/>
              </w:rPr>
            </w:pPr>
          </w:p>
        </w:tc>
        <w:tc>
          <w:tcPr>
            <w:tcW w:w="487" w:type="dxa"/>
            <w:shd w:val="clear" w:color="auto" w:fill="auto"/>
            <w:vAlign w:val="bottom"/>
          </w:tcPr>
          <w:p>
            <w:pPr>
              <w:rPr>
                <w:rFonts w:ascii="Arial" w:hAnsi="Arial" w:cs="Arial"/>
                <w:color w:val="000000"/>
                <w:sz w:val="20"/>
                <w:szCs w:val="20"/>
              </w:rPr>
            </w:pPr>
          </w:p>
        </w:tc>
        <w:tc>
          <w:tcPr>
            <w:tcW w:w="3214" w:type="dxa"/>
            <w:shd w:val="clear" w:color="auto" w:fill="auto"/>
            <w:vAlign w:val="bottom"/>
          </w:tcPr>
          <w:p>
            <w:pPr>
              <w:rPr>
                <w:rFonts w:ascii="Arial" w:hAnsi="Arial" w:cs="Arial"/>
                <w:color w:val="000000"/>
                <w:sz w:val="20"/>
                <w:szCs w:val="20"/>
              </w:rPr>
            </w:pP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Layout w:type="fixed"/>
          <w:tblCellMar>
            <w:top w:w="15" w:type="dxa"/>
            <w:left w:w="15" w:type="dxa"/>
            <w:bottom w:w="15" w:type="dxa"/>
            <w:right w:w="15" w:type="dxa"/>
          </w:tblCellMar>
        </w:tblPrEx>
        <w:trPr>
          <w:trHeight w:val="285" w:hRule="atLeast"/>
        </w:trPr>
        <w:tc>
          <w:tcPr>
            <w:tcW w:w="6969" w:type="dxa"/>
            <w:gridSpan w:val="3"/>
            <w:shd w:val="clear" w:color="auto" w:fill="FFFFFF"/>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69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88"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一、财政拨款收入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其中：政府性基金预算财政拨款</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二、上级补助收入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三、事业收入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四、经营收入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五、附属单位上缴收入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六、其他收入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用事业基金弥补收支差额</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年初结转和结余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经营结余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r>
      <w:tr>
        <w:tblPrEx>
          <w:tblLayout w:type="fixed"/>
          <w:tblCellMar>
            <w:top w:w="15" w:type="dxa"/>
            <w:left w:w="15" w:type="dxa"/>
            <w:bottom w:w="15" w:type="dxa"/>
            <w:right w:w="15" w:type="dxa"/>
          </w:tblCellMar>
        </w:tblPrEx>
        <w:trPr>
          <w:trHeight w:val="300" w:hRule="atLeast"/>
        </w:trPr>
        <w:tc>
          <w:tcPr>
            <w:tcW w:w="13983" w:type="dxa"/>
            <w:gridSpan w:val="6"/>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注：本表反映部门本年度的总收支和年末结转结余情况。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7" w:type="dxa"/>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hint="eastAsia" w:ascii="Arial" w:hAnsi="Arial" w:cs="Arial"/>
                <w:color w:val="000000"/>
                <w:sz w:val="20"/>
                <w:szCs w:val="20"/>
              </w:rPr>
            </w:pPr>
          </w:p>
        </w:tc>
        <w:tc>
          <w:tcPr>
            <w:tcW w:w="977" w:type="dxa"/>
            <w:gridSpan w:val="3"/>
            <w:vAlign w:val="bottom"/>
          </w:tcPr>
          <w:p>
            <w:pPr>
              <w:rPr>
                <w:rFonts w:ascii="Arial" w:hAnsi="Arial" w:cs="Arial"/>
                <w:color w:val="000000"/>
                <w:sz w:val="20"/>
                <w:szCs w:val="20"/>
              </w:rPr>
            </w:pPr>
          </w:p>
        </w:tc>
        <w:tc>
          <w:tcPr>
            <w:tcW w:w="978" w:type="dxa"/>
            <w:vAlign w:val="bottom"/>
          </w:tcPr>
          <w:p>
            <w:pPr>
              <w:rPr>
                <w:rFonts w:ascii="Arial" w:hAnsi="Arial" w:cs="Arial"/>
                <w:color w:val="000000"/>
                <w:sz w:val="20"/>
                <w:szCs w:val="20"/>
              </w:rPr>
            </w:pPr>
          </w:p>
        </w:tc>
        <w:tc>
          <w:tcPr>
            <w:tcW w:w="2166" w:type="dxa"/>
            <w:vAlign w:val="bottom"/>
          </w:tcPr>
          <w:p>
            <w:pPr>
              <w:rPr>
                <w:rFonts w:ascii="Arial" w:hAnsi="Arial" w:cs="Arial"/>
                <w:color w:val="000000"/>
                <w:sz w:val="20"/>
                <w:szCs w:val="20"/>
              </w:rPr>
            </w:pP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注：本表反映部门本年度取得的各项收入情况。</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8" w:type="dxa"/>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hint="eastAsia" w:ascii="Arial" w:hAnsi="Arial" w:cs="Arial"/>
                <w:color w:val="000000"/>
                <w:sz w:val="20"/>
                <w:szCs w:val="20"/>
              </w:rPr>
            </w:pPr>
          </w:p>
        </w:tc>
        <w:tc>
          <w:tcPr>
            <w:tcW w:w="1051" w:type="dxa"/>
            <w:gridSpan w:val="3"/>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2311" w:type="dxa"/>
            <w:vAlign w:val="bottom"/>
          </w:tcPr>
          <w:p>
            <w:pPr>
              <w:rPr>
                <w:rFonts w:ascii="Arial" w:hAnsi="Arial" w:cs="Arial"/>
                <w:color w:val="000000"/>
                <w:sz w:val="20"/>
                <w:szCs w:val="20"/>
              </w:rPr>
            </w:pP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Layout w:type="fixed"/>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注：本表反映部门本年度各项支出情况。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2" w:type="dxa"/>
        <w:tblInd w:w="0"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blPrEx>
          <w:tblLayout w:type="fixed"/>
          <w:tblCellMar>
            <w:top w:w="15" w:type="dxa"/>
            <w:left w:w="15" w:type="dxa"/>
            <w:bottom w:w="15" w:type="dxa"/>
            <w:right w:w="15" w:type="dxa"/>
          </w:tblCellMar>
        </w:tblPrEx>
        <w:trPr>
          <w:trHeight w:val="540" w:hRule="atLeast"/>
        </w:trPr>
        <w:tc>
          <w:tcPr>
            <w:tcW w:w="13982" w:type="dxa"/>
            <w:gridSpan w:val="12"/>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shd w:val="clear" w:color="auto" w:fill="auto"/>
            <w:vAlign w:val="bottom"/>
          </w:tcPr>
          <w:p>
            <w:pPr>
              <w:rPr>
                <w:rFonts w:hint="eastAsia" w:ascii="Arial" w:hAnsi="Arial" w:cs="Arial"/>
                <w:color w:val="000000"/>
                <w:sz w:val="20"/>
                <w:szCs w:val="20"/>
              </w:rPr>
            </w:pPr>
          </w:p>
        </w:tc>
        <w:tc>
          <w:tcPr>
            <w:tcW w:w="2252" w:type="dxa"/>
            <w:gridSpan w:val="3"/>
            <w:shd w:val="clear" w:color="auto" w:fill="auto"/>
            <w:vAlign w:val="bottom"/>
          </w:tcPr>
          <w:p>
            <w:pPr>
              <w:rPr>
                <w:rFonts w:ascii="Arial" w:hAnsi="Arial" w:cs="Arial"/>
                <w:color w:val="000000"/>
                <w:sz w:val="20"/>
                <w:szCs w:val="20"/>
              </w:rPr>
            </w:pPr>
          </w:p>
        </w:tc>
        <w:tc>
          <w:tcPr>
            <w:tcW w:w="996" w:type="dxa"/>
            <w:shd w:val="clear" w:color="auto" w:fill="auto"/>
            <w:vAlign w:val="bottom"/>
          </w:tcPr>
          <w:p>
            <w:pPr>
              <w:rPr>
                <w:rFonts w:ascii="Arial" w:hAnsi="Arial" w:cs="Arial"/>
                <w:color w:val="000000"/>
                <w:sz w:val="20"/>
                <w:szCs w:val="20"/>
              </w:rPr>
            </w:pPr>
          </w:p>
        </w:tc>
        <w:tc>
          <w:tcPr>
            <w:tcW w:w="3556" w:type="dxa"/>
            <w:gridSpan w:val="2"/>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shd w:val="clear" w:color="auto" w:fill="auto"/>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Layout w:type="fixed"/>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996" w:type="dxa"/>
            <w:shd w:val="clear" w:color="auto" w:fill="auto"/>
            <w:vAlign w:val="bottom"/>
          </w:tcPr>
          <w:p>
            <w:pPr>
              <w:rPr>
                <w:rFonts w:ascii="Arial" w:hAnsi="Arial" w:cs="Arial"/>
                <w:color w:val="000000"/>
                <w:sz w:val="20"/>
                <w:szCs w:val="20"/>
              </w:rPr>
            </w:pPr>
          </w:p>
        </w:tc>
        <w:tc>
          <w:tcPr>
            <w:tcW w:w="3556" w:type="dxa"/>
            <w:gridSpan w:val="2"/>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shd w:val="clear" w:color="auto" w:fill="auto"/>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Layout w:type="fixed"/>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r>
      <w:tr>
        <w:tblPrEx>
          <w:tblLayout w:type="fixed"/>
          <w:tblCellMar>
            <w:top w:w="15" w:type="dxa"/>
            <w:left w:w="15" w:type="dxa"/>
            <w:bottom w:w="15" w:type="dxa"/>
            <w:right w:w="15" w:type="dxa"/>
          </w:tblCellMar>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07"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70"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339.87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注：本表反映部门本年度一般公共预算财政拨款和政府性基金预算财政拨款的总收支和年末结转结余情况。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7" w:type="dxa"/>
        <w:tblInd w:w="0" w:type="dxa"/>
        <w:tblLayout w:type="fixed"/>
        <w:tblCellMar>
          <w:top w:w="15" w:type="dxa"/>
          <w:left w:w="15" w:type="dxa"/>
          <w:bottom w:w="15" w:type="dxa"/>
          <w:right w:w="15" w:type="dxa"/>
        </w:tblCellMar>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tblPrEx>
          <w:tblLayout w:type="fixed"/>
          <w:tblCellMar>
            <w:top w:w="15" w:type="dxa"/>
            <w:left w:w="15" w:type="dxa"/>
            <w:bottom w:w="15" w:type="dxa"/>
            <w:right w:w="15" w:type="dxa"/>
          </w:tblCellMar>
        </w:tblPrEx>
        <w:trPr>
          <w:trHeight w:val="540" w:hRule="atLeast"/>
        </w:trPr>
        <w:tc>
          <w:tcPr>
            <w:tcW w:w="13987" w:type="dxa"/>
            <w:gridSpan w:val="23"/>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hint="eastAsia" w:ascii="Arial" w:hAnsi="Arial" w:cs="Arial"/>
                <w:color w:val="000000"/>
                <w:sz w:val="20"/>
                <w:szCs w:val="20"/>
              </w:rPr>
            </w:pPr>
          </w:p>
        </w:tc>
        <w:tc>
          <w:tcPr>
            <w:tcW w:w="607" w:type="dxa"/>
            <w:gridSpan w:val="3"/>
            <w:vAlign w:val="bottom"/>
          </w:tcPr>
          <w:p>
            <w:pPr>
              <w:rPr>
                <w:rFonts w:ascii="Arial" w:hAnsi="Arial" w:cs="Arial"/>
                <w:color w:val="000000"/>
                <w:sz w:val="20"/>
                <w:szCs w:val="20"/>
              </w:rPr>
            </w:pPr>
          </w:p>
        </w:tc>
        <w:tc>
          <w:tcPr>
            <w:tcW w:w="607" w:type="dxa"/>
            <w:vAlign w:val="bottom"/>
          </w:tcPr>
          <w:p>
            <w:pPr>
              <w:rPr>
                <w:rFonts w:ascii="Arial" w:hAnsi="Arial" w:cs="Arial"/>
                <w:color w:val="000000"/>
                <w:sz w:val="20"/>
                <w:szCs w:val="20"/>
              </w:rPr>
            </w:pPr>
          </w:p>
        </w:tc>
        <w:tc>
          <w:tcPr>
            <w:tcW w:w="1625" w:type="dxa"/>
            <w:vAlign w:val="bottom"/>
          </w:tcPr>
          <w:p>
            <w:pPr>
              <w:rPr>
                <w:rFonts w:ascii="Arial" w:hAnsi="Arial" w:cs="Arial"/>
                <w:color w:val="000000"/>
                <w:sz w:val="20"/>
                <w:szCs w:val="20"/>
              </w:rPr>
            </w:pP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Layout w:type="fixed"/>
          <w:tblCellMar>
            <w:top w:w="15" w:type="dxa"/>
            <w:left w:w="15" w:type="dxa"/>
            <w:bottom w:w="15" w:type="dxa"/>
            <w:right w:w="15" w:type="dxa"/>
          </w:tblCellMar>
        </w:tblPrEx>
        <w:trPr>
          <w:trHeight w:val="285" w:hRule="atLeast"/>
        </w:trPr>
        <w:tc>
          <w:tcPr>
            <w:tcW w:w="3091" w:type="dxa"/>
            <w:gridSpan w:val="6"/>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85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232"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6"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286"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287"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286"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8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8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339.87</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社会保障和就业支出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9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行政事业单位离退休</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 xml:space="preserve">  机关事业单位基本养老保险缴费支出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34.91</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34.91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资源勘探信息等支出</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21506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安全生产监管</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2150601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rPr>
              <w:t xml:space="preserve">  行政运行</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lang w:val="en-US" w:eastAsia="zh-CN"/>
              </w:rPr>
              <w:t>304.96</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23"/>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注：本表反映部门本年度一般公共预算财政拨款实际支出情况。</w:t>
            </w:r>
          </w:p>
        </w:tc>
      </w:tr>
      <w:tr>
        <w:tblPrEx>
          <w:tblLayout w:type="fixed"/>
          <w:tblCellMar>
            <w:top w:w="15" w:type="dxa"/>
            <w:left w:w="15" w:type="dxa"/>
            <w:bottom w:w="15" w:type="dxa"/>
            <w:right w:w="15" w:type="dxa"/>
          </w:tblCellMar>
        </w:tblPrEx>
        <w:trPr>
          <w:trHeight w:val="300" w:hRule="atLeast"/>
        </w:trPr>
        <w:tc>
          <w:tcPr>
            <w:tcW w:w="13987" w:type="dxa"/>
            <w:gridSpan w:val="23"/>
            <w:shd w:val="clear" w:color="auto" w:fill="FFFFFF"/>
            <w:vAlign w:val="center"/>
          </w:tcPr>
          <w:p>
            <w:pPr>
              <w:widowControl/>
              <w:jc w:val="left"/>
              <w:textAlignment w:val="center"/>
              <w:rPr>
                <w:rFonts w:hint="eastAsia" w:ascii="宋体" w:hAnsi="宋体" w:cs="宋体"/>
                <w:color w:val="000000"/>
                <w:kern w:val="0"/>
                <w:sz w:val="22"/>
                <w:lang w:bidi="ar"/>
              </w:rPr>
            </w:pPr>
          </w:p>
        </w:tc>
      </w:tr>
      <w:tr>
        <w:tblPrEx>
          <w:tblLayout w:type="fixed"/>
          <w:tblCellMar>
            <w:top w:w="15" w:type="dxa"/>
            <w:left w:w="15" w:type="dxa"/>
            <w:bottom w:w="15" w:type="dxa"/>
            <w:right w:w="15" w:type="dxa"/>
          </w:tblCellMar>
        </w:tblPrEx>
        <w:trPr>
          <w:trHeight w:val="300" w:hRule="atLeast"/>
        </w:trPr>
        <w:tc>
          <w:tcPr>
            <w:tcW w:w="13987" w:type="dxa"/>
            <w:gridSpan w:val="23"/>
            <w:shd w:val="clear" w:color="auto" w:fill="FFFFFF"/>
            <w:vAlign w:val="center"/>
          </w:tcPr>
          <w:p>
            <w:pPr>
              <w:widowControl/>
              <w:jc w:val="left"/>
              <w:textAlignment w:val="center"/>
              <w:rPr>
                <w:rFonts w:hint="eastAsia" w:ascii="宋体" w:hAnsi="宋体" w:cs="宋体"/>
                <w:color w:val="000000"/>
                <w:kern w:val="0"/>
                <w:sz w:val="22"/>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8" w:type="dxa"/>
        <w:tblInd w:w="0" w:type="dxa"/>
        <w:tblLayout w:type="fixed"/>
        <w:tblCellMar>
          <w:top w:w="15" w:type="dxa"/>
          <w:left w:w="15" w:type="dxa"/>
          <w:bottom w:w="15" w:type="dxa"/>
          <w:right w:w="15" w:type="dxa"/>
        </w:tblCellMar>
      </w:tblPr>
      <w:tblGrid>
        <w:gridCol w:w="582"/>
        <w:gridCol w:w="2666"/>
        <w:gridCol w:w="1454"/>
        <w:gridCol w:w="441"/>
        <w:gridCol w:w="165"/>
        <w:gridCol w:w="2501"/>
        <w:gridCol w:w="1313"/>
        <w:gridCol w:w="109"/>
        <w:gridCol w:w="473"/>
        <w:gridCol w:w="132"/>
        <w:gridCol w:w="2534"/>
        <w:gridCol w:w="178"/>
        <w:gridCol w:w="1440"/>
      </w:tblGrid>
      <w:tr>
        <w:tblPrEx>
          <w:tblLayout w:type="fixed"/>
          <w:tblCellMar>
            <w:top w:w="15" w:type="dxa"/>
            <w:left w:w="15" w:type="dxa"/>
            <w:bottom w:w="15" w:type="dxa"/>
            <w:right w:w="15" w:type="dxa"/>
          </w:tblCellMar>
        </w:tblPrEx>
        <w:trPr>
          <w:trHeight w:val="540" w:hRule="atLeast"/>
        </w:trPr>
        <w:tc>
          <w:tcPr>
            <w:tcW w:w="13988" w:type="dxa"/>
            <w:gridSpan w:val="13"/>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582" w:type="dxa"/>
            <w:shd w:val="clear" w:color="auto" w:fill="auto"/>
            <w:vAlign w:val="bottom"/>
          </w:tcPr>
          <w:p>
            <w:pPr>
              <w:rPr>
                <w:rFonts w:hint="eastAsia" w:ascii="Arial" w:hAnsi="Arial" w:cs="Arial"/>
                <w:color w:val="000000"/>
                <w:sz w:val="20"/>
                <w:szCs w:val="20"/>
              </w:rPr>
            </w:pPr>
          </w:p>
        </w:tc>
        <w:tc>
          <w:tcPr>
            <w:tcW w:w="2666" w:type="dxa"/>
            <w:shd w:val="clear" w:color="auto" w:fill="auto"/>
            <w:vAlign w:val="bottom"/>
          </w:tcPr>
          <w:p>
            <w:pPr>
              <w:rPr>
                <w:rFonts w:ascii="Arial" w:hAnsi="Arial" w:cs="Arial"/>
                <w:color w:val="000000"/>
                <w:sz w:val="20"/>
                <w:szCs w:val="20"/>
              </w:rPr>
            </w:pPr>
          </w:p>
        </w:tc>
        <w:tc>
          <w:tcPr>
            <w:tcW w:w="1454" w:type="dxa"/>
            <w:shd w:val="clear" w:color="auto" w:fill="auto"/>
            <w:vAlign w:val="bottom"/>
          </w:tcPr>
          <w:p>
            <w:pPr>
              <w:rPr>
                <w:rFonts w:ascii="Arial" w:hAnsi="Arial" w:cs="Arial"/>
                <w:color w:val="000000"/>
                <w:sz w:val="20"/>
                <w:szCs w:val="20"/>
              </w:rPr>
            </w:pPr>
          </w:p>
        </w:tc>
        <w:tc>
          <w:tcPr>
            <w:tcW w:w="441" w:type="dxa"/>
            <w:shd w:val="clear" w:color="auto" w:fill="auto"/>
            <w:vAlign w:val="bottom"/>
          </w:tcPr>
          <w:p>
            <w:pPr>
              <w:rPr>
                <w:rFonts w:ascii="Arial" w:hAnsi="Arial" w:cs="Arial"/>
                <w:color w:val="000000"/>
                <w:sz w:val="20"/>
                <w:szCs w:val="20"/>
              </w:rPr>
            </w:pPr>
          </w:p>
        </w:tc>
        <w:tc>
          <w:tcPr>
            <w:tcW w:w="2666" w:type="dxa"/>
            <w:gridSpan w:val="2"/>
            <w:shd w:val="clear" w:color="auto" w:fill="auto"/>
            <w:vAlign w:val="bottom"/>
          </w:tcPr>
          <w:p>
            <w:pPr>
              <w:rPr>
                <w:rFonts w:ascii="Arial" w:hAnsi="Arial" w:cs="Arial"/>
                <w:color w:val="000000"/>
                <w:sz w:val="20"/>
                <w:szCs w:val="20"/>
              </w:rPr>
            </w:pPr>
          </w:p>
        </w:tc>
        <w:tc>
          <w:tcPr>
            <w:tcW w:w="1313" w:type="dxa"/>
            <w:shd w:val="clear" w:color="auto" w:fill="auto"/>
            <w:vAlign w:val="bottom"/>
          </w:tcPr>
          <w:p>
            <w:pPr>
              <w:rPr>
                <w:rFonts w:ascii="Arial" w:hAnsi="Arial" w:cs="Arial"/>
                <w:color w:val="000000"/>
                <w:sz w:val="20"/>
                <w:szCs w:val="20"/>
              </w:rPr>
            </w:pPr>
          </w:p>
        </w:tc>
        <w:tc>
          <w:tcPr>
            <w:tcW w:w="582" w:type="dxa"/>
            <w:gridSpan w:val="2"/>
            <w:shd w:val="clear" w:color="auto" w:fill="auto"/>
            <w:vAlign w:val="bottom"/>
          </w:tcPr>
          <w:p>
            <w:pPr>
              <w:rPr>
                <w:rFonts w:ascii="Arial" w:hAnsi="Arial" w:cs="Arial"/>
                <w:color w:val="000000"/>
                <w:sz w:val="20"/>
                <w:szCs w:val="20"/>
              </w:rPr>
            </w:pPr>
          </w:p>
        </w:tc>
        <w:tc>
          <w:tcPr>
            <w:tcW w:w="2666" w:type="dxa"/>
            <w:gridSpan w:val="2"/>
            <w:shd w:val="clear" w:color="auto" w:fill="auto"/>
            <w:vAlign w:val="bottom"/>
          </w:tcPr>
          <w:p>
            <w:pPr>
              <w:rPr>
                <w:rFonts w:ascii="Arial" w:hAnsi="Arial" w:cs="Arial"/>
                <w:color w:val="000000"/>
                <w:sz w:val="20"/>
                <w:szCs w:val="20"/>
              </w:rPr>
            </w:pPr>
          </w:p>
        </w:tc>
        <w:tc>
          <w:tcPr>
            <w:tcW w:w="1618" w:type="dxa"/>
            <w:gridSpan w:val="2"/>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Layout w:type="fixed"/>
          <w:tblCellMar>
            <w:top w:w="15" w:type="dxa"/>
            <w:left w:w="15" w:type="dxa"/>
            <w:bottom w:w="15" w:type="dxa"/>
            <w:right w:w="15" w:type="dxa"/>
          </w:tblCellMar>
        </w:tblPrEx>
        <w:trPr>
          <w:trHeight w:val="285" w:hRule="atLeast"/>
        </w:trPr>
        <w:tc>
          <w:tcPr>
            <w:tcW w:w="3248" w:type="dxa"/>
            <w:gridSpan w:val="2"/>
            <w:tcBorders>
              <w:bottom w:val="single" w:color="auto"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1454" w:type="dxa"/>
            <w:tcBorders>
              <w:bottom w:val="single" w:color="auto" w:sz="4" w:space="0"/>
            </w:tcBorders>
            <w:shd w:val="clear" w:color="auto" w:fill="auto"/>
            <w:vAlign w:val="bottom"/>
          </w:tcPr>
          <w:p>
            <w:pPr>
              <w:rPr>
                <w:rFonts w:ascii="Arial" w:hAnsi="Arial" w:cs="Arial"/>
                <w:color w:val="000000"/>
                <w:sz w:val="20"/>
                <w:szCs w:val="20"/>
              </w:rPr>
            </w:pPr>
          </w:p>
        </w:tc>
        <w:tc>
          <w:tcPr>
            <w:tcW w:w="441" w:type="dxa"/>
            <w:tcBorders>
              <w:bottom w:val="single" w:color="auto" w:sz="4" w:space="0"/>
            </w:tcBorders>
            <w:shd w:val="clear" w:color="auto" w:fill="auto"/>
            <w:vAlign w:val="bottom"/>
          </w:tcPr>
          <w:p>
            <w:pPr>
              <w:rPr>
                <w:rFonts w:ascii="Arial" w:hAnsi="Arial" w:cs="Arial"/>
                <w:color w:val="000000"/>
                <w:sz w:val="20"/>
                <w:szCs w:val="20"/>
              </w:rPr>
            </w:pPr>
          </w:p>
        </w:tc>
        <w:tc>
          <w:tcPr>
            <w:tcW w:w="2666"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313" w:type="dxa"/>
            <w:tcBorders>
              <w:bottom w:val="single" w:color="auto" w:sz="4" w:space="0"/>
            </w:tcBorders>
            <w:shd w:val="clear" w:color="auto" w:fill="auto"/>
            <w:vAlign w:val="bottom"/>
          </w:tcPr>
          <w:p>
            <w:pPr>
              <w:rPr>
                <w:rFonts w:ascii="Arial" w:hAnsi="Arial" w:cs="Arial"/>
                <w:color w:val="000000"/>
                <w:sz w:val="20"/>
                <w:szCs w:val="20"/>
              </w:rPr>
            </w:pPr>
          </w:p>
        </w:tc>
        <w:tc>
          <w:tcPr>
            <w:tcW w:w="582"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2666"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618" w:type="dxa"/>
            <w:gridSpan w:val="2"/>
            <w:tcBorders>
              <w:bottom w:val="single" w:color="auto" w:sz="4" w:space="0"/>
            </w:tcBorders>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4702"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9286"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Layout w:type="fixed"/>
          <w:tblCellMar>
            <w:top w:w="15" w:type="dxa"/>
            <w:left w:w="15" w:type="dxa"/>
            <w:bottom w:w="15" w:type="dxa"/>
            <w:right w:w="15" w:type="dxa"/>
          </w:tblCellMar>
        </w:tblPrEx>
        <w:trPr>
          <w:trHeight w:val="312"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66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54"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606"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501"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2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60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7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Layout w:type="fixed"/>
          <w:tblCellMar>
            <w:top w:w="15" w:type="dxa"/>
            <w:left w:w="15" w:type="dxa"/>
            <w:bottom w:w="15" w:type="dxa"/>
            <w:right w:w="15" w:type="dxa"/>
          </w:tblCellMar>
        </w:tblPrEx>
        <w:trPr>
          <w:trHeight w:val="312"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666"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54"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606"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501"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2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60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71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基本工资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147.08</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办公费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8.85</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12.08</w:t>
            </w: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津补贴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48.52</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差旅费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12.32</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养老保险费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34.91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公务接待费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9.77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lang w:eastAsia="zh-CN"/>
              </w:rPr>
            </w:pPr>
            <w:r>
              <w:rPr>
                <w:rFonts w:hint="eastAsia" w:ascii="宋体" w:hAnsi="宋体" w:cs="宋体"/>
                <w:color w:val="000000"/>
                <w:sz w:val="22"/>
                <w:lang w:eastAsia="zh-CN"/>
              </w:rPr>
              <w:t>其他工资福利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lang w:val="en-US" w:eastAsia="zh-CN"/>
              </w:rPr>
            </w:pPr>
            <w:r>
              <w:rPr>
                <w:rFonts w:hint="eastAsia" w:ascii="宋体" w:hAnsi="宋体" w:cs="宋体"/>
                <w:color w:val="000000"/>
                <w:sz w:val="22"/>
                <w:lang w:val="en-US" w:eastAsia="zh-CN"/>
              </w:rPr>
              <w:t>50.93</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公车运行维护费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6.64</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lang w:eastAsia="zh-CN"/>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lang w:val="en-US" w:eastAsia="zh-CN"/>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其他商品服务费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8.77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4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7846"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8" w:type="dxa"/>
            <w:gridSpan w:val="13"/>
            <w:tcBorders>
              <w:top w:val="single" w:color="auto"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4"/>
        <w:tblW w:w="13988" w:type="dxa"/>
        <w:tblInd w:w="0" w:type="dxa"/>
        <w:tblLayout w:type="fixed"/>
        <w:tblCellMar>
          <w:top w:w="15" w:type="dxa"/>
          <w:left w:w="15" w:type="dxa"/>
          <w:bottom w:w="15" w:type="dxa"/>
          <w:right w:w="15" w:type="dxa"/>
        </w:tblCellMar>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s="黑体"/>
                <w:color w:val="000000"/>
                <w:sz w:val="28"/>
                <w:szCs w:val="28"/>
              </w:rPr>
            </w:pPr>
            <w:r>
              <w:rPr>
                <w:rFonts w:hint="eastAsia" w:ascii="宋体" w:hAnsi="宋体" w:cs="宋体"/>
                <w:color w:val="000000"/>
                <w:kern w:val="0"/>
                <w:sz w:val="44"/>
                <w:szCs w:val="44"/>
                <w:lang w:bidi="ar"/>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379" w:type="dxa"/>
            <w:gridSpan w:val="2"/>
            <w:vAlign w:val="center"/>
          </w:tcPr>
          <w:p>
            <w:pPr>
              <w:rPr>
                <w:rFonts w:hint="eastAsia" w:ascii="宋体" w:hAnsi="宋体" w:cs="宋体"/>
                <w:color w:val="000000"/>
                <w:sz w:val="20"/>
                <w:szCs w:val="20"/>
              </w:rPr>
            </w:pPr>
          </w:p>
        </w:tc>
        <w:tc>
          <w:tcPr>
            <w:tcW w:w="863" w:type="dxa"/>
            <w:gridSpan w:val="2"/>
            <w:vAlign w:val="center"/>
          </w:tcPr>
          <w:p>
            <w:pPr>
              <w:rPr>
                <w:rFonts w:hint="eastAsia" w:ascii="宋体" w:hAnsi="宋体" w:cs="宋体"/>
                <w:color w:val="000000"/>
                <w:sz w:val="20"/>
                <w:szCs w:val="20"/>
              </w:rPr>
            </w:pPr>
          </w:p>
        </w:tc>
        <w:tc>
          <w:tcPr>
            <w:tcW w:w="839" w:type="dxa"/>
            <w:gridSpan w:val="2"/>
            <w:vAlign w:val="center"/>
          </w:tcPr>
          <w:p>
            <w:pPr>
              <w:rPr>
                <w:rFonts w:hint="eastAsia" w:ascii="宋体" w:hAnsi="宋体" w:cs="宋体"/>
                <w:color w:val="000000"/>
                <w:sz w:val="20"/>
                <w:szCs w:val="20"/>
              </w:rPr>
            </w:pPr>
          </w:p>
        </w:tc>
        <w:tc>
          <w:tcPr>
            <w:tcW w:w="840" w:type="dxa"/>
            <w:gridSpan w:val="2"/>
            <w:vAlign w:val="center"/>
          </w:tcPr>
          <w:p>
            <w:pPr>
              <w:rPr>
                <w:rFonts w:hint="eastAsia" w:ascii="宋体" w:hAnsi="宋体" w:cs="宋体"/>
                <w:color w:val="000000"/>
                <w:sz w:val="20"/>
                <w:szCs w:val="20"/>
              </w:rPr>
            </w:pPr>
          </w:p>
        </w:tc>
        <w:tc>
          <w:tcPr>
            <w:tcW w:w="840" w:type="dxa"/>
            <w:vAlign w:val="center"/>
          </w:tcPr>
          <w:p>
            <w:pPr>
              <w:rPr>
                <w:rFonts w:hint="eastAsia" w:ascii="宋体" w:hAnsi="宋体" w:cs="宋体"/>
                <w:color w:val="000000"/>
                <w:sz w:val="20"/>
                <w:szCs w:val="20"/>
              </w:rPr>
            </w:pPr>
          </w:p>
        </w:tc>
        <w:tc>
          <w:tcPr>
            <w:tcW w:w="1323" w:type="dxa"/>
            <w:gridSpan w:val="2"/>
            <w:vAlign w:val="center"/>
          </w:tcPr>
          <w:p>
            <w:pPr>
              <w:rPr>
                <w:rFonts w:hint="eastAsia" w:ascii="宋体" w:hAnsi="宋体" w:cs="宋体"/>
                <w:color w:val="000000"/>
                <w:sz w:val="20"/>
                <w:szCs w:val="20"/>
              </w:rPr>
            </w:pPr>
          </w:p>
        </w:tc>
        <w:tc>
          <w:tcPr>
            <w:tcW w:w="679" w:type="dxa"/>
            <w:vAlign w:val="center"/>
          </w:tcPr>
          <w:p>
            <w:pPr>
              <w:rPr>
                <w:rFonts w:hint="eastAsia" w:ascii="宋体" w:hAnsi="宋体" w:cs="宋体"/>
                <w:color w:val="000000"/>
                <w:sz w:val="20"/>
                <w:szCs w:val="20"/>
              </w:rPr>
            </w:pPr>
          </w:p>
        </w:tc>
        <w:tc>
          <w:tcPr>
            <w:tcW w:w="863" w:type="dxa"/>
            <w:gridSpan w:val="2"/>
            <w:vAlign w:val="center"/>
          </w:tcPr>
          <w:p>
            <w:pPr>
              <w:rPr>
                <w:rFonts w:hint="eastAsia" w:ascii="宋体" w:hAnsi="宋体" w:cs="宋体"/>
                <w:color w:val="000000"/>
                <w:sz w:val="20"/>
                <w:szCs w:val="20"/>
              </w:rPr>
            </w:pPr>
          </w:p>
        </w:tc>
        <w:tc>
          <w:tcPr>
            <w:tcW w:w="841" w:type="dxa"/>
            <w:vAlign w:val="center"/>
          </w:tcPr>
          <w:p>
            <w:pPr>
              <w:rPr>
                <w:rFonts w:hint="eastAsia" w:ascii="宋体" w:hAnsi="宋体" w:cs="宋体"/>
                <w:color w:val="000000"/>
                <w:sz w:val="20"/>
                <w:szCs w:val="20"/>
              </w:rPr>
            </w:pPr>
          </w:p>
        </w:tc>
        <w:tc>
          <w:tcPr>
            <w:tcW w:w="840" w:type="dxa"/>
            <w:gridSpan w:val="2"/>
            <w:vAlign w:val="center"/>
          </w:tcPr>
          <w:p>
            <w:pPr>
              <w:rPr>
                <w:rFonts w:hint="eastAsia" w:ascii="宋体" w:hAnsi="宋体" w:cs="宋体"/>
                <w:color w:val="000000"/>
                <w:sz w:val="20"/>
                <w:szCs w:val="20"/>
              </w:rPr>
            </w:pPr>
          </w:p>
        </w:tc>
        <w:tc>
          <w:tcPr>
            <w:tcW w:w="841" w:type="dxa"/>
            <w:gridSpan w:val="2"/>
            <w:vAlign w:val="center"/>
          </w:tcPr>
          <w:p>
            <w:pPr>
              <w:rPr>
                <w:rFonts w:hint="eastAsia" w:ascii="宋体" w:hAnsi="宋体" w:cs="宋体"/>
                <w:color w:val="000000"/>
                <w:sz w:val="20"/>
                <w:szCs w:val="20"/>
              </w:rPr>
            </w:pPr>
          </w:p>
        </w:tc>
        <w:tc>
          <w:tcPr>
            <w:tcW w:w="2840" w:type="dxa"/>
            <w:gridSpan w:val="3"/>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Layout w:type="fixed"/>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kern w:val="0"/>
                <w:sz w:val="20"/>
                <w:szCs w:val="20"/>
                <w:lang w:eastAsia="zh-CN" w:bidi="ar"/>
              </w:rPr>
              <w:t>罗山县安全生产监督管理局</w:t>
            </w:r>
          </w:p>
        </w:tc>
        <w:tc>
          <w:tcPr>
            <w:tcW w:w="863" w:type="dxa"/>
            <w:gridSpan w:val="2"/>
            <w:tcBorders>
              <w:bottom w:val="single" w:color="auto" w:sz="4" w:space="0"/>
            </w:tcBorders>
            <w:vAlign w:val="center"/>
          </w:tcPr>
          <w:p>
            <w:pPr>
              <w:rPr>
                <w:rFonts w:hint="eastAsia" w:ascii="宋体" w:hAnsi="宋体" w:cs="宋体"/>
                <w:color w:val="000000"/>
                <w:sz w:val="20"/>
                <w:szCs w:val="20"/>
              </w:rPr>
            </w:pPr>
          </w:p>
        </w:tc>
        <w:tc>
          <w:tcPr>
            <w:tcW w:w="839" w:type="dxa"/>
            <w:gridSpan w:val="2"/>
            <w:tcBorders>
              <w:bottom w:val="single" w:color="auto" w:sz="4" w:space="0"/>
            </w:tcBorders>
            <w:vAlign w:val="center"/>
          </w:tcPr>
          <w:p>
            <w:pPr>
              <w:rPr>
                <w:rFonts w:hint="eastAsia" w:ascii="宋体" w:hAnsi="宋体" w:cs="宋体"/>
                <w:color w:val="000000"/>
                <w:sz w:val="20"/>
                <w:szCs w:val="20"/>
              </w:rPr>
            </w:pPr>
          </w:p>
        </w:tc>
        <w:tc>
          <w:tcPr>
            <w:tcW w:w="840" w:type="dxa"/>
            <w:gridSpan w:val="2"/>
            <w:tcBorders>
              <w:bottom w:val="single" w:color="auto" w:sz="4" w:space="0"/>
            </w:tcBorders>
            <w:vAlign w:val="center"/>
          </w:tcPr>
          <w:p>
            <w:pPr>
              <w:rPr>
                <w:rFonts w:hint="eastAsia" w:ascii="宋体" w:hAnsi="宋体" w:cs="宋体"/>
                <w:color w:val="000000"/>
                <w:sz w:val="20"/>
                <w:szCs w:val="20"/>
              </w:rPr>
            </w:pPr>
          </w:p>
        </w:tc>
        <w:tc>
          <w:tcPr>
            <w:tcW w:w="840" w:type="dxa"/>
            <w:tcBorders>
              <w:bottom w:val="single" w:color="auto" w:sz="4" w:space="0"/>
            </w:tcBorders>
            <w:vAlign w:val="center"/>
          </w:tcPr>
          <w:p>
            <w:pPr>
              <w:rPr>
                <w:rFonts w:hint="eastAsia" w:ascii="宋体" w:hAnsi="宋体" w:cs="宋体"/>
                <w:color w:val="000000"/>
                <w:sz w:val="20"/>
                <w:szCs w:val="20"/>
              </w:rPr>
            </w:pPr>
          </w:p>
        </w:tc>
        <w:tc>
          <w:tcPr>
            <w:tcW w:w="1323" w:type="dxa"/>
            <w:gridSpan w:val="2"/>
            <w:tcBorders>
              <w:bottom w:val="single" w:color="auto" w:sz="4" w:space="0"/>
            </w:tcBorders>
            <w:vAlign w:val="center"/>
          </w:tcPr>
          <w:p>
            <w:pPr>
              <w:rPr>
                <w:rFonts w:hint="eastAsia" w:ascii="宋体" w:hAnsi="宋体" w:cs="宋体"/>
                <w:color w:val="000000"/>
                <w:sz w:val="20"/>
                <w:szCs w:val="20"/>
              </w:rPr>
            </w:pPr>
          </w:p>
        </w:tc>
        <w:tc>
          <w:tcPr>
            <w:tcW w:w="679" w:type="dxa"/>
            <w:tcBorders>
              <w:bottom w:val="single" w:color="auto" w:sz="4" w:space="0"/>
            </w:tcBorders>
            <w:vAlign w:val="center"/>
          </w:tcPr>
          <w:p>
            <w:pPr>
              <w:rPr>
                <w:rFonts w:hint="eastAsia" w:ascii="宋体" w:hAnsi="宋体" w:cs="宋体"/>
                <w:color w:val="000000"/>
                <w:sz w:val="20"/>
                <w:szCs w:val="20"/>
              </w:rPr>
            </w:pPr>
          </w:p>
        </w:tc>
        <w:tc>
          <w:tcPr>
            <w:tcW w:w="863" w:type="dxa"/>
            <w:gridSpan w:val="2"/>
            <w:tcBorders>
              <w:bottom w:val="single" w:color="auto" w:sz="4" w:space="0"/>
            </w:tcBorders>
            <w:vAlign w:val="center"/>
          </w:tcPr>
          <w:p>
            <w:pPr>
              <w:rPr>
                <w:rFonts w:hint="eastAsia" w:ascii="宋体" w:hAnsi="宋体" w:cs="宋体"/>
                <w:color w:val="000000"/>
                <w:sz w:val="20"/>
                <w:szCs w:val="20"/>
              </w:rPr>
            </w:pPr>
          </w:p>
        </w:tc>
        <w:tc>
          <w:tcPr>
            <w:tcW w:w="841" w:type="dxa"/>
            <w:tcBorders>
              <w:bottom w:val="single" w:color="auto" w:sz="4" w:space="0"/>
            </w:tcBorders>
            <w:vAlign w:val="center"/>
          </w:tcPr>
          <w:p>
            <w:pPr>
              <w:rPr>
                <w:rFonts w:hint="eastAsia" w:ascii="宋体" w:hAnsi="宋体" w:cs="宋体"/>
                <w:color w:val="000000"/>
                <w:sz w:val="20"/>
                <w:szCs w:val="20"/>
              </w:rPr>
            </w:pPr>
          </w:p>
        </w:tc>
        <w:tc>
          <w:tcPr>
            <w:tcW w:w="840" w:type="dxa"/>
            <w:gridSpan w:val="2"/>
            <w:tcBorders>
              <w:bottom w:val="single" w:color="auto" w:sz="4" w:space="0"/>
            </w:tcBorders>
            <w:vAlign w:val="center"/>
          </w:tcPr>
          <w:p>
            <w:pPr>
              <w:rPr>
                <w:rFonts w:hint="eastAsia" w:ascii="宋体" w:hAnsi="宋体" w:cs="宋体"/>
                <w:color w:val="000000"/>
                <w:sz w:val="20"/>
                <w:szCs w:val="20"/>
              </w:rPr>
            </w:pPr>
          </w:p>
        </w:tc>
        <w:tc>
          <w:tcPr>
            <w:tcW w:w="841" w:type="dxa"/>
            <w:gridSpan w:val="2"/>
            <w:tcBorders>
              <w:bottom w:val="single" w:color="auto" w:sz="4" w:space="0"/>
            </w:tcBorders>
            <w:vAlign w:val="center"/>
          </w:tcPr>
          <w:p>
            <w:pPr>
              <w:rPr>
                <w:rFonts w:hint="eastAsia" w:ascii="宋体" w:hAnsi="宋体" w:cs="宋体"/>
                <w:color w:val="000000"/>
                <w:sz w:val="20"/>
                <w:szCs w:val="20"/>
              </w:rPr>
            </w:pPr>
          </w:p>
        </w:tc>
        <w:tc>
          <w:tcPr>
            <w:tcW w:w="2840" w:type="dxa"/>
            <w:gridSpan w:val="3"/>
            <w:tcBorders>
              <w:bottom w:val="single" w:color="auto" w:sz="4" w:space="0"/>
            </w:tcBorders>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2017年度预算数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2017年度决算数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合计</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因公出国（境）费</w:t>
            </w:r>
          </w:p>
        </w:tc>
        <w:tc>
          <w:tcPr>
            <w:tcW w:w="3402"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公务接待费</w:t>
            </w:r>
          </w:p>
        </w:tc>
      </w:tr>
      <w:tr>
        <w:tblPrEx>
          <w:tblLayout w:type="fixed"/>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19</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7</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12</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16.41</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kern w:val="0"/>
                <w:sz w:val="22"/>
                <w:lang w:bidi="ar"/>
              </w:rPr>
            </w:pP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6.64</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9.77</w:t>
            </w:r>
          </w:p>
        </w:tc>
      </w:tr>
      <w:tr>
        <w:tblPrEx>
          <w:tblLayout w:type="fixed"/>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2"/>
                <w:lang w:bidi="ar"/>
              </w:rPr>
              <w:t>注：本表反映部门本年度“三公”经费支出预决算情况。其中，2017年度预算数为“三公”经费年初预算数，决算数是包括当年一般公共预算财政拨款和以前年度结转资金安排的实际支出。</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4"/>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vAlign w:val="bottom"/>
          </w:tcPr>
          <w:p>
            <w:pPr>
              <w:rPr>
                <w:rFonts w:hint="eastAsia" w:ascii="Arial" w:hAnsi="Arial" w:cs="Arial"/>
                <w:color w:val="000000"/>
                <w:sz w:val="20"/>
                <w:szCs w:val="20"/>
              </w:rPr>
            </w:pPr>
          </w:p>
        </w:tc>
        <w:tc>
          <w:tcPr>
            <w:tcW w:w="599" w:type="dxa"/>
            <w:gridSpan w:val="3"/>
            <w:vAlign w:val="bottom"/>
          </w:tcPr>
          <w:p>
            <w:pPr>
              <w:rPr>
                <w:rFonts w:ascii="Arial" w:hAnsi="Arial" w:cs="Arial"/>
                <w:color w:val="000000"/>
                <w:sz w:val="20"/>
                <w:szCs w:val="20"/>
              </w:rPr>
            </w:pPr>
          </w:p>
        </w:tc>
        <w:tc>
          <w:tcPr>
            <w:tcW w:w="601" w:type="dxa"/>
            <w:gridSpan w:val="2"/>
            <w:vAlign w:val="bottom"/>
          </w:tcPr>
          <w:p>
            <w:pPr>
              <w:rPr>
                <w:rFonts w:ascii="Arial" w:hAnsi="Arial" w:cs="Arial"/>
                <w:color w:val="000000"/>
                <w:sz w:val="20"/>
                <w:szCs w:val="20"/>
              </w:rPr>
            </w:pPr>
          </w:p>
        </w:tc>
        <w:tc>
          <w:tcPr>
            <w:tcW w:w="2420" w:type="dxa"/>
            <w:vAlign w:val="bottom"/>
          </w:tcPr>
          <w:p>
            <w:pPr>
              <w:rPr>
                <w:rFonts w:ascii="Arial" w:hAnsi="Arial" w:cs="Arial"/>
                <w:color w:val="000000"/>
                <w:sz w:val="20"/>
                <w:szCs w:val="20"/>
              </w:rPr>
            </w:pP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罗山县安全生产监督管理局</w:t>
            </w: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注：本表反映部门本年度政府性基金预算财政拨款收入支出及结转和结余情况。</w:t>
            </w:r>
          </w:p>
          <w:p>
            <w:pPr>
              <w:widowControl/>
              <w:jc w:val="left"/>
              <w:textAlignment w:val="center"/>
              <w:rPr>
                <w:rFonts w:hint="eastAsia" w:ascii="宋体" w:hAnsi="宋体" w:cs="宋体"/>
                <w:color w:val="000000"/>
                <w:kern w:val="0"/>
                <w:sz w:val="22"/>
                <w:lang w:bidi="ar"/>
              </w:rPr>
            </w:pPr>
          </w:p>
          <w:p>
            <w:pPr>
              <w:widowControl/>
              <w:jc w:val="left"/>
              <w:textAlignment w:val="center"/>
              <w:rPr>
                <w:rFonts w:hint="eastAsia" w:ascii="宋体" w:hAnsi="宋体" w:cs="宋体"/>
                <w:color w:val="000000"/>
                <w:kern w:val="0"/>
                <w:sz w:val="22"/>
                <w:lang w:bidi="ar"/>
              </w:rPr>
            </w:pPr>
          </w:p>
          <w:p>
            <w:pPr>
              <w:widowControl/>
              <w:jc w:val="left"/>
              <w:textAlignment w:val="center"/>
              <w:rPr>
                <w:rFonts w:hint="eastAsia" w:ascii="宋体" w:hAnsi="宋体" w:cs="宋体"/>
                <w:color w:val="000000"/>
                <w:sz w:val="22"/>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p>
      <w:bookmarkStart w:id="0" w:name="_GoBack"/>
      <w:bookmarkEnd w:id="0"/>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56CD7"/>
    <w:rsid w:val="21200AC4"/>
    <w:rsid w:val="36356CD7"/>
    <w:rsid w:val="39B96363"/>
    <w:rsid w:val="51BC5B9C"/>
    <w:rsid w:val="56A1659A"/>
    <w:rsid w:val="5A6F15FF"/>
    <w:rsid w:val="687B6AB1"/>
    <w:rsid w:val="6F33023B"/>
    <w:rsid w:val="73FE1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2018-09-25T00:43:00Z</dcterms:created>
  <dc:creator>右手很孤单</dc:creator>
  <cp:lastModifiedBy>右手很孤单</cp:lastModifiedBy>
  <cp:lastPrinted>2019-02-13T00:46:14Z</cp:lastPrinted>
  <dcterms:modified xsi:type="dcterms:W3CDTF">2019-02-13T00:48:14Z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