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6" w:firstLineChars="4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eastAsia="zh-CN"/>
        </w:rPr>
        <w:t>东铺</w:t>
      </w:r>
      <w:r>
        <w:rPr>
          <w:rFonts w:hint="eastAsia" w:asciiTheme="majorEastAsia" w:hAnsiTheme="majorEastAsia" w:eastAsiaTheme="majorEastAsia" w:cstheme="majorEastAsia"/>
          <w:b/>
          <w:bCs/>
          <w:sz w:val="36"/>
          <w:szCs w:val="36"/>
        </w:rPr>
        <w:t>镇2019年</w:t>
      </w:r>
      <w:r>
        <w:rPr>
          <w:rFonts w:hint="eastAsia" w:asciiTheme="majorEastAsia" w:hAnsiTheme="majorEastAsia" w:eastAsiaTheme="majorEastAsia" w:cstheme="majorEastAsia"/>
          <w:b/>
          <w:bCs/>
          <w:sz w:val="36"/>
          <w:szCs w:val="36"/>
          <w:lang w:eastAsia="zh-CN"/>
        </w:rPr>
        <w:t>政府</w:t>
      </w:r>
      <w:r>
        <w:rPr>
          <w:rFonts w:hint="eastAsia" w:asciiTheme="majorEastAsia" w:hAnsiTheme="majorEastAsia" w:eastAsiaTheme="majorEastAsia" w:cstheme="majorEastAsia"/>
          <w:b/>
          <w:bCs/>
          <w:sz w:val="36"/>
          <w:szCs w:val="36"/>
        </w:rPr>
        <w:t>信息公开</w:t>
      </w:r>
      <w:r>
        <w:rPr>
          <w:rFonts w:hint="eastAsia" w:asciiTheme="majorEastAsia" w:hAnsiTheme="majorEastAsia" w:eastAsiaTheme="majorEastAsia" w:cstheme="majorEastAsia"/>
          <w:b/>
          <w:bCs/>
          <w:sz w:val="36"/>
          <w:szCs w:val="36"/>
          <w:lang w:eastAsia="zh-CN"/>
        </w:rPr>
        <w:t>年度报告</w:t>
      </w:r>
      <w:bookmarkStart w:id="0" w:name="_GoBack"/>
      <w:bookmarkEnd w:id="0"/>
    </w:p>
    <w:p>
      <w:pPr>
        <w:pStyle w:val="6"/>
        <w:widowControl/>
        <w:spacing w:before="0" w:beforeAutospacing="0" w:after="0" w:afterAutospacing="0" w:line="580" w:lineRule="exact"/>
        <w:ind w:firstLine="480"/>
        <w:jc w:val="both"/>
        <w:rPr>
          <w:rFonts w:hint="eastAsia" w:ascii="仿宋" w:hAnsi="仿宋" w:eastAsia="仿宋" w:cs="仿宋"/>
          <w:b/>
          <w:bCs/>
          <w:snapToGrid/>
          <w:kern w:val="2"/>
          <w:sz w:val="30"/>
          <w:szCs w:val="30"/>
          <w:lang w:val="en-US" w:eastAsia="zh-CN" w:bidi="ar-SA"/>
        </w:rPr>
      </w:pPr>
      <w:r>
        <w:rPr>
          <w:rFonts w:hint="eastAsia" w:ascii="仿宋" w:hAnsi="仿宋" w:eastAsia="仿宋" w:cs="仿宋"/>
          <w:b/>
          <w:bCs/>
          <w:snapToGrid/>
          <w:kern w:val="2"/>
          <w:sz w:val="30"/>
          <w:szCs w:val="30"/>
          <w:lang w:val="en-US" w:eastAsia="zh-CN" w:bidi="ar-SA"/>
        </w:rPr>
        <w:t>一、总体情况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2019年，</w:t>
      </w:r>
      <w:r>
        <w:rPr>
          <w:rFonts w:hint="eastAsia" w:ascii="仿宋" w:hAnsi="仿宋" w:eastAsia="仿宋" w:cs="仿宋"/>
          <w:sz w:val="30"/>
          <w:szCs w:val="30"/>
          <w:lang w:eastAsia="zh-CN"/>
        </w:rPr>
        <w:t>东铺</w:t>
      </w:r>
      <w:r>
        <w:rPr>
          <w:rFonts w:hint="eastAsia" w:ascii="仿宋" w:hAnsi="仿宋" w:eastAsia="仿宋" w:cs="仿宋"/>
          <w:sz w:val="30"/>
          <w:szCs w:val="30"/>
        </w:rPr>
        <w:t>镇在</w:t>
      </w:r>
      <w:r>
        <w:rPr>
          <w:rFonts w:hint="eastAsia" w:ascii="仿宋" w:hAnsi="仿宋" w:eastAsia="仿宋" w:cs="仿宋"/>
          <w:sz w:val="30"/>
          <w:szCs w:val="30"/>
          <w:lang w:eastAsia="zh-CN"/>
        </w:rPr>
        <w:t>县委县政府</w:t>
      </w:r>
      <w:r>
        <w:rPr>
          <w:rFonts w:hint="eastAsia" w:ascii="仿宋" w:hAnsi="仿宋" w:eastAsia="仿宋" w:cs="仿宋"/>
          <w:sz w:val="30"/>
          <w:szCs w:val="30"/>
        </w:rPr>
        <w:t>的坚强指导下，认真贯彻十九大</w:t>
      </w:r>
      <w:r>
        <w:rPr>
          <w:rFonts w:hint="eastAsia" w:ascii="仿宋" w:hAnsi="仿宋" w:eastAsia="仿宋" w:cs="仿宋"/>
          <w:sz w:val="30"/>
          <w:szCs w:val="30"/>
          <w:lang w:eastAsia="zh-CN"/>
        </w:rPr>
        <w:t>及十九届四中全会</w:t>
      </w:r>
      <w:r>
        <w:rPr>
          <w:rFonts w:hint="eastAsia" w:ascii="仿宋" w:hAnsi="仿宋" w:eastAsia="仿宋" w:cs="仿宋"/>
          <w:sz w:val="30"/>
          <w:szCs w:val="30"/>
        </w:rPr>
        <w:t>精神，根据今年</w:t>
      </w:r>
      <w:r>
        <w:rPr>
          <w:rFonts w:hint="eastAsia" w:ascii="仿宋" w:hAnsi="仿宋" w:eastAsia="仿宋" w:cs="仿宋"/>
          <w:sz w:val="30"/>
          <w:szCs w:val="30"/>
          <w:lang w:eastAsia="zh-CN"/>
        </w:rPr>
        <w:t>县</w:t>
      </w:r>
      <w:r>
        <w:rPr>
          <w:rFonts w:hint="eastAsia" w:ascii="仿宋" w:hAnsi="仿宋" w:eastAsia="仿宋" w:cs="仿宋"/>
          <w:sz w:val="30"/>
          <w:szCs w:val="30"/>
        </w:rPr>
        <w:t>政府</w:t>
      </w:r>
      <w:r>
        <w:rPr>
          <w:rFonts w:hint="eastAsia" w:ascii="仿宋" w:hAnsi="仿宋" w:eastAsia="仿宋" w:cs="仿宋"/>
          <w:sz w:val="30"/>
          <w:szCs w:val="30"/>
          <w:lang w:eastAsia="zh-CN"/>
        </w:rPr>
        <w:t>政务、</w:t>
      </w:r>
      <w:r>
        <w:rPr>
          <w:rFonts w:hint="eastAsia" w:ascii="仿宋" w:hAnsi="仿宋" w:eastAsia="仿宋" w:cs="仿宋"/>
          <w:sz w:val="30"/>
          <w:szCs w:val="30"/>
        </w:rPr>
        <w:t>信息公开工作目标，深化了公开内容，规范公开内容，规范公开程序、时间、形式，加强对政务公开的领导和督促检查力度</w:t>
      </w:r>
      <w:r>
        <w:rPr>
          <w:rFonts w:hint="eastAsia" w:ascii="仿宋" w:hAnsi="仿宋" w:eastAsia="仿宋" w:cs="仿宋"/>
          <w:sz w:val="30"/>
          <w:szCs w:val="30"/>
          <w:lang w:eastAsia="zh-CN"/>
        </w:rPr>
        <w:t>，</w:t>
      </w:r>
      <w:r>
        <w:rPr>
          <w:rFonts w:hint="eastAsia" w:ascii="仿宋" w:hAnsi="仿宋" w:eastAsia="仿宋" w:cs="仿宋"/>
          <w:sz w:val="30"/>
          <w:szCs w:val="30"/>
        </w:rPr>
        <w:t xml:space="preserve">取得了较好成效。 </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 xml:space="preserve">政务公开政府信息公开工作开展情况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2019年，我镇严格按照《中华人民共和国政府信息公开条例》规定，稳步推进政府</w:t>
      </w:r>
      <w:r>
        <w:rPr>
          <w:rFonts w:hint="eastAsia" w:ascii="仿宋" w:hAnsi="仿宋" w:eastAsia="仿宋" w:cs="仿宋"/>
          <w:sz w:val="30"/>
          <w:szCs w:val="30"/>
          <w:lang w:eastAsia="zh-CN"/>
        </w:rPr>
        <w:t>政务、</w:t>
      </w:r>
      <w:r>
        <w:rPr>
          <w:rFonts w:hint="eastAsia" w:ascii="仿宋" w:hAnsi="仿宋" w:eastAsia="仿宋" w:cs="仿宋"/>
          <w:sz w:val="30"/>
          <w:szCs w:val="30"/>
        </w:rPr>
        <w:t>信息公开工作。为保障公民、法人和其他组织依法获取政府信息，按照政府网站信息建设和政府网站信息内容建设的规定、要求，做好原创性信息的编制、加工</w:t>
      </w:r>
      <w:r>
        <w:rPr>
          <w:rFonts w:hint="eastAsia" w:ascii="仿宋" w:hAnsi="仿宋" w:eastAsia="仿宋" w:cs="仿宋"/>
          <w:sz w:val="30"/>
          <w:szCs w:val="30"/>
          <w:lang w:eastAsia="zh-CN"/>
        </w:rPr>
        <w:t>、审核</w:t>
      </w:r>
      <w:r>
        <w:rPr>
          <w:rFonts w:hint="eastAsia" w:ascii="仿宋" w:hAnsi="仿宋" w:eastAsia="仿宋" w:cs="仿宋"/>
          <w:sz w:val="30"/>
          <w:szCs w:val="30"/>
        </w:rPr>
        <w:t>和发布等工作，保证所提供的信息内容合法、完整、准确、及时，积极推进了</w:t>
      </w:r>
      <w:r>
        <w:rPr>
          <w:rFonts w:hint="eastAsia" w:ascii="仿宋" w:hAnsi="仿宋" w:eastAsia="仿宋" w:cs="仿宋"/>
          <w:sz w:val="30"/>
          <w:szCs w:val="30"/>
          <w:lang w:eastAsia="zh-CN"/>
        </w:rPr>
        <w:t>全镇</w:t>
      </w:r>
      <w:r>
        <w:rPr>
          <w:rFonts w:hint="eastAsia" w:ascii="仿宋" w:hAnsi="仿宋" w:eastAsia="仿宋" w:cs="仿宋"/>
          <w:sz w:val="30"/>
          <w:szCs w:val="30"/>
        </w:rPr>
        <w:t xml:space="preserve">政务公开政府信息公开工作。 </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领导高度重视，积极推行政务、政府信息公开工作。</w:t>
      </w:r>
      <w:r>
        <w:rPr>
          <w:rFonts w:hint="eastAsia" w:ascii="仿宋" w:hAnsi="仿宋" w:eastAsia="仿宋" w:cs="仿宋"/>
          <w:sz w:val="30"/>
          <w:szCs w:val="30"/>
        </w:rPr>
        <w:t>为有效促进</w:t>
      </w:r>
      <w:r>
        <w:rPr>
          <w:rFonts w:hint="eastAsia" w:ascii="仿宋" w:hAnsi="仿宋" w:eastAsia="仿宋" w:cs="仿宋"/>
          <w:sz w:val="30"/>
          <w:szCs w:val="30"/>
          <w:lang w:eastAsia="zh-CN"/>
        </w:rPr>
        <w:t>东铺</w:t>
      </w:r>
      <w:r>
        <w:rPr>
          <w:rFonts w:hint="eastAsia" w:ascii="仿宋" w:hAnsi="仿宋" w:eastAsia="仿宋" w:cs="仿宋"/>
          <w:sz w:val="30"/>
          <w:szCs w:val="30"/>
        </w:rPr>
        <w:t>镇政务公开政府信息公开工作开展，确保工作规范、有序、有效进行，</w:t>
      </w:r>
      <w:r>
        <w:rPr>
          <w:rFonts w:hint="eastAsia" w:ascii="仿宋" w:hAnsi="仿宋" w:eastAsia="仿宋" w:cs="仿宋"/>
          <w:sz w:val="30"/>
          <w:szCs w:val="30"/>
          <w:lang w:eastAsia="zh-CN"/>
        </w:rPr>
        <w:t>镇主要</w:t>
      </w:r>
      <w:r>
        <w:rPr>
          <w:rFonts w:hint="eastAsia" w:ascii="仿宋" w:hAnsi="仿宋" w:eastAsia="仿宋" w:cs="仿宋"/>
          <w:sz w:val="30"/>
          <w:szCs w:val="30"/>
        </w:rPr>
        <w:t>领导高度重视，多次召开会议，研究政务公开政府信息公开工作，要求各部门</w:t>
      </w:r>
      <w:r>
        <w:rPr>
          <w:rFonts w:hint="eastAsia" w:ascii="仿宋" w:hAnsi="仿宋" w:eastAsia="仿宋" w:cs="仿宋"/>
          <w:sz w:val="30"/>
          <w:szCs w:val="30"/>
          <w:lang w:eastAsia="zh-CN"/>
        </w:rPr>
        <w:t>、各村（居）</w:t>
      </w:r>
      <w:r>
        <w:rPr>
          <w:rFonts w:hint="eastAsia" w:ascii="仿宋" w:hAnsi="仿宋" w:eastAsia="仿宋" w:cs="仿宋"/>
          <w:sz w:val="30"/>
          <w:szCs w:val="30"/>
        </w:rPr>
        <w:t xml:space="preserve">积极配合，各司其职，进一步加强了组织领导，明确专人负责。由于领导的高度重视，全镇上下达成共识，齐心协力，政务公开政府信息公开工作进展顺利。 </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加强制度建设，促进工作规范化。</w:t>
      </w:r>
      <w:r>
        <w:rPr>
          <w:rFonts w:hint="eastAsia" w:ascii="仿宋" w:hAnsi="仿宋" w:eastAsia="仿宋" w:cs="仿宋"/>
          <w:sz w:val="30"/>
          <w:szCs w:val="30"/>
        </w:rPr>
        <w:t>为更好贯彻落实政务公开工作，我镇成立了政务公开领导小组，组长由</w:t>
      </w:r>
      <w:r>
        <w:rPr>
          <w:rFonts w:hint="eastAsia" w:ascii="仿宋" w:hAnsi="仿宋" w:eastAsia="仿宋" w:cs="仿宋"/>
          <w:sz w:val="30"/>
          <w:szCs w:val="30"/>
          <w:lang w:eastAsia="zh-CN"/>
        </w:rPr>
        <w:t>党委委员余震</w:t>
      </w:r>
      <w:r>
        <w:rPr>
          <w:rFonts w:hint="eastAsia" w:ascii="仿宋" w:hAnsi="仿宋" w:eastAsia="仿宋" w:cs="仿宋"/>
          <w:sz w:val="30"/>
          <w:szCs w:val="30"/>
        </w:rPr>
        <w:t>同志担任，成员由各站所负责人</w:t>
      </w:r>
      <w:r>
        <w:rPr>
          <w:rFonts w:hint="eastAsia" w:ascii="仿宋" w:hAnsi="仿宋" w:eastAsia="仿宋" w:cs="仿宋"/>
          <w:sz w:val="30"/>
          <w:szCs w:val="30"/>
          <w:lang w:eastAsia="zh-CN"/>
        </w:rPr>
        <w:t>、村（街）党政主职</w:t>
      </w:r>
      <w:r>
        <w:rPr>
          <w:rFonts w:hint="eastAsia" w:ascii="仿宋" w:hAnsi="仿宋" w:eastAsia="仿宋" w:cs="仿宋"/>
          <w:sz w:val="30"/>
          <w:szCs w:val="30"/>
        </w:rPr>
        <w:t>组成。领导小组下设</w:t>
      </w:r>
      <w:r>
        <w:rPr>
          <w:rFonts w:hint="eastAsia" w:ascii="仿宋" w:hAnsi="仿宋" w:eastAsia="仿宋" w:cs="仿宋"/>
          <w:sz w:val="30"/>
          <w:szCs w:val="30"/>
          <w:lang w:eastAsia="zh-CN"/>
        </w:rPr>
        <w:t>综合办公室</w:t>
      </w:r>
      <w:r>
        <w:rPr>
          <w:rFonts w:hint="eastAsia" w:ascii="仿宋" w:hAnsi="仿宋" w:eastAsia="仿宋" w:cs="仿宋"/>
          <w:sz w:val="30"/>
          <w:szCs w:val="30"/>
        </w:rPr>
        <w:t>，负责镇政务公开的日常工作。为规范推进政府信息公开工作，我镇重视加强政府信息公开工作制度建设，建立健全了《</w:t>
      </w:r>
      <w:r>
        <w:rPr>
          <w:rFonts w:hint="eastAsia" w:ascii="仿宋" w:hAnsi="仿宋" w:eastAsia="仿宋" w:cs="仿宋"/>
          <w:sz w:val="30"/>
          <w:szCs w:val="30"/>
          <w:lang w:eastAsia="zh-CN"/>
        </w:rPr>
        <w:t>东铺镇</w:t>
      </w:r>
      <w:r>
        <w:rPr>
          <w:rFonts w:hint="eastAsia" w:ascii="仿宋" w:hAnsi="仿宋" w:eastAsia="仿宋" w:cs="仿宋"/>
          <w:sz w:val="30"/>
          <w:szCs w:val="30"/>
        </w:rPr>
        <w:t>政府信息公开保密审查制度》、《</w:t>
      </w:r>
      <w:r>
        <w:rPr>
          <w:rFonts w:hint="eastAsia" w:ascii="仿宋" w:hAnsi="仿宋" w:eastAsia="仿宋" w:cs="仿宋"/>
          <w:sz w:val="30"/>
          <w:szCs w:val="30"/>
          <w:lang w:eastAsia="zh-CN"/>
        </w:rPr>
        <w:t>东铺镇</w:t>
      </w:r>
      <w:r>
        <w:rPr>
          <w:rFonts w:hint="eastAsia" w:ascii="仿宋" w:hAnsi="仿宋" w:eastAsia="仿宋" w:cs="仿宋"/>
          <w:sz w:val="30"/>
          <w:szCs w:val="30"/>
        </w:rPr>
        <w:t xml:space="preserve">政府信息公开发布审核制度》等相关制度，规范了信息发布工作遵循的“谁审查、谁负责，谁发布、谁负责，先审查、后发布”和“涉密信息不上网，上网信息不涉密”的原则，确保政务公开内容无涉及国家秘密和内部敏感事项。通过建立健全一系列的政府信息公开工作的相关制度，为政府信息公开的准确性、权威性、完整性和时效性提供了制度保障。 </w:t>
      </w:r>
    </w:p>
    <w:p>
      <w:pPr>
        <w:ind w:firstLine="602" w:firstLineChars="200"/>
        <w:rPr>
          <w:rFonts w:hint="default" w:ascii="仿宋" w:hAnsi="仿宋" w:eastAsia="仿宋" w:cs="仿宋"/>
          <w:sz w:val="30"/>
          <w:szCs w:val="30"/>
          <w:lang w:val="en-US" w:eastAsia="zh-CN"/>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多渠道公开信息，真正做到阳光执政。</w:t>
      </w:r>
      <w:r>
        <w:rPr>
          <w:rFonts w:hint="eastAsia" w:ascii="仿宋" w:hAnsi="仿宋" w:eastAsia="仿宋" w:cs="仿宋"/>
          <w:sz w:val="30"/>
          <w:szCs w:val="30"/>
        </w:rPr>
        <w:t xml:space="preserve"> 在进一步坚持和完善政务公开栏这一公开形式的基础上，认真创新政务公开的新载体、新形式，使政务公开的形式呈现灵活多样。</w:t>
      </w:r>
      <w:r>
        <w:rPr>
          <w:rFonts w:hint="eastAsia" w:ascii="仿宋" w:hAnsi="仿宋" w:eastAsia="仿宋" w:cs="仿宋"/>
          <w:b/>
          <w:bCs/>
          <w:sz w:val="30"/>
          <w:szCs w:val="30"/>
        </w:rPr>
        <w:t>一是</w:t>
      </w:r>
      <w:r>
        <w:rPr>
          <w:rFonts w:hint="eastAsia" w:ascii="仿宋" w:hAnsi="仿宋" w:eastAsia="仿宋" w:cs="仿宋"/>
          <w:sz w:val="30"/>
          <w:szCs w:val="30"/>
        </w:rPr>
        <w:t>推进电子政务建设和网上政务公开。把网站列为公开信息的重要途径，设立政府信息公开栏，将公开信息编制公开目录，逐一上网发布。</w:t>
      </w:r>
      <w:r>
        <w:rPr>
          <w:rFonts w:hint="eastAsia" w:ascii="仿宋" w:hAnsi="仿宋" w:eastAsia="仿宋" w:cs="仿宋"/>
          <w:b/>
          <w:bCs/>
          <w:sz w:val="30"/>
          <w:szCs w:val="30"/>
        </w:rPr>
        <w:t>二是</w:t>
      </w:r>
      <w:r>
        <w:rPr>
          <w:rFonts w:hint="eastAsia" w:ascii="仿宋" w:hAnsi="仿宋" w:eastAsia="仿宋" w:cs="仿宋"/>
          <w:sz w:val="30"/>
          <w:szCs w:val="30"/>
        </w:rPr>
        <w:t>设立投诉信箱、举报、监督电话等，专门接受群众投诉举报。</w:t>
      </w:r>
      <w:r>
        <w:rPr>
          <w:rFonts w:hint="eastAsia" w:ascii="仿宋" w:hAnsi="仿宋" w:eastAsia="仿宋" w:cs="仿宋"/>
          <w:b/>
          <w:bCs/>
          <w:sz w:val="30"/>
          <w:szCs w:val="30"/>
        </w:rPr>
        <w:t>三是</w:t>
      </w:r>
      <w:r>
        <w:rPr>
          <w:rFonts w:hint="eastAsia" w:ascii="仿宋" w:hAnsi="仿宋" w:eastAsia="仿宋" w:cs="仿宋"/>
          <w:sz w:val="30"/>
          <w:szCs w:val="30"/>
        </w:rPr>
        <w:t>有效发挥公示栏、宣传横幅等传统宣传方法的作用，让不同层次的群众通过不同渠道获取信息，自觉接受群众的监督。我镇以</w:t>
      </w:r>
      <w:r>
        <w:rPr>
          <w:rFonts w:hint="eastAsia" w:ascii="仿宋" w:hAnsi="仿宋" w:eastAsia="仿宋" w:cs="仿宋"/>
          <w:sz w:val="30"/>
          <w:szCs w:val="30"/>
          <w:lang w:eastAsia="zh-CN"/>
        </w:rPr>
        <w:t>多种途径</w:t>
      </w:r>
      <w:r>
        <w:rPr>
          <w:rFonts w:hint="eastAsia" w:ascii="仿宋" w:hAnsi="仿宋" w:eastAsia="仿宋" w:cs="仿宋"/>
          <w:sz w:val="30"/>
          <w:szCs w:val="30"/>
        </w:rPr>
        <w:t>公开了镇政府的机构职能、办事的规范性文件、年度主要工作任务分工表和其他便民服务的措施，使前来办事的群众能直观、方便地了解办理业务的程序，提高工作效率，实现了勤政为民的目的。</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 xml:space="preserve">政府信息主动公开情况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信息公开条例》要求，凡我镇可公开的政务动态信息、涉及政策法规、涉及公民、法人或其他组织切身利益的、需要社会公众广泛知晓的、机构设置、职能、办事程序等信息、其他法律、法规规定应当公开的信息等，我镇依法、全面、准确、及时地在统一平台公开发布各类信息。截至2019年1</w:t>
      </w:r>
      <w:r>
        <w:rPr>
          <w:rFonts w:hint="eastAsia" w:ascii="仿宋" w:hAnsi="仿宋" w:eastAsia="仿宋" w:cs="仿宋"/>
          <w:sz w:val="30"/>
          <w:szCs w:val="30"/>
          <w:lang w:val="en-US" w:eastAsia="zh-CN"/>
        </w:rPr>
        <w:t>2</w:t>
      </w:r>
      <w:r>
        <w:rPr>
          <w:rFonts w:hint="eastAsia" w:ascii="仿宋" w:hAnsi="仿宋" w:eastAsia="仿宋" w:cs="仿宋"/>
          <w:sz w:val="30"/>
          <w:szCs w:val="30"/>
        </w:rPr>
        <w:t>月</w:t>
      </w:r>
      <w:r>
        <w:rPr>
          <w:rFonts w:hint="eastAsia" w:ascii="仿宋" w:hAnsi="仿宋" w:eastAsia="仿宋" w:cs="仿宋"/>
          <w:sz w:val="30"/>
          <w:szCs w:val="30"/>
          <w:lang w:val="en-US" w:eastAsia="zh-CN"/>
        </w:rPr>
        <w:t>10</w:t>
      </w:r>
      <w:r>
        <w:rPr>
          <w:rFonts w:hint="eastAsia" w:ascii="仿宋" w:hAnsi="仿宋" w:eastAsia="仿宋" w:cs="仿宋"/>
          <w:sz w:val="30"/>
          <w:szCs w:val="30"/>
        </w:rPr>
        <w:t>日，我镇信息公开工作人员</w:t>
      </w:r>
      <w:r>
        <w:rPr>
          <w:rFonts w:hint="eastAsia" w:ascii="仿宋" w:hAnsi="仿宋" w:eastAsia="仿宋" w:cs="仿宋"/>
          <w:sz w:val="30"/>
          <w:szCs w:val="30"/>
          <w:lang w:val="en-US" w:eastAsia="zh-CN"/>
        </w:rPr>
        <w:t>2人</w:t>
      </w:r>
      <w:r>
        <w:rPr>
          <w:rFonts w:hint="eastAsia" w:ascii="仿宋" w:hAnsi="仿宋" w:eastAsia="仿宋" w:cs="仿宋"/>
          <w:sz w:val="30"/>
          <w:szCs w:val="30"/>
        </w:rPr>
        <w:t>。共更新和发布信息</w:t>
      </w:r>
      <w:r>
        <w:rPr>
          <w:rFonts w:hint="eastAsia" w:ascii="仿宋" w:hAnsi="仿宋" w:eastAsia="仿宋" w:cs="仿宋"/>
          <w:sz w:val="30"/>
          <w:szCs w:val="30"/>
          <w:lang w:val="en-US" w:eastAsia="zh-CN"/>
        </w:rPr>
        <w:t>153</w:t>
      </w:r>
      <w:r>
        <w:rPr>
          <w:rFonts w:hint="eastAsia" w:ascii="仿宋" w:hAnsi="仿宋" w:eastAsia="仿宋" w:cs="仿宋"/>
          <w:sz w:val="30"/>
          <w:szCs w:val="30"/>
        </w:rPr>
        <w:t>条</w:t>
      </w:r>
      <w:r>
        <w:rPr>
          <w:rFonts w:hint="eastAsia" w:ascii="仿宋" w:hAnsi="仿宋" w:eastAsia="仿宋" w:cs="仿宋"/>
          <w:sz w:val="30"/>
          <w:szCs w:val="30"/>
          <w:lang w:eastAsia="zh-CN"/>
        </w:rPr>
        <w:t>，</w:t>
      </w:r>
      <w:r>
        <w:rPr>
          <w:rFonts w:hint="eastAsia" w:ascii="仿宋" w:hAnsi="仿宋" w:eastAsia="仿宋" w:cs="仿宋"/>
          <w:sz w:val="30"/>
          <w:szCs w:val="30"/>
        </w:rPr>
        <w:t>概况类信息数量组织机构类</w:t>
      </w:r>
      <w:r>
        <w:rPr>
          <w:rFonts w:hint="eastAsia" w:ascii="仿宋" w:hAnsi="仿宋" w:eastAsia="仿宋" w:cs="仿宋"/>
          <w:sz w:val="30"/>
          <w:szCs w:val="30"/>
          <w:lang w:val="en-US" w:eastAsia="zh-CN"/>
        </w:rPr>
        <w:t>6</w:t>
      </w:r>
      <w:r>
        <w:rPr>
          <w:rFonts w:hint="eastAsia" w:ascii="仿宋" w:hAnsi="仿宋" w:eastAsia="仿宋" w:cs="仿宋"/>
          <w:sz w:val="30"/>
          <w:szCs w:val="30"/>
        </w:rPr>
        <w:t>条；政务动态类信息</w:t>
      </w:r>
      <w:r>
        <w:rPr>
          <w:rFonts w:hint="eastAsia" w:ascii="仿宋" w:hAnsi="仿宋" w:eastAsia="仿宋" w:cs="仿宋"/>
          <w:sz w:val="30"/>
          <w:szCs w:val="30"/>
          <w:lang w:val="en-US" w:eastAsia="zh-CN"/>
        </w:rPr>
        <w:t>143</w:t>
      </w:r>
      <w:r>
        <w:rPr>
          <w:rFonts w:hint="eastAsia" w:ascii="仿宋" w:hAnsi="仿宋" w:eastAsia="仿宋" w:cs="仿宋"/>
          <w:sz w:val="30"/>
          <w:szCs w:val="30"/>
        </w:rPr>
        <w:t>条；政府工作报告</w:t>
      </w:r>
      <w:r>
        <w:rPr>
          <w:rFonts w:hint="eastAsia" w:ascii="仿宋" w:hAnsi="仿宋" w:eastAsia="仿宋" w:cs="仿宋"/>
          <w:sz w:val="30"/>
          <w:szCs w:val="30"/>
          <w:lang w:val="en-US" w:eastAsia="zh-CN"/>
        </w:rPr>
        <w:t>2</w:t>
      </w:r>
      <w:r>
        <w:rPr>
          <w:rFonts w:hint="eastAsia" w:ascii="仿宋" w:hAnsi="仿宋" w:eastAsia="仿宋" w:cs="仿宋"/>
          <w:sz w:val="30"/>
          <w:szCs w:val="30"/>
        </w:rPr>
        <w:t>条；信息公开年度报告1条；财政预结算报告1条。收到依申请数</w:t>
      </w:r>
      <w:r>
        <w:rPr>
          <w:rFonts w:hint="eastAsia" w:ascii="仿宋" w:hAnsi="仿宋" w:eastAsia="仿宋" w:cs="仿宋"/>
          <w:sz w:val="30"/>
          <w:szCs w:val="30"/>
          <w:lang w:val="en-US" w:eastAsia="zh-CN"/>
        </w:rPr>
        <w:t>1</w:t>
      </w:r>
      <w:r>
        <w:rPr>
          <w:rFonts w:hint="eastAsia" w:ascii="仿宋" w:hAnsi="仿宋" w:eastAsia="仿宋" w:cs="仿宋"/>
          <w:sz w:val="30"/>
          <w:szCs w:val="30"/>
        </w:rPr>
        <w:t>条，受理办结</w:t>
      </w:r>
      <w:r>
        <w:rPr>
          <w:rFonts w:hint="eastAsia" w:ascii="仿宋" w:hAnsi="仿宋" w:eastAsia="仿宋" w:cs="仿宋"/>
          <w:sz w:val="30"/>
          <w:szCs w:val="30"/>
          <w:lang w:val="en-US" w:eastAsia="zh-CN"/>
        </w:rPr>
        <w:t>1</w:t>
      </w:r>
      <w:r>
        <w:rPr>
          <w:rFonts w:hint="eastAsia" w:ascii="仿宋" w:hAnsi="仿宋" w:eastAsia="仿宋" w:cs="仿宋"/>
          <w:sz w:val="30"/>
          <w:szCs w:val="30"/>
        </w:rPr>
        <w:t>条。</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lang w:eastAsia="zh-CN"/>
        </w:rPr>
        <w:t>）</w:t>
      </w:r>
      <w:r>
        <w:rPr>
          <w:rFonts w:hint="eastAsia" w:ascii="仿宋" w:hAnsi="仿宋" w:eastAsia="仿宋" w:cs="仿宋"/>
          <w:b/>
          <w:bCs/>
          <w:sz w:val="30"/>
          <w:szCs w:val="30"/>
        </w:rPr>
        <w:t xml:space="preserve">政府信息公开申请行政复议、提起行政诉讼情况 </w:t>
      </w:r>
    </w:p>
    <w:p>
      <w:pPr>
        <w:pStyle w:val="6"/>
        <w:widowControl/>
        <w:spacing w:before="0" w:beforeAutospacing="0" w:after="0" w:afterAutospacing="0" w:line="580" w:lineRule="exact"/>
        <w:ind w:firstLine="480"/>
        <w:jc w:val="both"/>
        <w:rPr>
          <w:rFonts w:hint="eastAsia" w:ascii="仿宋" w:hAnsi="仿宋" w:eastAsia="仿宋" w:cs="仿宋"/>
          <w:sz w:val="30"/>
          <w:szCs w:val="30"/>
        </w:rPr>
      </w:pPr>
      <w:r>
        <w:rPr>
          <w:rFonts w:hint="eastAsia" w:ascii="仿宋" w:hAnsi="仿宋" w:eastAsia="仿宋" w:cs="仿宋"/>
          <w:sz w:val="30"/>
          <w:szCs w:val="30"/>
        </w:rPr>
        <w:t>2019年，我镇没有发生针对政府信息公开事务的行政复议案;没有发生针对政府信息公开事务的行政诉讼案;此外，也没有收到政府信息公开事务有关的申诉案。</w:t>
      </w:r>
    </w:p>
    <w:p>
      <w:pPr>
        <w:pStyle w:val="6"/>
        <w:widowControl/>
        <w:spacing w:before="0" w:beforeAutospacing="0" w:after="0" w:afterAutospacing="0" w:line="580" w:lineRule="exact"/>
        <w:ind w:firstLine="480"/>
        <w:jc w:val="both"/>
        <w:rPr>
          <w:rFonts w:hint="eastAsia" w:ascii="仿宋" w:hAnsi="仿宋" w:eastAsia="仿宋" w:cs="仿宋"/>
          <w:b/>
          <w:bCs/>
          <w:snapToGrid/>
          <w:kern w:val="2"/>
          <w:sz w:val="30"/>
          <w:szCs w:val="30"/>
          <w:lang w:val="en-US" w:eastAsia="zh-CN" w:bidi="ar-SA"/>
        </w:rPr>
      </w:pPr>
      <w:r>
        <w:rPr>
          <w:rFonts w:hint="eastAsia" w:ascii="仿宋" w:hAnsi="仿宋" w:eastAsia="仿宋" w:cs="仿宋"/>
          <w:b/>
          <w:bCs/>
          <w:snapToGrid/>
          <w:kern w:val="2"/>
          <w:sz w:val="30"/>
          <w:szCs w:val="30"/>
          <w:lang w:val="en-US" w:eastAsia="zh-CN" w:bidi="ar-SA"/>
        </w:rPr>
        <w:t>二、主动公开政府信息情况</w:t>
      </w:r>
    </w:p>
    <w:tbl>
      <w:tblPr>
        <w:tblStyle w:val="7"/>
        <w:tblW w:w="8560" w:type="dxa"/>
        <w:jc w:val="center"/>
        <w:tblLayout w:type="fixed"/>
        <w:tblCellMar>
          <w:top w:w="15" w:type="dxa"/>
          <w:left w:w="15" w:type="dxa"/>
          <w:bottom w:w="15" w:type="dxa"/>
          <w:right w:w="15" w:type="dxa"/>
        </w:tblCellMar>
      </w:tblPr>
      <w:tblGrid>
        <w:gridCol w:w="3113"/>
        <w:gridCol w:w="2295"/>
        <w:gridCol w:w="1265"/>
        <w:gridCol w:w="6"/>
        <w:gridCol w:w="1875"/>
        <w:gridCol w:w="6"/>
      </w:tblGrid>
      <w:tr>
        <w:tblPrEx>
          <w:tblCellMar>
            <w:top w:w="15" w:type="dxa"/>
            <w:left w:w="15" w:type="dxa"/>
            <w:bottom w:w="15" w:type="dxa"/>
            <w:right w:w="15" w:type="dxa"/>
          </w:tblCellMar>
        </w:tblPrEx>
        <w:trPr>
          <w:jc w:val="center"/>
        </w:trPr>
        <w:tc>
          <w:tcPr>
            <w:tcW w:w="856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第二十条第（一）项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本年新</w:t>
            </w:r>
            <w:r>
              <w:rPr>
                <w:rFonts w:hint="eastAsia" w:ascii="方正仿宋_GBK" w:hAnsi="方正仿宋_GBK" w:cs="方正仿宋_GBK"/>
                <w:color w:val="000000"/>
                <w:kern w:val="0"/>
                <w:sz w:val="24"/>
                <w:lang w:bidi="ar"/>
              </w:rPr>
              <w:br w:type="textWrapping"/>
            </w:r>
            <w:r>
              <w:rPr>
                <w:rFonts w:ascii="方正仿宋_GBK" w:hAnsi="方正仿宋_GBK" w:cs="方正仿宋_GBK"/>
                <w:color w:val="000000"/>
                <w:kern w:val="0"/>
                <w:sz w:val="24"/>
                <w:lang w:bidi="ar"/>
              </w:rPr>
              <w:t>制作数量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本年新</w:t>
            </w:r>
            <w:r>
              <w:rPr>
                <w:rFonts w:hint="eastAsia" w:ascii="方正仿宋_GBK" w:hAnsi="方正仿宋_GBK" w:cs="方正仿宋_GBK"/>
                <w:color w:val="000000"/>
                <w:kern w:val="0"/>
                <w:sz w:val="24"/>
                <w:lang w:bidi="ar"/>
              </w:rPr>
              <w:br w:type="textWrapping"/>
            </w:r>
            <w:r>
              <w:rPr>
                <w:rFonts w:ascii="方正仿宋_GBK" w:hAnsi="方正仿宋_GBK" w:cs="方正仿宋_GBK"/>
                <w:color w:val="000000"/>
                <w:kern w:val="0"/>
                <w:sz w:val="24"/>
                <w:lang w:bidi="ar"/>
              </w:rPr>
              <w:t>公开数量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对外公开总数量</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规章</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7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宋体" w:hAnsi="宋体" w:cs="方正仿宋_GBK"/>
                <w:color w:val="000000"/>
                <w:kern w:val="0"/>
                <w:sz w:val="24"/>
                <w:lang w:val="en-US" w:eastAsia="zh-CN" w:bidi="ar"/>
              </w:rPr>
              <w:t>0</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val="en-US" w:eastAsia="zh-CN" w:bidi="ar"/>
              </w:rPr>
              <w:t>0</w:t>
            </w: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规范性文件</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7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宋体" w:hAnsi="宋体" w:cs="方正仿宋_GBK"/>
                <w:color w:val="000000"/>
                <w:kern w:val="0"/>
                <w:sz w:val="24"/>
                <w:lang w:val="en-US" w:eastAsia="zh-CN" w:bidi="ar"/>
              </w:rPr>
              <w:t>0</w:t>
            </w:r>
            <w:r>
              <w:rPr>
                <w:rFonts w:hint="eastAsia" w:ascii="宋体" w:hAnsi="宋体"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val="en-US" w:eastAsia="zh-CN" w:bidi="ar"/>
              </w:rPr>
              <w:t>0</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第二十条第（五）项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处理决定数量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行政许可</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val="en-US" w:eastAsia="zh-CN" w:bidi="ar"/>
              </w:rPr>
              <w:t>0</w:t>
            </w: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val="en-US" w:eastAsia="zh-CN" w:bidi="ar"/>
              </w:rPr>
              <w:t>0</w:t>
            </w: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其他对外管理服务事项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val="en-US" w:eastAsia="zh-CN" w:bidi="ar"/>
              </w:rPr>
              <w:t>0</w:t>
            </w:r>
            <w:r>
              <w:rPr>
                <w:rFonts w:hint="eastAsia" w:ascii="方正仿宋_GBK" w:hAnsi="方正仿宋_GBK" w:cs="方正仿宋_GBK"/>
                <w:color w:val="000000"/>
                <w:kern w:val="0"/>
                <w:sz w:val="24"/>
                <w:lang w:bidi="ar"/>
              </w:rPr>
              <w:t>　</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val="en-US" w:eastAsia="zh-CN" w:bidi="ar"/>
              </w:rPr>
              <w:t>0</w:t>
            </w: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第二十条第（六）项</w:t>
            </w:r>
          </w:p>
        </w:tc>
      </w:tr>
      <w:tr>
        <w:tblPrEx>
          <w:tblCellMar>
            <w:top w:w="15" w:type="dxa"/>
            <w:left w:w="15" w:type="dxa"/>
            <w:bottom w:w="15" w:type="dxa"/>
            <w:right w:w="15" w:type="dxa"/>
          </w:tblCellMar>
        </w:tblPrEx>
        <w:trPr>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处理决定数量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行政处罚</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val="en-US" w:eastAsia="zh-CN" w:bidi="ar"/>
              </w:rPr>
              <w:t>0</w:t>
            </w: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行政强制</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188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val="en-US" w:eastAsia="zh-CN" w:bidi="ar"/>
              </w:rPr>
              <w:t>0</w:t>
            </w:r>
            <w:r>
              <w:rPr>
                <w:rFonts w:hint="eastAsia" w:ascii="方正仿宋_GBK" w:hAnsi="方正仿宋_GBK"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第二十条第（八）项</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上一年项目数量</w:t>
            </w:r>
          </w:p>
        </w:tc>
        <w:tc>
          <w:tcPr>
            <w:tcW w:w="3146"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本年增/减</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行政事业性收费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3146"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宋体" w:hAnsi="宋体" w:cs="方正仿宋_GBK"/>
                <w:color w:val="000000"/>
                <w:kern w:val="0"/>
                <w:sz w:val="24"/>
                <w:lang w:val="en-US" w:eastAsia="zh-CN" w:bidi="ar"/>
              </w:rPr>
              <w:t>0</w:t>
            </w:r>
            <w:r>
              <w:rPr>
                <w:rFonts w:hint="eastAsia" w:ascii="宋体" w:hAnsi="宋体" w:cs="方正仿宋_GBK"/>
                <w:color w:val="000000"/>
                <w:kern w:val="0"/>
                <w:sz w:val="24"/>
                <w:lang w:bidi="ar"/>
              </w:rPr>
              <w:t> </w:t>
            </w:r>
          </w:p>
        </w:tc>
      </w:tr>
      <w:tr>
        <w:tblPrEx>
          <w:tblCellMar>
            <w:top w:w="15" w:type="dxa"/>
            <w:left w:w="15" w:type="dxa"/>
            <w:bottom w:w="15" w:type="dxa"/>
            <w:right w:w="15" w:type="dxa"/>
          </w:tblCellMar>
        </w:tblPrEx>
        <w:trPr>
          <w:jc w:val="center"/>
        </w:trPr>
        <w:tc>
          <w:tcPr>
            <w:tcW w:w="856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第二十条第（九）项</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信息内容</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采购项目数量</w:t>
            </w:r>
          </w:p>
        </w:tc>
        <w:tc>
          <w:tcPr>
            <w:tcW w:w="3146"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widowControl/>
              <w:spacing w:line="440" w:lineRule="exact"/>
              <w:ind w:firstLine="0" w:firstLineChars="0"/>
              <w:jc w:val="center"/>
              <w:rPr>
                <w:rFonts w:ascii="方正仿宋_GBK" w:hAnsi="方正仿宋_GBK" w:cs="方正仿宋_GBK"/>
                <w:color w:val="000000"/>
                <w:sz w:val="24"/>
              </w:rPr>
            </w:pPr>
            <w:r>
              <w:rPr>
                <w:rFonts w:hint="eastAsia" w:ascii="方正仿宋_GBK" w:hAnsi="方正仿宋_GBK" w:cs="方正仿宋_GBK"/>
                <w:color w:val="000000"/>
                <w:kern w:val="0"/>
                <w:sz w:val="24"/>
                <w:lang w:bidi="ar"/>
              </w:rPr>
              <w:t>采购总金额</w:t>
            </w:r>
          </w:p>
        </w:tc>
      </w:tr>
      <w:tr>
        <w:tblPrEx>
          <w:tblCellMar>
            <w:top w:w="15" w:type="dxa"/>
            <w:left w:w="15" w:type="dxa"/>
            <w:bottom w:w="15" w:type="dxa"/>
            <w:right w:w="15" w:type="dxa"/>
          </w:tblCellMar>
        </w:tblPrEx>
        <w:trPr>
          <w:gridAfter w:val="1"/>
          <w:wAfter w:w="6" w:type="dxa"/>
          <w:jc w:val="center"/>
        </w:trPr>
        <w:tc>
          <w:tcPr>
            <w:tcW w:w="31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ascii="方正仿宋_GBK" w:hAnsi="方正仿宋_GBK" w:cs="方正仿宋_GBK"/>
                <w:color w:val="000000"/>
                <w:sz w:val="24"/>
              </w:rPr>
            </w:pPr>
            <w:r>
              <w:rPr>
                <w:rFonts w:hint="eastAsia" w:ascii="方正仿宋_GBK" w:hAnsi="方正仿宋_GBK" w:cs="方正仿宋_GBK"/>
                <w:color w:val="000000"/>
                <w:kern w:val="0"/>
                <w:sz w:val="24"/>
                <w:lang w:bidi="ar"/>
              </w:rPr>
              <w:t>政府集中采购</w:t>
            </w:r>
          </w:p>
        </w:tc>
        <w:tc>
          <w:tcPr>
            <w:tcW w:w="22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40" w:lineRule="exact"/>
              <w:ind w:firstLine="0" w:firstLineChars="0"/>
              <w:jc w:val="left"/>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kern w:val="0"/>
                <w:sz w:val="24"/>
                <w:lang w:bidi="ar"/>
              </w:rPr>
              <w:t>　</w:t>
            </w:r>
            <w:r>
              <w:rPr>
                <w:rFonts w:hint="eastAsia" w:ascii="方正仿宋_GBK" w:hAnsi="方正仿宋_GBK" w:cs="方正仿宋_GBK"/>
                <w:color w:val="000000"/>
                <w:kern w:val="0"/>
                <w:sz w:val="24"/>
                <w:lang w:val="en-US" w:eastAsia="zh-CN" w:bidi="ar"/>
              </w:rPr>
              <w:t>0</w:t>
            </w:r>
          </w:p>
        </w:tc>
        <w:tc>
          <w:tcPr>
            <w:tcW w:w="3146" w:type="dxa"/>
            <w:gridSpan w:val="3"/>
            <w:tcBorders>
              <w:top w:val="nil"/>
              <w:left w:val="nil"/>
              <w:bottom w:val="single" w:color="auto" w:sz="8" w:space="0"/>
              <w:right w:val="single" w:color="000000" w:sz="8" w:space="0"/>
            </w:tcBorders>
            <w:noWrap w:val="0"/>
            <w:tcMar>
              <w:top w:w="0" w:type="dxa"/>
              <w:left w:w="108" w:type="dxa"/>
              <w:bottom w:w="0" w:type="dxa"/>
              <w:right w:w="108" w:type="dxa"/>
            </w:tcMar>
            <w:vAlign w:val="center"/>
          </w:tcPr>
          <w:p>
            <w:pPr>
              <w:spacing w:line="440" w:lineRule="exact"/>
              <w:ind w:firstLine="1200" w:firstLineChars="500"/>
              <w:rPr>
                <w:rFonts w:hint="eastAsia" w:ascii="方正仿宋_GBK" w:hAnsi="方正仿宋_GBK" w:eastAsia="方正仿宋_GBK" w:cs="方正仿宋_GBK"/>
                <w:color w:val="000000"/>
                <w:sz w:val="24"/>
                <w:lang w:val="en-US" w:eastAsia="zh-CN"/>
              </w:rPr>
            </w:pPr>
            <w:r>
              <w:rPr>
                <w:rFonts w:hint="eastAsia" w:ascii="方正仿宋_GBK" w:hAnsi="方正仿宋_GBK" w:cs="方正仿宋_GBK"/>
                <w:color w:val="000000"/>
                <w:sz w:val="24"/>
                <w:lang w:val="en-US" w:eastAsia="zh-CN"/>
              </w:rPr>
              <w:t>0</w:t>
            </w:r>
          </w:p>
        </w:tc>
      </w:tr>
    </w:tbl>
    <w:p>
      <w:pPr>
        <w:pStyle w:val="6"/>
        <w:widowControl/>
        <w:spacing w:before="0" w:beforeAutospacing="0" w:after="0" w:afterAutospacing="0" w:line="580" w:lineRule="exact"/>
        <w:ind w:firstLine="480"/>
        <w:jc w:val="both"/>
        <w:rPr>
          <w:rFonts w:hint="eastAsia" w:ascii="仿宋" w:hAnsi="仿宋" w:eastAsia="仿宋" w:cs="仿宋"/>
          <w:b/>
          <w:bCs/>
          <w:snapToGrid/>
          <w:kern w:val="2"/>
          <w:sz w:val="30"/>
          <w:szCs w:val="30"/>
          <w:lang w:val="en-US" w:eastAsia="zh-CN" w:bidi="ar-SA"/>
        </w:rPr>
      </w:pPr>
      <w:r>
        <w:rPr>
          <w:rFonts w:hint="eastAsia" w:ascii="仿宋" w:hAnsi="仿宋" w:eastAsia="仿宋" w:cs="仿宋"/>
          <w:b/>
          <w:bCs/>
          <w:snapToGrid/>
          <w:kern w:val="2"/>
          <w:sz w:val="30"/>
          <w:szCs w:val="30"/>
          <w:lang w:val="en-US" w:eastAsia="zh-CN" w:bidi="ar-SA"/>
        </w:rPr>
        <w:t>三、收到和处理政府信息公开申请情况</w:t>
      </w:r>
    </w:p>
    <w:tbl>
      <w:tblPr>
        <w:tblStyle w:val="7"/>
        <w:tblW w:w="100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23"/>
        <w:gridCol w:w="1190"/>
        <w:gridCol w:w="1712"/>
        <w:gridCol w:w="844"/>
        <w:gridCol w:w="702"/>
        <w:gridCol w:w="755"/>
        <w:gridCol w:w="904"/>
        <w:gridCol w:w="889"/>
        <w:gridCol w:w="1058"/>
        <w:gridCol w:w="10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（本列数据的勾稽关系为：第一项加第二项之和，等于第三项加第四项之和）</w:t>
            </w:r>
          </w:p>
        </w:tc>
        <w:tc>
          <w:tcPr>
            <w:tcW w:w="6210"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84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自然人</w:t>
            </w:r>
          </w:p>
        </w:tc>
        <w:tc>
          <w:tcPr>
            <w:tcW w:w="430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法人或其他组织</w:t>
            </w:r>
          </w:p>
        </w:tc>
        <w:tc>
          <w:tcPr>
            <w:tcW w:w="10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844"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商业企业</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科研机构</w:t>
            </w:r>
          </w:p>
        </w:tc>
        <w:tc>
          <w:tcPr>
            <w:tcW w:w="90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社会公益组织</w:t>
            </w:r>
          </w:p>
        </w:tc>
        <w:tc>
          <w:tcPr>
            <w:tcW w:w="88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法律服务机构</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其他</w:t>
            </w:r>
          </w:p>
        </w:tc>
        <w:tc>
          <w:tcPr>
            <w:tcW w:w="1058"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一、本年新收政府信息公开申请数量</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二、上年结转政府信息公开申请数量</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rFonts w:hAnsi="方正仿宋_GBK"/>
                <w:color w:val="000000"/>
                <w:kern w:val="0"/>
                <w:sz w:val="20"/>
                <w:szCs w:val="20"/>
                <w:lang w:bidi="ar"/>
              </w:rPr>
              <w:t>三、本年度办理结果</w:t>
            </w: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（一）予以公开</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（二）部分公开（区分处理的，只计这一情形，不计其他情形）</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（三）不予公开</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属于国家秘密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其他法律行政法规禁止公开</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危及</w:t>
            </w:r>
            <w:r>
              <w:rPr>
                <w:color w:val="000000"/>
                <w:kern w:val="0"/>
                <w:sz w:val="20"/>
                <w:szCs w:val="20"/>
                <w:lang w:bidi="ar"/>
              </w:rPr>
              <w:t>“</w:t>
            </w:r>
            <w:r>
              <w:rPr>
                <w:rFonts w:hAnsi="方正仿宋_GBK"/>
                <w:color w:val="000000"/>
                <w:kern w:val="0"/>
                <w:sz w:val="20"/>
                <w:szCs w:val="20"/>
                <w:lang w:bidi="ar"/>
              </w:rPr>
              <w:t>三安全一稳定</w:t>
            </w:r>
            <w:r>
              <w:rPr>
                <w:color w:val="000000"/>
                <w:kern w:val="0"/>
                <w:sz w:val="20"/>
                <w:szCs w:val="20"/>
                <w:lang w:bidi="ar"/>
              </w:rPr>
              <w:t>”</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4.</w:t>
            </w:r>
            <w:r>
              <w:rPr>
                <w:rFonts w:hAnsi="方正仿宋_GBK"/>
                <w:color w:val="000000"/>
                <w:kern w:val="0"/>
                <w:sz w:val="20"/>
                <w:szCs w:val="20"/>
                <w:lang w:bidi="ar"/>
              </w:rPr>
              <w:t>保护第三方合法权益</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5.</w:t>
            </w:r>
            <w:r>
              <w:rPr>
                <w:rFonts w:hAnsi="方正仿宋_GBK"/>
                <w:color w:val="000000"/>
                <w:kern w:val="0"/>
                <w:sz w:val="20"/>
                <w:szCs w:val="20"/>
                <w:lang w:bidi="ar"/>
              </w:rPr>
              <w:t>属于三类内部事务信息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6.</w:t>
            </w:r>
            <w:r>
              <w:rPr>
                <w:rFonts w:hAnsi="方正仿宋_GBK"/>
                <w:color w:val="000000"/>
                <w:kern w:val="0"/>
                <w:sz w:val="20"/>
                <w:szCs w:val="20"/>
                <w:lang w:bidi="ar"/>
              </w:rPr>
              <w:t>属于四类过程性信息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7.</w:t>
            </w:r>
            <w:r>
              <w:rPr>
                <w:rFonts w:hAnsi="方正仿宋_GBK"/>
                <w:color w:val="000000"/>
                <w:kern w:val="0"/>
                <w:sz w:val="20"/>
                <w:szCs w:val="20"/>
                <w:lang w:bidi="ar"/>
              </w:rPr>
              <w:t>属于行政执法案卷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8.</w:t>
            </w:r>
            <w:r>
              <w:rPr>
                <w:rFonts w:hAnsi="方正仿宋_GBK"/>
                <w:color w:val="000000"/>
                <w:kern w:val="0"/>
                <w:sz w:val="20"/>
                <w:szCs w:val="20"/>
                <w:lang w:bidi="ar"/>
              </w:rPr>
              <w:t>属于行政查询事项</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（四）无法提供</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本机关不掌握相关政府信息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没有现成信息需要另行制作</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补正后申请内容仍不明确</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（五）不予处理</w:t>
            </w: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1.</w:t>
            </w:r>
            <w:r>
              <w:rPr>
                <w:rFonts w:hAnsi="方正仿宋_GBK"/>
                <w:color w:val="000000"/>
                <w:kern w:val="0"/>
                <w:sz w:val="20"/>
                <w:szCs w:val="20"/>
                <w:lang w:bidi="ar"/>
              </w:rPr>
              <w:t>信访举报投诉类申请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2.</w:t>
            </w:r>
            <w:r>
              <w:rPr>
                <w:rFonts w:hAnsi="方正仿宋_GBK"/>
                <w:color w:val="000000"/>
                <w:kern w:val="0"/>
                <w:sz w:val="20"/>
                <w:szCs w:val="20"/>
                <w:lang w:bidi="ar"/>
              </w:rPr>
              <w:t>重复申请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3.</w:t>
            </w:r>
            <w:r>
              <w:rPr>
                <w:rFonts w:hAnsi="方正仿宋_GBK"/>
                <w:color w:val="000000"/>
                <w:kern w:val="0"/>
                <w:sz w:val="20"/>
                <w:szCs w:val="20"/>
                <w:lang w:bidi="ar"/>
              </w:rPr>
              <w:t>要求提供公开出版物</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4.</w:t>
            </w:r>
            <w:r>
              <w:rPr>
                <w:rFonts w:hAnsi="方正仿宋_GBK"/>
                <w:color w:val="000000"/>
                <w:kern w:val="0"/>
                <w:sz w:val="20"/>
                <w:szCs w:val="20"/>
                <w:lang w:bidi="ar"/>
              </w:rPr>
              <w:t>无正当理由大量反复申请</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190"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171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color w:val="000000"/>
                <w:kern w:val="0"/>
                <w:sz w:val="20"/>
                <w:szCs w:val="20"/>
                <w:lang w:bidi="ar"/>
              </w:rPr>
              <w:t>5.</w:t>
            </w:r>
            <w:r>
              <w:rPr>
                <w:rFonts w:hAnsi="方正仿宋_GBK"/>
                <w:color w:val="000000"/>
                <w:kern w:val="0"/>
                <w:sz w:val="20"/>
                <w:szCs w:val="20"/>
                <w:lang w:bidi="ar"/>
              </w:rPr>
              <w:t>要求行政机关确认或重新出具已获取信息</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（六）其他处理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2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c>
          <w:tcPr>
            <w:tcW w:w="2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（七）总计</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left"/>
              <w:rPr>
                <w:color w:val="000000"/>
              </w:rPr>
            </w:pPr>
            <w:r>
              <w:rPr>
                <w:rFonts w:hAnsi="方正仿宋_GBK"/>
                <w:color w:val="000000"/>
                <w:kern w:val="0"/>
                <w:sz w:val="20"/>
                <w:szCs w:val="20"/>
                <w:lang w:bidi="ar"/>
              </w:rPr>
              <w:t>四、结转下年度继续办理</w:t>
            </w:r>
          </w:p>
        </w:tc>
        <w:tc>
          <w:tcPr>
            <w:tcW w:w="8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70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7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9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8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260" w:lineRule="exact"/>
              <w:ind w:firstLine="0" w:firstLineChars="0"/>
              <w:jc w:val="center"/>
              <w:rPr>
                <w:color w:val="000000"/>
              </w:rPr>
            </w:pPr>
            <w:r>
              <w:rPr>
                <w:color w:val="000000"/>
                <w:kern w:val="0"/>
                <w:sz w:val="20"/>
                <w:szCs w:val="20"/>
                <w:lang w:bidi="ar"/>
              </w:rPr>
              <w:t> </w:t>
            </w:r>
          </w:p>
        </w:tc>
        <w:tc>
          <w:tcPr>
            <w:tcW w:w="10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260" w:lineRule="exact"/>
              <w:ind w:firstLine="0" w:firstLineChars="0"/>
              <w:rPr>
                <w:color w:val="000000"/>
                <w:sz w:val="24"/>
              </w:rPr>
            </w:pPr>
          </w:p>
        </w:tc>
      </w:tr>
    </w:tbl>
    <w:p>
      <w:pPr>
        <w:pStyle w:val="6"/>
        <w:widowControl/>
        <w:spacing w:before="0" w:beforeAutospacing="0" w:after="0" w:afterAutospacing="0"/>
        <w:ind w:firstLine="482"/>
        <w:jc w:val="both"/>
        <w:rPr>
          <w:rFonts w:ascii="宋体" w:hAnsi="宋体" w:eastAsia="宋体" w:cs="宋体"/>
          <w:b/>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814" w:left="1531" w:header="851" w:footer="1247" w:gutter="0"/>
          <w:cols w:space="720" w:num="1"/>
          <w:docGrid w:linePitch="435" w:charSpace="0"/>
        </w:sectPr>
      </w:pPr>
    </w:p>
    <w:p>
      <w:pPr>
        <w:pStyle w:val="6"/>
        <w:widowControl/>
        <w:spacing w:before="0" w:beforeAutospacing="0" w:after="0" w:afterAutospacing="0" w:line="580" w:lineRule="exact"/>
        <w:ind w:firstLine="480"/>
        <w:jc w:val="both"/>
        <w:rPr>
          <w:rFonts w:hint="eastAsia" w:ascii="仿宋" w:hAnsi="仿宋" w:eastAsia="仿宋" w:cs="仿宋"/>
          <w:b/>
          <w:bCs/>
          <w:snapToGrid/>
          <w:kern w:val="2"/>
          <w:sz w:val="30"/>
          <w:szCs w:val="30"/>
          <w:lang w:val="en-US" w:eastAsia="zh-CN" w:bidi="ar-SA"/>
        </w:rPr>
      </w:pPr>
      <w:r>
        <w:rPr>
          <w:rFonts w:hint="eastAsia" w:ascii="仿宋" w:hAnsi="仿宋" w:eastAsia="仿宋" w:cs="仿宋"/>
          <w:b/>
          <w:bCs/>
          <w:snapToGrid/>
          <w:kern w:val="2"/>
          <w:sz w:val="30"/>
          <w:szCs w:val="30"/>
          <w:lang w:val="en-US" w:eastAsia="zh-CN" w:bidi="ar-SA"/>
        </w:rPr>
        <w:t>四、政府信息公开行政复议、行政诉讼情况</w:t>
      </w:r>
    </w:p>
    <w:tbl>
      <w:tblPr>
        <w:tblStyle w:val="7"/>
        <w:tblW w:w="10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77"/>
        <w:gridCol w:w="699"/>
        <w:gridCol w:w="753"/>
        <w:gridCol w:w="648"/>
        <w:gridCol w:w="509"/>
        <w:gridCol w:w="674"/>
        <w:gridCol w:w="768"/>
        <w:gridCol w:w="655"/>
        <w:gridCol w:w="758"/>
        <w:gridCol w:w="593"/>
        <w:gridCol w:w="727"/>
        <w:gridCol w:w="707"/>
        <w:gridCol w:w="698"/>
        <w:gridCol w:w="701"/>
        <w:gridCol w:w="5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386"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ascii="黑体" w:hAnsi="黑体" w:eastAsia="黑体"/>
                <w:color w:val="000000"/>
              </w:rPr>
            </w:pPr>
            <w:r>
              <w:rPr>
                <w:rFonts w:ascii="黑体" w:hAnsi="黑体" w:eastAsia="黑体"/>
                <w:color w:val="000000"/>
                <w:kern w:val="0"/>
                <w:sz w:val="20"/>
                <w:szCs w:val="20"/>
                <w:lang w:bidi="ar"/>
              </w:rPr>
              <w:t>行政复议</w:t>
            </w:r>
          </w:p>
        </w:tc>
        <w:tc>
          <w:tcPr>
            <w:tcW w:w="6856"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ascii="黑体" w:hAnsi="黑体" w:eastAsia="黑体"/>
                <w:color w:val="000000"/>
              </w:rPr>
            </w:pPr>
            <w:r>
              <w:rPr>
                <w:rFonts w:ascii="黑体" w:hAnsi="黑体" w:eastAsia="黑体"/>
                <w:color w:val="000000"/>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777"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699"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75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64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09"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c>
          <w:tcPr>
            <w:tcW w:w="344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未经复议直接起诉</w:t>
            </w:r>
          </w:p>
        </w:tc>
        <w:tc>
          <w:tcPr>
            <w:tcW w:w="3408"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77"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699"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753"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648"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509"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0" w:firstLineChars="0"/>
              <w:rPr>
                <w:color w:val="000000"/>
                <w:sz w:val="24"/>
              </w:rPr>
            </w:pPr>
          </w:p>
        </w:tc>
        <w:tc>
          <w:tcPr>
            <w:tcW w:w="6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7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65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7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9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c>
          <w:tcPr>
            <w:tcW w:w="7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结果维持</w:t>
            </w:r>
          </w:p>
        </w:tc>
        <w:tc>
          <w:tcPr>
            <w:tcW w:w="7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结果纠正</w:t>
            </w:r>
          </w:p>
        </w:tc>
        <w:tc>
          <w:tcPr>
            <w:tcW w:w="69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其他结果</w:t>
            </w:r>
          </w:p>
        </w:tc>
        <w:tc>
          <w:tcPr>
            <w:tcW w:w="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尚未审结</w:t>
            </w:r>
          </w:p>
        </w:tc>
        <w:tc>
          <w:tcPr>
            <w:tcW w:w="5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ind w:firstLine="0" w:firstLineChars="0"/>
              <w:jc w:val="center"/>
              <w:rPr>
                <w:color w:val="000000"/>
              </w:rPr>
            </w:pPr>
            <w:r>
              <w:rPr>
                <w:rFonts w:hAnsi="方正仿宋_GBK"/>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42" w:hRule="atLeast"/>
          <w:jc w:val="center"/>
        </w:trPr>
        <w:tc>
          <w:tcPr>
            <w:tcW w:w="77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hint="eastAsia" w:eastAsia="方正仿宋_GBK"/>
                <w:color w:val="000000"/>
                <w:lang w:val="en-US" w:eastAsia="zh-CN"/>
              </w:rPr>
            </w:pPr>
            <w:r>
              <w:rPr>
                <w:color w:val="000000"/>
                <w:kern w:val="0"/>
                <w:sz w:val="20"/>
                <w:szCs w:val="20"/>
                <w:lang w:bidi="ar"/>
              </w:rPr>
              <w:t> </w:t>
            </w:r>
            <w:r>
              <w:rPr>
                <w:rFonts w:hint="eastAsia"/>
                <w:color w:val="000000"/>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rFonts w:hint="eastAsia" w:eastAsia="方正仿宋_GBK"/>
                <w:color w:val="000000"/>
                <w:lang w:val="en-US" w:eastAsia="zh-CN"/>
              </w:rPr>
            </w:pPr>
            <w:r>
              <w:rPr>
                <w:rFonts w:hint="eastAsia"/>
                <w:color w:val="000000"/>
                <w:kern w:val="0"/>
                <w:sz w:val="20"/>
                <w:szCs w:val="20"/>
                <w:lang w:val="en-US" w:eastAsia="zh-CN" w:bidi="ar"/>
              </w:rPr>
              <w:t>0</w:t>
            </w:r>
            <w:r>
              <w:rPr>
                <w:color w:val="000000"/>
                <w:kern w:val="0"/>
                <w:sz w:val="20"/>
                <w:szCs w:val="20"/>
                <w:lang w:bidi="ar"/>
              </w:rPr>
              <w:t> </w:t>
            </w:r>
          </w:p>
        </w:tc>
        <w:tc>
          <w:tcPr>
            <w:tcW w:w="7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rFonts w:hint="eastAsia"/>
                <w:color w:val="000000"/>
                <w:kern w:val="0"/>
                <w:sz w:val="20"/>
                <w:szCs w:val="20"/>
                <w:lang w:val="en-US" w:eastAsia="zh-CN" w:bidi="ar"/>
              </w:rPr>
              <w:t>0</w:t>
            </w:r>
            <w:r>
              <w:rPr>
                <w:color w:val="000000"/>
                <w:kern w:val="0"/>
                <w:sz w:val="20"/>
                <w:szCs w:val="20"/>
                <w:lang w:bidi="ar"/>
              </w:rPr>
              <w:t> </w:t>
            </w:r>
          </w:p>
        </w:tc>
        <w:tc>
          <w:tcPr>
            <w:tcW w:w="6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rFonts w:hint="eastAsia"/>
                <w:color w:val="000000"/>
                <w:kern w:val="0"/>
                <w:sz w:val="20"/>
                <w:szCs w:val="20"/>
                <w:lang w:val="en-US" w:eastAsia="zh-CN" w:bidi="ar"/>
              </w:rPr>
              <w:t>0</w:t>
            </w:r>
            <w:r>
              <w:rPr>
                <w:color w:val="000000"/>
                <w:kern w:val="0"/>
                <w:sz w:val="20"/>
                <w:szCs w:val="20"/>
                <w:lang w:bidi="ar"/>
              </w:rPr>
              <w:t> </w:t>
            </w:r>
          </w:p>
        </w:tc>
        <w:tc>
          <w:tcPr>
            <w:tcW w:w="50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rFonts w:hint="eastAsia"/>
                <w:color w:val="000000"/>
                <w:kern w:val="0"/>
                <w:sz w:val="20"/>
                <w:szCs w:val="20"/>
                <w:lang w:val="en-US" w:eastAsia="zh-CN" w:bidi="ar"/>
              </w:rPr>
              <w:t>0</w:t>
            </w:r>
            <w:r>
              <w:rPr>
                <w:color w:val="000000"/>
                <w:kern w:val="0"/>
                <w:sz w:val="20"/>
                <w:szCs w:val="20"/>
                <w:lang w:bidi="ar"/>
              </w:rPr>
              <w:t> </w:t>
            </w:r>
          </w:p>
        </w:tc>
        <w:tc>
          <w:tcPr>
            <w:tcW w:w="67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5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2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6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0" w:firstLineChars="0"/>
              <w:jc w:val="center"/>
              <w:rPr>
                <w:color w:val="000000"/>
              </w:rPr>
            </w:pPr>
            <w:r>
              <w:rPr>
                <w:color w:val="000000"/>
                <w:kern w:val="0"/>
                <w:sz w:val="20"/>
                <w:szCs w:val="20"/>
                <w:lang w:bidi="ar"/>
              </w:rPr>
              <w:t> </w:t>
            </w:r>
          </w:p>
        </w:tc>
        <w:tc>
          <w:tcPr>
            <w:tcW w:w="5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ind w:firstLine="0" w:firstLineChars="0"/>
              <w:rPr>
                <w:color w:val="000000"/>
                <w:sz w:val="24"/>
              </w:rPr>
            </w:pPr>
          </w:p>
        </w:tc>
      </w:tr>
    </w:tbl>
    <w:p>
      <w:pPr>
        <w:pStyle w:val="6"/>
        <w:widowControl/>
        <w:spacing w:before="0" w:beforeAutospacing="0" w:after="0" w:afterAutospacing="0" w:line="580" w:lineRule="exact"/>
        <w:ind w:left="0" w:leftChars="0" w:firstLine="602" w:firstLineChars="200"/>
        <w:jc w:val="both"/>
        <w:rPr>
          <w:rFonts w:hint="eastAsia" w:ascii="仿宋" w:hAnsi="仿宋" w:eastAsia="仿宋" w:cs="仿宋"/>
          <w:b/>
          <w:bCs/>
          <w:snapToGrid/>
          <w:kern w:val="2"/>
          <w:sz w:val="30"/>
          <w:szCs w:val="30"/>
          <w:lang w:val="en-US" w:eastAsia="zh-CN" w:bidi="ar-SA"/>
        </w:rPr>
      </w:pPr>
      <w:r>
        <w:rPr>
          <w:rFonts w:hint="eastAsia" w:ascii="仿宋" w:hAnsi="仿宋" w:eastAsia="仿宋" w:cs="仿宋"/>
          <w:b/>
          <w:bCs/>
          <w:snapToGrid/>
          <w:kern w:val="2"/>
          <w:sz w:val="30"/>
          <w:szCs w:val="30"/>
          <w:lang w:val="en-US" w:eastAsia="zh-CN" w:bidi="ar-SA"/>
        </w:rPr>
        <w:t>五、存在的主要问题及改进情况</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（一）存在的问题。</w:t>
      </w:r>
      <w:r>
        <w:rPr>
          <w:rFonts w:hint="eastAsia" w:ascii="仿宋" w:hAnsi="仿宋" w:eastAsia="仿宋" w:cs="仿宋"/>
          <w:sz w:val="30"/>
          <w:szCs w:val="30"/>
        </w:rPr>
        <w:t xml:space="preserve">我镇政务公开政府信息公开工作虽然取得了一些成绩，但仍存在一些问题。一是政务公开工作还有待进一步深化；二是政府信息公开的内容不够丰富；三是政府信息公开发布量还有待提高；四是信息公开“三率”还有待进一步提高。 </w:t>
      </w:r>
    </w:p>
    <w:p>
      <w:pPr>
        <w:ind w:firstLine="301" w:firstLineChars="100"/>
        <w:rPr>
          <w:rFonts w:hint="eastAsia" w:ascii="仿宋" w:hAnsi="仿宋" w:eastAsia="仿宋" w:cs="仿宋"/>
          <w:sz w:val="30"/>
          <w:szCs w:val="30"/>
        </w:rPr>
      </w:pPr>
      <w:r>
        <w:rPr>
          <w:rFonts w:hint="eastAsia" w:ascii="仿宋" w:hAnsi="仿宋" w:eastAsia="仿宋" w:cs="仿宋"/>
          <w:b/>
          <w:bCs/>
          <w:sz w:val="30"/>
          <w:szCs w:val="30"/>
        </w:rPr>
        <w:t>（二）</w:t>
      </w:r>
      <w:r>
        <w:rPr>
          <w:rFonts w:hint="eastAsia" w:ascii="仿宋" w:hAnsi="仿宋" w:eastAsia="仿宋" w:cs="仿宋"/>
          <w:b/>
          <w:bCs/>
          <w:sz w:val="30"/>
          <w:szCs w:val="30"/>
          <w:lang w:eastAsia="zh-CN"/>
        </w:rPr>
        <w:t>改进情况</w:t>
      </w:r>
      <w:r>
        <w:rPr>
          <w:rFonts w:hint="eastAsia" w:ascii="仿宋" w:hAnsi="仿宋" w:eastAsia="仿宋" w:cs="仿宋"/>
          <w:b/>
          <w:bCs/>
          <w:sz w:val="30"/>
          <w:szCs w:val="30"/>
        </w:rPr>
        <w:t>。</w:t>
      </w:r>
      <w:r>
        <w:rPr>
          <w:rFonts w:hint="eastAsia" w:ascii="仿宋" w:hAnsi="仿宋" w:eastAsia="仿宋" w:cs="仿宋"/>
          <w:sz w:val="30"/>
          <w:szCs w:val="30"/>
        </w:rPr>
        <w:t xml:space="preserve">今后，我镇将继续认真贯彻落实《政府信息公开条例》，进一步加强组织领导，狠抓政务公开政府信息公开工作。一是狠抓思想教育，提高认识，狠抓政府信息公开工作。二是进一步完善工作机制，促进工作规范化。三是加强政府信息内容建设工作，进一步加强政府网站信息发布工作，提升政府网站传播能力，完善信息内容支撑体系。四是狠抓“三率”的提高工作，确保年度绩效考评指标顺利完成。 </w:t>
      </w: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 xml:space="preserve">、2020年工作思路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2020年，</w:t>
      </w:r>
      <w:r>
        <w:rPr>
          <w:rFonts w:hint="eastAsia" w:ascii="仿宋" w:hAnsi="仿宋" w:eastAsia="仿宋" w:cs="仿宋"/>
          <w:sz w:val="30"/>
          <w:szCs w:val="30"/>
          <w:lang w:eastAsia="zh-CN"/>
        </w:rPr>
        <w:t>东铺</w:t>
      </w:r>
      <w:r>
        <w:rPr>
          <w:rFonts w:hint="eastAsia" w:ascii="仿宋" w:hAnsi="仿宋" w:eastAsia="仿宋" w:cs="仿宋"/>
          <w:sz w:val="30"/>
          <w:szCs w:val="30"/>
        </w:rPr>
        <w:t>镇将紧紧围绕</w:t>
      </w:r>
      <w:r>
        <w:rPr>
          <w:rFonts w:hint="eastAsia" w:ascii="仿宋" w:hAnsi="仿宋" w:eastAsia="仿宋" w:cs="仿宋"/>
          <w:sz w:val="30"/>
          <w:szCs w:val="30"/>
          <w:lang w:eastAsia="zh-CN"/>
        </w:rPr>
        <w:t>县</w:t>
      </w:r>
      <w:r>
        <w:rPr>
          <w:rFonts w:hint="eastAsia" w:ascii="仿宋" w:hAnsi="仿宋" w:eastAsia="仿宋" w:cs="仿宋"/>
          <w:sz w:val="30"/>
          <w:szCs w:val="30"/>
        </w:rPr>
        <w:t>委、</w:t>
      </w:r>
      <w:r>
        <w:rPr>
          <w:rFonts w:hint="eastAsia" w:ascii="仿宋" w:hAnsi="仿宋" w:eastAsia="仿宋" w:cs="仿宋"/>
          <w:sz w:val="30"/>
          <w:szCs w:val="30"/>
          <w:lang w:eastAsia="zh-CN"/>
        </w:rPr>
        <w:t>县</w:t>
      </w:r>
      <w:r>
        <w:rPr>
          <w:rFonts w:hint="eastAsia" w:ascii="仿宋" w:hAnsi="仿宋" w:eastAsia="仿宋" w:cs="仿宋"/>
          <w:sz w:val="30"/>
          <w:szCs w:val="30"/>
        </w:rPr>
        <w:t>政府对政府信息公开工作的要求，继续认真贯彻落实《政府信息公开条例》，高度重视信息公开工作，进一步完善体制机制，进一步加强领导，明确职责，确保信息公开及时准确。进一步扩大财政信息公开的内容和形式，继续推进信息公开工作有序、高效开展，切实保障公众的知情权和监督权。积极应对新形势新问题，认真分析，切实改进，为</w:t>
      </w:r>
      <w:r>
        <w:rPr>
          <w:rFonts w:hint="eastAsia" w:ascii="仿宋" w:hAnsi="仿宋" w:eastAsia="仿宋" w:cs="仿宋"/>
          <w:sz w:val="30"/>
          <w:szCs w:val="30"/>
          <w:lang w:eastAsia="zh-CN"/>
        </w:rPr>
        <w:t>东铺</w:t>
      </w:r>
      <w:r>
        <w:rPr>
          <w:rFonts w:hint="eastAsia" w:ascii="仿宋" w:hAnsi="仿宋" w:eastAsia="仿宋" w:cs="仿宋"/>
          <w:sz w:val="30"/>
          <w:szCs w:val="30"/>
        </w:rPr>
        <w:t xml:space="preserve">镇与广大人民群众平等、广泛、深入地沟通搭建更为宽广平台，推动服务型机关建设迈上新的更高的台阶。重点抓好以下工作： </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一是</w:t>
      </w:r>
      <w:r>
        <w:rPr>
          <w:rFonts w:hint="eastAsia" w:ascii="仿宋" w:hAnsi="仿宋" w:eastAsia="仿宋" w:cs="仿宋"/>
          <w:b/>
          <w:bCs/>
          <w:sz w:val="30"/>
          <w:szCs w:val="30"/>
          <w:lang w:eastAsia="zh-CN"/>
        </w:rPr>
        <w:t>继续</w:t>
      </w:r>
      <w:r>
        <w:rPr>
          <w:rFonts w:hint="eastAsia" w:ascii="仿宋" w:hAnsi="仿宋" w:eastAsia="仿宋" w:cs="仿宋"/>
          <w:b/>
          <w:bCs/>
          <w:sz w:val="30"/>
          <w:szCs w:val="30"/>
        </w:rPr>
        <w:t>统一认识，努力规范工作流程。</w:t>
      </w:r>
      <w:r>
        <w:rPr>
          <w:rFonts w:hint="eastAsia" w:ascii="仿宋" w:hAnsi="仿宋" w:eastAsia="仿宋" w:cs="仿宋"/>
          <w:sz w:val="30"/>
          <w:szCs w:val="30"/>
        </w:rPr>
        <w:t xml:space="preserve">进一步梳理各部门所掌握的政府信息，及时提供，确保政府信息公开工作能按照既定的工作流程有效运作，使公众能够方便查询。 </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二是进一步完善工作机制。</w:t>
      </w:r>
      <w:r>
        <w:rPr>
          <w:rFonts w:hint="eastAsia" w:ascii="仿宋" w:hAnsi="仿宋" w:eastAsia="仿宋" w:cs="仿宋"/>
          <w:sz w:val="30"/>
          <w:szCs w:val="30"/>
        </w:rPr>
        <w:t xml:space="preserve">将政府信息公开工作和日常业务工作紧密结合，认真界定是否公开及公开范围，让依法应公开的信息及时公开。 </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三是加强信息平台建设。</w:t>
      </w:r>
      <w:r>
        <w:rPr>
          <w:rFonts w:hint="eastAsia" w:ascii="仿宋" w:hAnsi="仿宋" w:eastAsia="仿宋" w:cs="仿宋"/>
          <w:sz w:val="30"/>
          <w:szCs w:val="30"/>
        </w:rPr>
        <w:t xml:space="preserve">进一步完善乡镇网站自身建设，加强政府信息内容建设工作，以适应新形势下政府信息公开要求，及时发布并更新政务信息，确保政务信息的完整性和时效性。 </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四是进一步加强政务信息公开队伍建设</w:t>
      </w:r>
      <w:r>
        <w:rPr>
          <w:rFonts w:hint="eastAsia" w:ascii="仿宋" w:hAnsi="仿宋" w:eastAsia="仿宋" w:cs="仿宋"/>
          <w:sz w:val="30"/>
          <w:szCs w:val="30"/>
        </w:rPr>
        <w:t xml:space="preserve">。通过参加上级组织的业务培训或主动学习其他单位的经验做法等多种途径，加强相关人员素质的培养和锻炼，提高工作人员的能力水平。  </w:t>
      </w:r>
    </w:p>
    <w:p>
      <w:pPr>
        <w:ind w:firstLine="602" w:firstLineChars="200"/>
        <w:rPr>
          <w:rFonts w:hint="eastAsia" w:ascii="仿宋" w:hAnsi="仿宋" w:eastAsia="仿宋" w:cs="仿宋"/>
          <w:sz w:val="30"/>
          <w:szCs w:val="30"/>
        </w:rPr>
      </w:pPr>
      <w:r>
        <w:rPr>
          <w:rFonts w:hint="eastAsia" w:ascii="仿宋" w:hAnsi="仿宋" w:eastAsia="仿宋" w:cs="仿宋"/>
          <w:b/>
          <w:bCs/>
          <w:sz w:val="30"/>
          <w:szCs w:val="30"/>
        </w:rPr>
        <w:t>五是加强监督，建立长效管理机制。</w:t>
      </w:r>
      <w:r>
        <w:rPr>
          <w:rFonts w:hint="eastAsia" w:ascii="仿宋" w:hAnsi="仿宋" w:eastAsia="仿宋" w:cs="仿宋"/>
          <w:sz w:val="30"/>
          <w:szCs w:val="30"/>
        </w:rPr>
        <w:t>进一步增强主动公开，并鼓励干部职工积极参与政府公开信息发布的监督，更好地服务政府、社会和群众。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3C0041"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60" w:wrap="around" w:vAnchor="text" w:hAnchor="margin" w:xAlign="outside" w:y="1"/>
      <w:ind w:firstLine="0" w:firstLineChars="0"/>
      <w:rPr>
        <w:rStyle w:val="9"/>
      </w:rPr>
    </w:pPr>
    <w:r>
      <w:rPr>
        <w:rStyle w:val="9"/>
      </w:rPr>
      <w:t xml:space="preserve">— </w:t>
    </w:r>
    <w:r>
      <w:fldChar w:fldCharType="begin"/>
    </w:r>
    <w:r>
      <w:rPr>
        <w:rStyle w:val="9"/>
      </w:rPr>
      <w:instrText xml:space="preserve">PAGE  </w:instrText>
    </w:r>
    <w:r>
      <w:fldChar w:fldCharType="separate"/>
    </w:r>
    <w:r>
      <w:rPr>
        <w:rStyle w:val="9"/>
      </w:rPr>
      <w:t>15</w:t>
    </w:r>
    <w:r>
      <w:fldChar w:fldCharType="end"/>
    </w:r>
    <w:r>
      <w:rPr>
        <w:rStyle w:val="9"/>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360"/>
      <w:rPr>
        <w:rStyle w:val="9"/>
      </w:rPr>
    </w:pPr>
    <w:r>
      <w:fldChar w:fldCharType="begin"/>
    </w:r>
    <w:r>
      <w:rPr>
        <w:rStyle w:val="9"/>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96CC6"/>
    <w:rsid w:val="512053DF"/>
    <w:rsid w:val="792D4E98"/>
    <w:rsid w:val="79586E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200" w:firstLineChars="200"/>
      <w:jc w:val="both"/>
    </w:pPr>
    <w:rPr>
      <w:rFonts w:ascii="Calibri" w:hAnsi="Calibri" w:eastAsia="方正仿宋_GBK"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tabs>
        <w:tab w:val="center" w:pos="4153"/>
        <w:tab w:val="right" w:pos="8306"/>
      </w:tabs>
      <w:snapToGrid w:val="0"/>
      <w:spacing w:line="240" w:lineRule="atLeast"/>
      <w:jc w:val="center"/>
    </w:pPr>
    <w:rPr>
      <w:sz w:val="18"/>
      <w:szCs w:val="18"/>
    </w:rPr>
  </w:style>
  <w:style w:type="paragraph" w:styleId="4">
    <w:name w:val="toc 1"/>
    <w:basedOn w:val="5"/>
    <w:next w:val="1"/>
    <w:semiHidden/>
    <w:qFormat/>
    <w:uiPriority w:val="0"/>
    <w:pPr>
      <w:widowControl w:val="0"/>
    </w:pPr>
    <w:rPr>
      <w:kern w:val="2"/>
      <w:sz w:val="44"/>
      <w:szCs w:val="44"/>
    </w:rPr>
  </w:style>
  <w:style w:type="paragraph" w:customStyle="1" w:styleId="5">
    <w:name w:val="样式1"/>
    <w:basedOn w:val="1"/>
    <w:qFormat/>
    <w:uiPriority w:val="0"/>
    <w:pPr>
      <w:widowControl/>
      <w:spacing w:line="700" w:lineRule="exact"/>
      <w:ind w:firstLine="0" w:firstLineChars="0"/>
      <w:jc w:val="center"/>
      <w:outlineLvl w:val="0"/>
    </w:pPr>
    <w:rPr>
      <w:rFonts w:eastAsia="方正小标宋_GBK"/>
      <w:kern w:val="0"/>
      <w:sz w:val="40"/>
      <w:szCs w:val="40"/>
    </w:rPr>
  </w:style>
  <w:style w:type="paragraph" w:styleId="6">
    <w:name w:val="Normal (Web)"/>
    <w:basedOn w:val="1"/>
    <w:qFormat/>
    <w:uiPriority w:val="0"/>
    <w:pPr>
      <w:spacing w:before="100" w:beforeAutospacing="1" w:after="100" w:afterAutospacing="1" w:line="580" w:lineRule="atLeast"/>
      <w:jc w:val="left"/>
    </w:pPr>
    <w:rPr>
      <w:snapToGrid w:val="0"/>
      <w:kern w:val="0"/>
      <w:sz w:val="24"/>
      <w:szCs w:val="32"/>
    </w:rPr>
  </w:style>
  <w:style w:type="character" w:styleId="9">
    <w:name w:val="page number"/>
    <w:basedOn w:val="8"/>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忆往&amp;昔今</cp:lastModifiedBy>
  <dcterms:modified xsi:type="dcterms:W3CDTF">2020-01-17T02:05:46Z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