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eastAsia="宋体" w:cs="方正小标宋简体"/>
          <w:color w:val="000000"/>
          <w:sz w:val="52"/>
          <w:szCs w:val="52"/>
          <w:lang w:val="en-US" w:eastAsia="zh-CN"/>
        </w:rPr>
      </w:pPr>
      <w:r>
        <w:rPr>
          <w:rFonts w:hint="eastAsia" w:ascii="宋体" w:cs="方正小标宋简体"/>
          <w:color w:val="000000"/>
          <w:sz w:val="52"/>
          <w:szCs w:val="52"/>
          <w:lang w:val="en-US" w:eastAsia="zh-CN"/>
        </w:rPr>
        <w:t xml:space="preserve">   </w:t>
      </w:r>
    </w:p>
    <w:p>
      <w:pPr>
        <w:jc w:val="center"/>
        <w:rPr>
          <w:rFonts w:ascii="宋体" w:cs="方正小标宋简体"/>
          <w:color w:val="000000"/>
          <w:sz w:val="52"/>
          <w:szCs w:val="52"/>
        </w:rPr>
      </w:pPr>
    </w:p>
    <w:p>
      <w:pPr>
        <w:jc w:val="center"/>
        <w:rPr>
          <w:rFonts w:ascii="宋体" w:cs="方正小标宋简体"/>
          <w:color w:val="000000"/>
          <w:sz w:val="52"/>
          <w:szCs w:val="52"/>
        </w:rPr>
      </w:pPr>
    </w:p>
    <w:p>
      <w:pPr>
        <w:rPr>
          <w:rFonts w:ascii="宋体" w:cs="方正小标宋简体"/>
          <w:color w:val="000000"/>
          <w:sz w:val="52"/>
          <w:szCs w:val="52"/>
        </w:rPr>
      </w:pPr>
    </w:p>
    <w:p>
      <w:pPr>
        <w:jc w:val="center"/>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52"/>
          <w:szCs w:val="52"/>
        </w:rPr>
        <w:t>罗山县石材专业园区管理委员会</w:t>
      </w:r>
    </w:p>
    <w:p>
      <w:pPr>
        <w:jc w:val="center"/>
        <w:rPr>
          <w:rFonts w:hint="eastAsia" w:ascii="文星标宋" w:hAnsi="文星标宋" w:eastAsia="文星标宋" w:cs="文星标宋"/>
          <w:color w:val="000000"/>
          <w:sz w:val="52"/>
          <w:szCs w:val="52"/>
        </w:rPr>
      </w:pPr>
    </w:p>
    <w:p>
      <w:pPr>
        <w:jc w:val="center"/>
        <w:rPr>
          <w:rFonts w:hint="eastAsia" w:ascii="文星标宋" w:hAnsi="文星标宋" w:eastAsia="文星标宋" w:cs="文星标宋"/>
          <w:color w:val="000000"/>
          <w:sz w:val="52"/>
          <w:szCs w:val="52"/>
        </w:rPr>
      </w:pPr>
    </w:p>
    <w:p>
      <w:pPr>
        <w:jc w:val="center"/>
        <w:rPr>
          <w:rFonts w:hint="eastAsia" w:ascii="文星标宋" w:hAnsi="文星标宋" w:eastAsia="文星标宋" w:cs="文星标宋"/>
          <w:color w:val="000000"/>
          <w:sz w:val="52"/>
          <w:szCs w:val="52"/>
        </w:rPr>
      </w:pPr>
      <w:r>
        <w:rPr>
          <w:rFonts w:hint="eastAsia" w:ascii="文星标宋" w:hAnsi="文星标宋" w:eastAsia="文星标宋" w:cs="文星标宋"/>
          <w:color w:val="000000"/>
          <w:sz w:val="52"/>
          <w:szCs w:val="52"/>
          <w:lang w:eastAsia="zh-CN"/>
        </w:rPr>
        <w:t>2020</w:t>
      </w:r>
      <w:r>
        <w:rPr>
          <w:rFonts w:hint="eastAsia" w:ascii="文星标宋" w:hAnsi="文星标宋" w:eastAsia="文星标宋" w:cs="文星标宋"/>
          <w:color w:val="000000"/>
          <w:sz w:val="52"/>
          <w:szCs w:val="52"/>
        </w:rPr>
        <w:t>年度部门预算</w:t>
      </w:r>
    </w:p>
    <w:p>
      <w:pPr>
        <w:jc w:val="center"/>
        <w:rPr>
          <w:rFonts w:hint="eastAsia" w:ascii="文星标宋" w:hAnsi="文星标宋" w:eastAsia="文星标宋" w:cs="文星标宋"/>
          <w:color w:val="000000"/>
          <w:sz w:val="52"/>
          <w:szCs w:val="52"/>
        </w:rPr>
      </w:pPr>
    </w:p>
    <w:p>
      <w:pPr>
        <w:jc w:val="center"/>
        <w:rPr>
          <w:rFonts w:hint="eastAsia" w:ascii="文星标宋" w:hAnsi="文星标宋" w:eastAsia="文星标宋" w:cs="文星标宋"/>
          <w:color w:val="000000"/>
          <w:sz w:val="52"/>
          <w:szCs w:val="52"/>
        </w:rPr>
      </w:pPr>
    </w:p>
    <w:p>
      <w:pPr>
        <w:jc w:val="center"/>
        <w:rPr>
          <w:rFonts w:ascii="宋体" w:cs="黑体"/>
          <w:color w:val="000000"/>
          <w:sz w:val="52"/>
          <w:szCs w:val="52"/>
        </w:rPr>
      </w:pPr>
    </w:p>
    <w:p>
      <w:pPr>
        <w:rPr>
          <w:rFonts w:ascii="宋体" w:cs="黑体"/>
          <w:color w:val="000000"/>
          <w:sz w:val="52"/>
          <w:szCs w:val="52"/>
        </w:rPr>
      </w:pPr>
    </w:p>
    <w:p>
      <w:pPr>
        <w:jc w:val="center"/>
        <w:rPr>
          <w:rFonts w:ascii="宋体" w:cs="黑体"/>
          <w:color w:val="000000"/>
          <w:sz w:val="44"/>
          <w:szCs w:val="44"/>
        </w:rPr>
      </w:pP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日</w:t>
      </w:r>
    </w:p>
    <w:p>
      <w:pPr>
        <w:jc w:val="center"/>
        <w:rPr>
          <w:rFonts w:ascii="宋体" w:cs="黑体"/>
          <w:color w:val="000000"/>
          <w:sz w:val="32"/>
          <w:szCs w:val="32"/>
        </w:rPr>
      </w:pPr>
    </w:p>
    <w:p>
      <w:pPr>
        <w:jc w:val="center"/>
        <w:rPr>
          <w:rFonts w:ascii="宋体" w:cs="黑体"/>
          <w:color w:val="000000"/>
          <w:sz w:val="44"/>
          <w:szCs w:val="44"/>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文星标宋" w:hAnsi="文星标宋" w:eastAsia="文星标宋" w:cs="文星标宋"/>
          <w:b/>
          <w:bCs/>
          <w:color w:val="000000"/>
          <w:sz w:val="44"/>
          <w:szCs w:val="44"/>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文星标宋" w:hAnsi="文星标宋" w:eastAsia="文星标宋" w:cs="文星标宋"/>
          <w:b/>
          <w:bCs/>
          <w:color w:val="000000"/>
          <w:sz w:val="44"/>
          <w:szCs w:val="44"/>
        </w:rPr>
      </w:pPr>
      <w:r>
        <w:rPr>
          <w:rFonts w:hint="eastAsia" w:ascii="文星标宋" w:hAnsi="文星标宋" w:eastAsia="文星标宋" w:cs="文星标宋"/>
          <w:b/>
          <w:bCs/>
          <w:color w:val="000000"/>
          <w:sz w:val="44"/>
          <w:szCs w:val="44"/>
        </w:rPr>
        <w:t>目　　  录</w:t>
      </w:r>
    </w:p>
    <w:p>
      <w:pPr>
        <w:jc w:val="center"/>
        <w:rPr>
          <w:rFonts w:hint="eastAsia" w:ascii="仿宋_GB2312" w:hAnsi="仿宋_GB2312" w:eastAsia="仿宋_GB2312" w:cs="仿宋_GB2312"/>
          <w:color w:val="000000"/>
          <w:sz w:val="32"/>
          <w:szCs w:val="32"/>
        </w:rPr>
      </w:pPr>
    </w:p>
    <w:p>
      <w:pPr>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第一部分　 石材园区概况</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一、主要职能</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二、部门决算单位构成</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三、机构设置情况</w:t>
      </w:r>
    </w:p>
    <w:p>
      <w:pPr>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第二部分　 石材园区</w:t>
      </w:r>
      <w:r>
        <w:rPr>
          <w:rFonts w:hint="eastAsia" w:ascii="仿宋_GB2312" w:hAnsi="仿宋_GB2312" w:eastAsia="仿宋_GB2312" w:cs="仿宋_GB2312"/>
          <w:b/>
          <w:bCs/>
          <w:color w:val="000000"/>
          <w:sz w:val="32"/>
          <w:szCs w:val="32"/>
          <w:lang w:eastAsia="zh-CN"/>
        </w:rPr>
        <w:t>2020</w:t>
      </w:r>
      <w:r>
        <w:rPr>
          <w:rFonts w:hint="eastAsia" w:ascii="仿宋_GB2312" w:hAnsi="仿宋_GB2312" w:eastAsia="仿宋_GB2312" w:cs="仿宋_GB2312"/>
          <w:b/>
          <w:bCs/>
          <w:color w:val="000000"/>
          <w:sz w:val="32"/>
          <w:szCs w:val="32"/>
        </w:rPr>
        <w:t>年部门预算表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一、财政拨款收支总体情况表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二、一般公共预算支出情况表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三、一般公共预算基本支出情况表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四、一般公共预算“三公”经费支出情况表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五、政府性基金预算支出情况表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说明：石材专业园区没有政府性基金收入，也没有使用政府性基金支出，故本表无数据，公开表格为空表。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六、部门收支总体情况表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七、部门收入总体情况表</w:t>
      </w:r>
    </w:p>
    <w:p>
      <w:pPr>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八、部门支出总体情况表</w:t>
      </w:r>
    </w:p>
    <w:p>
      <w:pPr>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第三部分　　石材园区</w:t>
      </w:r>
      <w:r>
        <w:rPr>
          <w:rFonts w:hint="eastAsia" w:ascii="仿宋_GB2312" w:hAnsi="仿宋_GB2312" w:eastAsia="仿宋_GB2312" w:cs="仿宋_GB2312"/>
          <w:b/>
          <w:bCs/>
          <w:color w:val="000000"/>
          <w:sz w:val="32"/>
          <w:szCs w:val="32"/>
          <w:lang w:eastAsia="zh-CN"/>
        </w:rPr>
        <w:t>2020</w:t>
      </w:r>
      <w:r>
        <w:rPr>
          <w:rFonts w:hint="eastAsia" w:ascii="仿宋_GB2312" w:hAnsi="仿宋_GB2312" w:eastAsia="仿宋_GB2312" w:cs="仿宋_GB2312"/>
          <w:b/>
          <w:bCs/>
          <w:color w:val="000000"/>
          <w:sz w:val="32"/>
          <w:szCs w:val="32"/>
        </w:rPr>
        <w:t>年部门预算情况说明</w:t>
      </w:r>
    </w:p>
    <w:p>
      <w:pPr>
        <w:jc w:val="left"/>
        <w:rPr>
          <w:rFonts w:hint="eastAsia" w:ascii="仿宋_GB2312" w:hAnsi="仿宋_GB2312" w:eastAsia="仿宋_GB2312" w:cs="仿宋_GB2312"/>
          <w:b/>
          <w:bCs/>
          <w:color w:val="000000"/>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r>
        <w:rPr>
          <w:rFonts w:hint="eastAsia" w:ascii="仿宋_GB2312" w:hAnsi="仿宋_GB2312" w:eastAsia="仿宋_GB2312" w:cs="仿宋_GB2312"/>
          <w:b/>
          <w:bCs/>
          <w:color w:val="000000"/>
          <w:sz w:val="32"/>
          <w:szCs w:val="32"/>
        </w:rPr>
        <w:t>第四部分　　名词解释</w:t>
      </w:r>
    </w:p>
    <w:p>
      <w:pPr>
        <w:jc w:val="left"/>
        <w:rPr>
          <w:rFonts w:ascii="宋体" w:cs="黑体"/>
          <w:color w:val="000000"/>
          <w:sz w:val="32"/>
          <w:szCs w:val="32"/>
        </w:rPr>
      </w:pPr>
    </w:p>
    <w:p>
      <w:pPr>
        <w:spacing w:afterLines="100"/>
        <w:jc w:val="center"/>
        <w:outlineLvl w:val="0"/>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第一部分　石材园区概况</w:t>
      </w:r>
    </w:p>
    <w:p>
      <w:pPr>
        <w:numPr>
          <w:ilvl w:val="0"/>
          <w:numId w:val="1"/>
        </w:numPr>
        <w:ind w:firstLine="643" w:firstLineChars="200"/>
        <w:jc w:val="left"/>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主要职能</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（一）贯彻落实党和国家的方针政策、法律法规，保障农民的合法权益，促进经济发展、加强社会管理、搞好公共服务、维护农村稳定、加强基层政权建设。</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负责党的路线、方针、政策和县委、县政府重大决策在石材专业园区的贯彻落实；负责石材专业园区管委会机关党组织建设、思想建设、作风建设及廉政建设等工作；负责制定石材专业园区的行政管理工作。</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（三）履行</w:t>
      </w:r>
      <w:r>
        <w:rPr>
          <w:rFonts w:hint="eastAsia" w:ascii="仿宋_GB2312" w:hAnsi="仿宋_GB2312" w:eastAsia="仿宋_GB2312" w:cs="仿宋_GB2312"/>
          <w:color w:val="000000"/>
          <w:spacing w:val="-6"/>
          <w:sz w:val="32"/>
          <w:szCs w:val="32"/>
        </w:rPr>
        <w:t>管理园区经济发展、社会管理和公共服务职责，维护园区社会稳定和协助完成安全生产、国土资源管理、环境保护与治理和社会治安等职责。</w:t>
      </w:r>
      <w:r>
        <w:rPr>
          <w:rFonts w:hint="eastAsia" w:ascii="仿宋_GB2312" w:hAnsi="仿宋_GB2312" w:eastAsia="仿宋_GB2312" w:cs="仿宋_GB2312"/>
          <w:color w:val="000000"/>
          <w:sz w:val="32"/>
          <w:szCs w:val="32"/>
        </w:rPr>
        <w:t>负责制定石材专业园区的经济、社会发展规划，经县委、县政府批准后实施；负责石材专业园区企业的布局、规划并组织实施；负责制定石材专业园区区域内建设用地、融资、财税、招商引资、人才引进等优惠政策，并组织实施。</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(四)负责石材专业园区内基础设施和公共设施规划、建设和管理工作。                         </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（五）负责石材专业园区内企业的服务工作。</w:t>
      </w:r>
    </w:p>
    <w:p>
      <w:pPr>
        <w:ind w:firstLine="320" w:firstLineChars="1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（六）承办县委、县政府交办的其他工作。</w:t>
      </w:r>
    </w:p>
    <w:p>
      <w:pPr>
        <w:ind w:firstLine="320" w:firstLineChars="100"/>
        <w:rPr>
          <w:rFonts w:hint="eastAsia" w:ascii="仿宋_GB2312" w:hAnsi="仿宋_GB2312" w:eastAsia="仿宋_GB2312" w:cs="仿宋_GB2312"/>
          <w:color w:val="000000"/>
          <w:sz w:val="32"/>
          <w:szCs w:val="32"/>
        </w:rPr>
      </w:pPr>
    </w:p>
    <w:p>
      <w:pPr>
        <w:spacing w:line="360" w:lineRule="auto"/>
        <w:ind w:firstLine="643" w:firstLineChars="200"/>
        <w:jc w:val="left"/>
        <w:outlineLvl w:val="1"/>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二、部门决算单位构成</w:t>
      </w:r>
    </w:p>
    <w:p>
      <w:pPr>
        <w:spacing w:line="360" w:lineRule="auto"/>
        <w:ind w:left="638" w:leftChars="304"/>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年度部门预算编制范围的单位包括：1、石材园区本级。</w:t>
      </w:r>
    </w:p>
    <w:p>
      <w:pPr>
        <w:spacing w:line="360" w:lineRule="auto"/>
        <w:ind w:firstLine="482" w:firstLineChars="15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三、机构设置情况</w:t>
      </w:r>
    </w:p>
    <w:p>
      <w:pPr>
        <w:spacing w:line="360" w:lineRule="auto"/>
        <w:ind w:firstLine="645"/>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石材园区机构设置情况主要如下：</w:t>
      </w:r>
    </w:p>
    <w:p>
      <w:pPr>
        <w:numPr>
          <w:ilvl w:val="0"/>
          <w:numId w:val="2"/>
        </w:num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综合办公室</w:t>
      </w:r>
    </w:p>
    <w:p>
      <w:pPr>
        <w:numPr>
          <w:ilvl w:val="0"/>
          <w:numId w:val="2"/>
        </w:num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农村工作办公室</w:t>
      </w:r>
    </w:p>
    <w:p>
      <w:pPr>
        <w:numPr>
          <w:ilvl w:val="0"/>
          <w:numId w:val="2"/>
        </w:num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企业服务办公室</w:t>
      </w:r>
    </w:p>
    <w:p>
      <w:pPr>
        <w:numPr>
          <w:ilvl w:val="0"/>
          <w:numId w:val="2"/>
        </w:num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矿产与资源办公室</w:t>
      </w:r>
    </w:p>
    <w:p>
      <w:pPr>
        <w:numPr>
          <w:ilvl w:val="0"/>
          <w:numId w:val="2"/>
        </w:num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财务室</w:t>
      </w:r>
    </w:p>
    <w:p>
      <w:pPr>
        <w:spacing w:line="360" w:lineRule="auto"/>
        <w:ind w:left="638" w:leftChars="304"/>
        <w:jc w:val="left"/>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jc w:val="center"/>
        <w:rPr>
          <w:rFonts w:ascii="宋体" w:cs="??"/>
          <w:color w:val="000000"/>
          <w:sz w:val="48"/>
          <w:szCs w:val="48"/>
        </w:rPr>
      </w:pPr>
    </w:p>
    <w:p>
      <w:pPr>
        <w:spacing w:line="360" w:lineRule="auto"/>
        <w:rPr>
          <w:rFonts w:ascii="宋体" w:cs="宋体"/>
          <w:color w:val="000000"/>
          <w:sz w:val="48"/>
          <w:szCs w:val="48"/>
        </w:rPr>
      </w:pPr>
    </w:p>
    <w:p>
      <w:pPr>
        <w:spacing w:line="360" w:lineRule="auto"/>
        <w:jc w:val="center"/>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第二部分</w:t>
      </w:r>
    </w:p>
    <w:p>
      <w:pPr>
        <w:jc w:val="center"/>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石材园区</w:t>
      </w:r>
      <w:r>
        <w:rPr>
          <w:rFonts w:hint="eastAsia" w:ascii="文星标宋" w:hAnsi="文星标宋" w:eastAsia="文星标宋" w:cs="文星标宋"/>
          <w:color w:val="000000"/>
          <w:sz w:val="44"/>
          <w:szCs w:val="44"/>
          <w:lang w:eastAsia="zh-CN"/>
        </w:rPr>
        <w:t>2020</w:t>
      </w:r>
      <w:r>
        <w:rPr>
          <w:rFonts w:hint="eastAsia" w:ascii="文星标宋" w:hAnsi="文星标宋" w:eastAsia="文星标宋" w:cs="文星标宋"/>
          <w:color w:val="000000"/>
          <w:sz w:val="44"/>
          <w:szCs w:val="44"/>
        </w:rPr>
        <w:t>年部门预算表</w:t>
      </w:r>
    </w:p>
    <w:p>
      <w:pPr>
        <w:jc w:val="center"/>
        <w:rPr>
          <w:rFonts w:ascii="宋体" w:cs="??"/>
          <w:color w:val="000000"/>
          <w:sz w:val="48"/>
          <w:szCs w:val="48"/>
        </w:rPr>
      </w:pPr>
    </w:p>
    <w:p>
      <w:pPr>
        <w:jc w:val="left"/>
        <w:rPr>
          <w:rFonts w:ascii="宋体" w:cs="仿宋_GB2312"/>
          <w:color w:val="000000"/>
          <w:sz w:val="32"/>
          <w:szCs w:val="32"/>
        </w:rPr>
      </w:pP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一、财政拨款收支总体情况表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二、一般公共预算支出情况表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三、一般公共预算基本支出情况表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四、一般公共预算“三公”经费支出情况表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五、政府性基金预算支出情况表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说明：石材专业园区没有政府性基金收入，也没有使用政府性基金支出，故本表无数据，公开表格为空表。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六、部门收支总体情况表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七、部门收入总体情况表</w:t>
      </w:r>
    </w:p>
    <w:p>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八、部门支出总体情况表</w:t>
      </w:r>
    </w:p>
    <w:p>
      <w:pPr>
        <w:jc w:val="left"/>
        <w:rPr>
          <w:rFonts w:hint="eastAsia" w:ascii="仿宋_GB2312" w:hAnsi="仿宋_GB2312" w:eastAsia="仿宋_GB2312"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left"/>
        <w:rPr>
          <w:rFonts w:ascii="宋体" w:cs="仿宋_GB2312"/>
          <w:color w:val="000000"/>
          <w:sz w:val="32"/>
          <w:szCs w:val="32"/>
        </w:rPr>
      </w:pPr>
    </w:p>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部门公开表1</w:t>
      </w:r>
    </w:p>
    <w:tbl>
      <w:tblPr>
        <w:tblStyle w:val="3"/>
        <w:tblW w:w="10320" w:type="dxa"/>
        <w:tblInd w:w="-1051" w:type="dxa"/>
        <w:tblLayout w:type="fixed"/>
        <w:tblCellMar>
          <w:top w:w="15" w:type="dxa"/>
          <w:left w:w="15" w:type="dxa"/>
          <w:bottom w:w="15" w:type="dxa"/>
          <w:right w:w="15" w:type="dxa"/>
        </w:tblCellMar>
      </w:tblPr>
      <w:tblGrid>
        <w:gridCol w:w="1019"/>
        <w:gridCol w:w="1494"/>
        <w:gridCol w:w="386"/>
        <w:gridCol w:w="353"/>
        <w:gridCol w:w="150"/>
        <w:gridCol w:w="90"/>
        <w:gridCol w:w="900"/>
        <w:gridCol w:w="99"/>
        <w:gridCol w:w="371"/>
        <w:gridCol w:w="422"/>
        <w:gridCol w:w="206"/>
        <w:gridCol w:w="1079"/>
        <w:gridCol w:w="495"/>
        <w:gridCol w:w="393"/>
        <w:gridCol w:w="324"/>
        <w:gridCol w:w="121"/>
        <w:gridCol w:w="99"/>
        <w:gridCol w:w="90"/>
        <w:gridCol w:w="240"/>
        <w:gridCol w:w="917"/>
        <w:gridCol w:w="314"/>
        <w:gridCol w:w="758"/>
      </w:tblGrid>
      <w:tr>
        <w:tblPrEx>
          <w:tblCellMar>
            <w:top w:w="15" w:type="dxa"/>
            <w:left w:w="15" w:type="dxa"/>
            <w:bottom w:w="15" w:type="dxa"/>
            <w:right w:w="15" w:type="dxa"/>
          </w:tblCellMar>
        </w:tblPrEx>
        <w:trPr>
          <w:gridAfter w:val="1"/>
          <w:wAfter w:w="758" w:type="dxa"/>
          <w:trHeight w:val="375" w:hRule="atLeast"/>
        </w:trPr>
        <w:tc>
          <w:tcPr>
            <w:tcW w:w="9562" w:type="dxa"/>
            <w:gridSpan w:val="21"/>
            <w:noWrap w:val="0"/>
            <w:vAlign w:val="center"/>
          </w:tcPr>
          <w:p>
            <w:pPr>
              <w:widowControl/>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财政拨款收支总体情况表</w:t>
            </w:r>
          </w:p>
          <w:p>
            <w:pPr>
              <w:widowControl/>
              <w:jc w:val="center"/>
              <w:textAlignment w:val="center"/>
              <w:rPr>
                <w:rFonts w:hint="eastAsia" w:ascii="仿宋_GB2312" w:hAnsi="仿宋_GB2312" w:eastAsia="仿宋_GB2312" w:cs="仿宋_GB2312"/>
                <w:b/>
                <w:bCs/>
                <w:color w:val="000000"/>
                <w:kern w:val="0"/>
                <w:sz w:val="24"/>
                <w:szCs w:val="24"/>
              </w:rPr>
            </w:pPr>
          </w:p>
        </w:tc>
      </w:tr>
      <w:tr>
        <w:tblPrEx>
          <w:tblCellMar>
            <w:top w:w="15" w:type="dxa"/>
            <w:left w:w="15" w:type="dxa"/>
            <w:bottom w:w="15" w:type="dxa"/>
            <w:right w:w="15" w:type="dxa"/>
          </w:tblCellMar>
        </w:tblPrEx>
        <w:trPr>
          <w:gridAfter w:val="1"/>
          <w:wAfter w:w="758" w:type="dxa"/>
          <w:trHeight w:val="315" w:hRule="atLeast"/>
        </w:trPr>
        <w:tc>
          <w:tcPr>
            <w:tcW w:w="2899" w:type="dxa"/>
            <w:gridSpan w:val="3"/>
            <w:noWrap w:val="0"/>
            <w:vAlign w:val="center"/>
          </w:tcPr>
          <w:p>
            <w:pP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部门：罗山石材园区</w:t>
            </w:r>
          </w:p>
        </w:tc>
        <w:tc>
          <w:tcPr>
            <w:tcW w:w="353" w:type="dxa"/>
            <w:noWrap w:val="0"/>
            <w:vAlign w:val="center"/>
          </w:tcPr>
          <w:p>
            <w:pPr>
              <w:rPr>
                <w:rFonts w:hint="eastAsia" w:ascii="仿宋_GB2312" w:hAnsi="仿宋_GB2312" w:eastAsia="仿宋_GB2312" w:cs="仿宋_GB2312"/>
                <w:color w:val="000000"/>
                <w:sz w:val="24"/>
                <w:szCs w:val="24"/>
              </w:rPr>
            </w:pPr>
          </w:p>
        </w:tc>
        <w:tc>
          <w:tcPr>
            <w:tcW w:w="1610" w:type="dxa"/>
            <w:gridSpan w:val="5"/>
            <w:noWrap w:val="0"/>
            <w:vAlign w:val="center"/>
          </w:tcPr>
          <w:p>
            <w:pPr>
              <w:rPr>
                <w:rFonts w:hint="eastAsia" w:ascii="仿宋_GB2312" w:hAnsi="仿宋_GB2312" w:eastAsia="仿宋_GB2312" w:cs="仿宋_GB2312"/>
                <w:color w:val="000000"/>
                <w:sz w:val="24"/>
                <w:szCs w:val="24"/>
              </w:rPr>
            </w:pPr>
          </w:p>
        </w:tc>
        <w:tc>
          <w:tcPr>
            <w:tcW w:w="2202" w:type="dxa"/>
            <w:gridSpan w:val="4"/>
            <w:noWrap w:val="0"/>
            <w:vAlign w:val="center"/>
          </w:tcPr>
          <w:p>
            <w:pPr>
              <w:rPr>
                <w:rFonts w:hint="eastAsia" w:ascii="仿宋_GB2312" w:hAnsi="仿宋_GB2312" w:eastAsia="仿宋_GB2312" w:cs="仿宋_GB2312"/>
                <w:color w:val="000000"/>
                <w:sz w:val="24"/>
                <w:szCs w:val="24"/>
              </w:rPr>
            </w:pPr>
          </w:p>
        </w:tc>
        <w:tc>
          <w:tcPr>
            <w:tcW w:w="393" w:type="dxa"/>
            <w:noWrap w:val="0"/>
            <w:vAlign w:val="center"/>
          </w:tcPr>
          <w:p>
            <w:pPr>
              <w:rPr>
                <w:rFonts w:hint="eastAsia" w:ascii="仿宋_GB2312" w:hAnsi="仿宋_GB2312" w:eastAsia="仿宋_GB2312" w:cs="仿宋_GB2312"/>
                <w:color w:val="000000"/>
                <w:sz w:val="24"/>
                <w:szCs w:val="24"/>
              </w:rPr>
            </w:pPr>
          </w:p>
        </w:tc>
        <w:tc>
          <w:tcPr>
            <w:tcW w:w="2105" w:type="dxa"/>
            <w:gridSpan w:val="7"/>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单位：万元</w:t>
            </w:r>
          </w:p>
        </w:tc>
      </w:tr>
      <w:tr>
        <w:tblPrEx>
          <w:tblCellMar>
            <w:top w:w="15" w:type="dxa"/>
            <w:left w:w="15" w:type="dxa"/>
            <w:bottom w:w="15" w:type="dxa"/>
            <w:right w:w="15" w:type="dxa"/>
          </w:tblCellMar>
        </w:tblPrEx>
        <w:trPr>
          <w:gridAfter w:val="1"/>
          <w:wAfter w:w="758" w:type="dxa"/>
          <w:trHeight w:val="300" w:hRule="atLeast"/>
        </w:trPr>
        <w:tc>
          <w:tcPr>
            <w:tcW w:w="4862" w:type="dxa"/>
            <w:gridSpan w:val="9"/>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收　　入</w:t>
            </w:r>
          </w:p>
        </w:tc>
        <w:tc>
          <w:tcPr>
            <w:tcW w:w="4700" w:type="dxa"/>
            <w:gridSpan w:val="12"/>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支　　出</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　　目</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　　目</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预算数</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一、本年收入</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60.40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一、本年支出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lang w:eastAsia="zh-CN"/>
              </w:rPr>
              <w:t>.40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（一）一般公共预算拨款</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60.40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（一）一般公共服务支出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（二）政府性基金预算拨款</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（二）外交支出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（三）国有资本经营预算拨款</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（三）教育支出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9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二、上年结转</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（四）科学技术支出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（一）一般公共预算拨款</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（五）文化体育与传媒支出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（二）政府性基金预算拨款</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（六）社会保障和就业支出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6.28</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4"/>
                <w:szCs w:val="24"/>
              </w:rPr>
            </w:pP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（七）农林水支出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4"/>
                <w:szCs w:val="24"/>
              </w:rPr>
            </w:pP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（八）住房保障支出</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4"/>
                <w:szCs w:val="24"/>
              </w:rPr>
            </w:pP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（九）医疗卫生与计划生育支出</w:t>
            </w:r>
          </w:p>
          <w:p>
            <w:pPr>
              <w:widowControl/>
              <w:jc w:val="left"/>
              <w:textAlignment w:val="center"/>
              <w:rPr>
                <w:rFonts w:hint="eastAsia" w:ascii="仿宋_GB2312" w:hAnsi="仿宋_GB2312" w:eastAsia="仿宋_GB2312" w:cs="仿宋_GB2312"/>
                <w:color w:val="000000"/>
                <w:sz w:val="24"/>
                <w:szCs w:val="24"/>
              </w:rPr>
            </w:pP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3.10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4"/>
                <w:szCs w:val="24"/>
              </w:rPr>
            </w:pP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二、结转下年</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left"/>
              <w:rPr>
                <w:rFonts w:hint="eastAsia" w:ascii="仿宋_GB2312" w:hAnsi="仿宋_GB2312" w:eastAsia="仿宋_GB2312" w:cs="仿宋_GB2312"/>
                <w:color w:val="000000"/>
                <w:sz w:val="24"/>
                <w:szCs w:val="24"/>
              </w:rPr>
            </w:pP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gridAfter w:val="1"/>
          <w:wAfter w:w="758" w:type="dxa"/>
          <w:trHeight w:val="300" w:hRule="atLeast"/>
        </w:trPr>
        <w:tc>
          <w:tcPr>
            <w:tcW w:w="2899" w:type="dxa"/>
            <w:gridSpan w:val="3"/>
            <w:tcBorders>
              <w:top w:val="single" w:color="000000" w:sz="4" w:space="0"/>
              <w:left w:val="single" w:color="000000" w:sz="12"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  入  总  计</w:t>
            </w:r>
          </w:p>
        </w:tc>
        <w:tc>
          <w:tcPr>
            <w:tcW w:w="1963" w:type="dxa"/>
            <w:gridSpan w:val="6"/>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2919"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  出  总  计</w:t>
            </w:r>
          </w:p>
        </w:tc>
        <w:tc>
          <w:tcPr>
            <w:tcW w:w="1781" w:type="dxa"/>
            <w:gridSpan w:val="6"/>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r>
      <w:tr>
        <w:tblPrEx>
          <w:tblCellMar>
            <w:top w:w="15" w:type="dxa"/>
            <w:left w:w="15" w:type="dxa"/>
            <w:bottom w:w="15" w:type="dxa"/>
            <w:right w:w="15" w:type="dxa"/>
          </w:tblCellMar>
        </w:tblPrEx>
        <w:trPr>
          <w:trHeight w:val="555" w:hRule="atLeast"/>
        </w:trPr>
        <w:tc>
          <w:tcPr>
            <w:tcW w:w="10320" w:type="dxa"/>
            <w:gridSpan w:val="22"/>
            <w:noWrap w:val="0"/>
            <w:vAlign w:val="center"/>
          </w:tcPr>
          <w:p>
            <w:pPr>
              <w:widowControl/>
              <w:jc w:val="left"/>
              <w:textAlignment w:val="center"/>
              <w:rPr>
                <w:rFonts w:ascii="宋体" w:cs="宋体"/>
                <w:color w:val="000000"/>
                <w:sz w:val="16"/>
                <w:szCs w:val="16"/>
              </w:rPr>
            </w:pPr>
          </w:p>
          <w:p>
            <w:pPr>
              <w:widowControl/>
              <w:jc w:val="left"/>
              <w:textAlignment w:val="center"/>
              <w:rPr>
                <w:rFonts w:ascii="宋体" w:cs="宋体"/>
                <w:color w:val="000000"/>
                <w:sz w:val="16"/>
                <w:szCs w:val="16"/>
              </w:rPr>
            </w:pPr>
          </w:p>
          <w:p>
            <w:pPr>
              <w:widowControl/>
              <w:jc w:val="left"/>
              <w:textAlignment w:val="center"/>
              <w:rPr>
                <w:rFonts w:ascii="宋体" w:cs="宋体"/>
                <w:color w:val="000000"/>
                <w:sz w:val="16"/>
                <w:szCs w:val="16"/>
              </w:rPr>
            </w:pPr>
          </w:p>
          <w:p>
            <w:pPr>
              <w:widowControl/>
              <w:jc w:val="left"/>
              <w:textAlignment w:val="center"/>
              <w:rPr>
                <w:rFonts w:ascii="宋体" w:cs="宋体"/>
                <w:color w:val="000000"/>
                <w:sz w:val="16"/>
                <w:szCs w:val="16"/>
              </w:rPr>
            </w:pPr>
          </w:p>
          <w:p>
            <w:pPr>
              <w:widowControl/>
              <w:jc w:val="left"/>
              <w:textAlignment w:val="center"/>
              <w:rPr>
                <w:rFonts w:ascii="宋体" w:cs="宋体"/>
                <w:color w:val="000000"/>
                <w:sz w:val="16"/>
                <w:szCs w:val="16"/>
              </w:rPr>
            </w:pPr>
          </w:p>
          <w:p>
            <w:pPr>
              <w:widowControl/>
              <w:jc w:val="left"/>
              <w:textAlignment w:val="center"/>
              <w:rPr>
                <w:rFonts w:ascii="宋体" w:cs="宋体"/>
                <w:color w:val="000000"/>
                <w:sz w:val="16"/>
                <w:szCs w:val="16"/>
              </w:rPr>
            </w:pPr>
          </w:p>
          <w:p>
            <w:pPr>
              <w:widowControl/>
              <w:jc w:val="left"/>
              <w:textAlignment w:val="center"/>
              <w:rPr>
                <w:rFonts w:ascii="宋体" w:cs="宋体"/>
                <w:color w:val="000000"/>
                <w:sz w:val="16"/>
                <w:szCs w:val="16"/>
              </w:rPr>
            </w:pPr>
          </w:p>
        </w:tc>
      </w:tr>
      <w:tr>
        <w:tblPrEx>
          <w:tblCellMar>
            <w:top w:w="15" w:type="dxa"/>
            <w:left w:w="15" w:type="dxa"/>
            <w:bottom w:w="15" w:type="dxa"/>
            <w:right w:w="15" w:type="dxa"/>
          </w:tblCellMar>
        </w:tblPrEx>
        <w:trPr>
          <w:trHeight w:val="727" w:hRule="atLeast"/>
        </w:trPr>
        <w:tc>
          <w:tcPr>
            <w:tcW w:w="10320" w:type="dxa"/>
            <w:gridSpan w:val="22"/>
            <w:noWrap w:val="0"/>
            <w:vAlign w:val="center"/>
          </w:tcPr>
          <w:p>
            <w:pPr>
              <w:widowControl/>
              <w:jc w:val="center"/>
              <w:textAlignment w:val="center"/>
              <w:rPr>
                <w:rFonts w:hint="eastAsia" w:ascii="仿宋_GB2312" w:hAnsi="仿宋_GB2312" w:eastAsia="仿宋_GB2312" w:cs="仿宋_GB2312"/>
                <w:color w:val="000000"/>
                <w:kern w:val="0"/>
                <w:sz w:val="24"/>
                <w:szCs w:val="24"/>
              </w:rPr>
            </w:pPr>
          </w:p>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部门公开表2</w:t>
            </w:r>
          </w:p>
          <w:p>
            <w:pPr>
              <w:widowControl/>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一般公共预算支出情况表</w:t>
            </w:r>
          </w:p>
          <w:p>
            <w:pPr>
              <w:widowControl/>
              <w:jc w:val="center"/>
              <w:textAlignment w:val="center"/>
              <w:rPr>
                <w:rFonts w:hint="eastAsia" w:ascii="仿宋_GB2312" w:hAnsi="仿宋_GB2312" w:eastAsia="仿宋_GB2312" w:cs="仿宋_GB2312"/>
                <w:b/>
                <w:bCs/>
                <w:color w:val="000000"/>
                <w:kern w:val="0"/>
                <w:sz w:val="24"/>
                <w:szCs w:val="24"/>
              </w:rPr>
            </w:pPr>
          </w:p>
        </w:tc>
      </w:tr>
      <w:tr>
        <w:tblPrEx>
          <w:tblCellMar>
            <w:top w:w="15" w:type="dxa"/>
            <w:left w:w="15" w:type="dxa"/>
            <w:bottom w:w="15" w:type="dxa"/>
            <w:right w:w="15" w:type="dxa"/>
          </w:tblCellMar>
        </w:tblPrEx>
        <w:trPr>
          <w:trHeight w:val="315" w:hRule="atLeast"/>
        </w:trPr>
        <w:tc>
          <w:tcPr>
            <w:tcW w:w="2513" w:type="dxa"/>
            <w:gridSpan w:val="2"/>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部门：罗山石材园区</w:t>
            </w:r>
          </w:p>
        </w:tc>
        <w:tc>
          <w:tcPr>
            <w:tcW w:w="889" w:type="dxa"/>
            <w:gridSpan w:val="3"/>
            <w:noWrap w:val="0"/>
            <w:vAlign w:val="center"/>
          </w:tcPr>
          <w:p>
            <w:pPr>
              <w:rPr>
                <w:rFonts w:hint="eastAsia" w:ascii="仿宋_GB2312" w:hAnsi="仿宋_GB2312" w:eastAsia="仿宋_GB2312" w:cs="仿宋_GB2312"/>
                <w:color w:val="000000"/>
                <w:sz w:val="24"/>
                <w:szCs w:val="24"/>
              </w:rPr>
            </w:pPr>
          </w:p>
        </w:tc>
        <w:tc>
          <w:tcPr>
            <w:tcW w:w="90" w:type="dxa"/>
            <w:noWrap w:val="0"/>
            <w:vAlign w:val="center"/>
          </w:tcPr>
          <w:p>
            <w:pPr>
              <w:rPr>
                <w:rFonts w:hint="eastAsia" w:ascii="仿宋_GB2312" w:hAnsi="仿宋_GB2312" w:eastAsia="仿宋_GB2312" w:cs="仿宋_GB2312"/>
                <w:color w:val="000000"/>
                <w:sz w:val="24"/>
                <w:szCs w:val="24"/>
              </w:rPr>
            </w:pPr>
          </w:p>
        </w:tc>
        <w:tc>
          <w:tcPr>
            <w:tcW w:w="999" w:type="dxa"/>
            <w:gridSpan w:val="2"/>
            <w:noWrap w:val="0"/>
            <w:vAlign w:val="center"/>
          </w:tcPr>
          <w:p>
            <w:pPr>
              <w:rPr>
                <w:rFonts w:hint="eastAsia" w:ascii="仿宋_GB2312" w:hAnsi="仿宋_GB2312" w:eastAsia="仿宋_GB2312" w:cs="仿宋_GB2312"/>
                <w:color w:val="000000"/>
                <w:sz w:val="24"/>
                <w:szCs w:val="24"/>
              </w:rPr>
            </w:pPr>
          </w:p>
        </w:tc>
        <w:tc>
          <w:tcPr>
            <w:tcW w:w="999" w:type="dxa"/>
            <w:gridSpan w:val="3"/>
            <w:noWrap w:val="0"/>
            <w:vAlign w:val="center"/>
          </w:tcPr>
          <w:p>
            <w:pPr>
              <w:rPr>
                <w:rFonts w:hint="eastAsia" w:ascii="仿宋_GB2312" w:hAnsi="仿宋_GB2312" w:eastAsia="仿宋_GB2312" w:cs="仿宋_GB2312"/>
                <w:color w:val="000000"/>
                <w:sz w:val="24"/>
                <w:szCs w:val="24"/>
              </w:rPr>
            </w:pPr>
          </w:p>
        </w:tc>
        <w:tc>
          <w:tcPr>
            <w:tcW w:w="2511" w:type="dxa"/>
            <w:gridSpan w:val="6"/>
            <w:noWrap w:val="0"/>
            <w:vAlign w:val="center"/>
          </w:tcPr>
          <w:p>
            <w:pPr>
              <w:rPr>
                <w:rFonts w:hint="eastAsia" w:ascii="仿宋_GB2312" w:hAnsi="仿宋_GB2312" w:eastAsia="仿宋_GB2312" w:cs="仿宋_GB2312"/>
                <w:color w:val="000000"/>
                <w:sz w:val="24"/>
                <w:szCs w:val="24"/>
              </w:rPr>
            </w:pPr>
          </w:p>
        </w:tc>
        <w:tc>
          <w:tcPr>
            <w:tcW w:w="90" w:type="dxa"/>
            <w:noWrap w:val="0"/>
            <w:vAlign w:val="center"/>
          </w:tcPr>
          <w:p>
            <w:pPr>
              <w:rPr>
                <w:rFonts w:hint="eastAsia" w:ascii="仿宋_GB2312" w:hAnsi="仿宋_GB2312" w:eastAsia="仿宋_GB2312" w:cs="仿宋_GB2312"/>
                <w:color w:val="000000"/>
                <w:sz w:val="24"/>
                <w:szCs w:val="24"/>
              </w:rPr>
            </w:pPr>
          </w:p>
        </w:tc>
        <w:tc>
          <w:tcPr>
            <w:tcW w:w="240" w:type="dxa"/>
            <w:noWrap w:val="0"/>
            <w:vAlign w:val="center"/>
          </w:tcPr>
          <w:p>
            <w:pPr>
              <w:rPr>
                <w:rFonts w:hint="eastAsia" w:ascii="仿宋_GB2312" w:hAnsi="仿宋_GB2312" w:eastAsia="仿宋_GB2312" w:cs="仿宋_GB2312"/>
                <w:color w:val="000000"/>
                <w:sz w:val="24"/>
                <w:szCs w:val="24"/>
              </w:rPr>
            </w:pPr>
          </w:p>
        </w:tc>
        <w:tc>
          <w:tcPr>
            <w:tcW w:w="1989" w:type="dxa"/>
            <w:gridSpan w:val="3"/>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单位：万元</w:t>
            </w:r>
          </w:p>
        </w:tc>
      </w:tr>
      <w:tr>
        <w:tblPrEx>
          <w:tblCellMar>
            <w:top w:w="15" w:type="dxa"/>
            <w:left w:w="15" w:type="dxa"/>
            <w:bottom w:w="15" w:type="dxa"/>
            <w:right w:w="15" w:type="dxa"/>
          </w:tblCellMar>
        </w:tblPrEx>
        <w:trPr>
          <w:trHeight w:val="461" w:hRule="atLeast"/>
        </w:trPr>
        <w:tc>
          <w:tcPr>
            <w:tcW w:w="3402" w:type="dxa"/>
            <w:gridSpan w:val="5"/>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功能分类科目</w:t>
            </w:r>
          </w:p>
        </w:tc>
        <w:tc>
          <w:tcPr>
            <w:tcW w:w="990" w:type="dxa"/>
            <w:gridSpan w:val="2"/>
            <w:vMerge w:val="restart"/>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2019</w:t>
            </w:r>
            <w:r>
              <w:rPr>
                <w:rFonts w:hint="eastAsia" w:ascii="仿宋_GB2312" w:hAnsi="仿宋_GB2312" w:eastAsia="仿宋_GB2312" w:cs="仿宋_GB2312"/>
                <w:color w:val="000000"/>
                <w:kern w:val="0"/>
                <w:sz w:val="24"/>
                <w:szCs w:val="24"/>
              </w:rPr>
              <w:t>年</w:t>
            </w:r>
          </w:p>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执行数</w:t>
            </w:r>
          </w:p>
        </w:tc>
        <w:tc>
          <w:tcPr>
            <w:tcW w:w="3510" w:type="dxa"/>
            <w:gridSpan w:val="9"/>
            <w:vMerge w:val="restart"/>
            <w:tcBorders>
              <w:top w:val="single" w:color="000000" w:sz="12"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2020</w:t>
            </w:r>
            <w:r>
              <w:rPr>
                <w:rFonts w:hint="eastAsia" w:ascii="仿宋_GB2312" w:hAnsi="仿宋_GB2312" w:eastAsia="仿宋_GB2312" w:cs="仿宋_GB2312"/>
                <w:color w:val="000000"/>
                <w:kern w:val="0"/>
                <w:sz w:val="24"/>
                <w:szCs w:val="24"/>
              </w:rPr>
              <w:t>年预算数</w:t>
            </w:r>
          </w:p>
        </w:tc>
        <w:tc>
          <w:tcPr>
            <w:tcW w:w="2418" w:type="dxa"/>
            <w:gridSpan w:val="6"/>
            <w:vMerge w:val="restart"/>
            <w:tcBorders>
              <w:top w:val="single" w:color="000000" w:sz="12"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rPr>
              <w:t>2020</w:t>
            </w:r>
            <w:r>
              <w:rPr>
                <w:rFonts w:hint="eastAsia" w:ascii="仿宋_GB2312" w:hAnsi="仿宋_GB2312" w:eastAsia="仿宋_GB2312" w:cs="仿宋_GB2312"/>
                <w:color w:val="000000"/>
                <w:kern w:val="0"/>
                <w:sz w:val="24"/>
                <w:szCs w:val="24"/>
              </w:rPr>
              <w:t>年预算数比</w:t>
            </w:r>
            <w:r>
              <w:rPr>
                <w:rFonts w:hint="eastAsia" w:ascii="仿宋_GB2312" w:hAnsi="仿宋_GB2312" w:eastAsia="仿宋_GB2312" w:cs="仿宋_GB2312"/>
                <w:color w:val="000000"/>
                <w:kern w:val="0"/>
                <w:sz w:val="24"/>
                <w:szCs w:val="24"/>
                <w:lang w:eastAsia="zh-CN"/>
              </w:rPr>
              <w:t>2019</w:t>
            </w:r>
            <w:r>
              <w:rPr>
                <w:rFonts w:hint="eastAsia" w:ascii="仿宋_GB2312" w:hAnsi="仿宋_GB2312" w:eastAsia="仿宋_GB2312" w:cs="仿宋_GB2312"/>
                <w:color w:val="000000"/>
                <w:kern w:val="0"/>
                <w:sz w:val="24"/>
                <w:szCs w:val="24"/>
              </w:rPr>
              <w:t>年执行数</w:t>
            </w:r>
          </w:p>
        </w:tc>
      </w:tr>
      <w:tr>
        <w:tblPrEx>
          <w:tblCellMar>
            <w:top w:w="15" w:type="dxa"/>
            <w:left w:w="15" w:type="dxa"/>
            <w:bottom w:w="15" w:type="dxa"/>
            <w:right w:w="15" w:type="dxa"/>
          </w:tblCellMar>
        </w:tblPrEx>
        <w:trPr>
          <w:trHeight w:val="312" w:hRule="atLeast"/>
        </w:trPr>
        <w:tc>
          <w:tcPr>
            <w:tcW w:w="1019" w:type="dxa"/>
            <w:vMerge w:val="restart"/>
            <w:tcBorders>
              <w:top w:val="single" w:color="000000" w:sz="4" w:space="0"/>
              <w:left w:val="single" w:color="000000" w:sz="12" w:space="0"/>
              <w:right w:val="single" w:color="000000" w:sz="4" w:space="0"/>
            </w:tcBorders>
            <w:noWrap w:val="0"/>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科目编码</w:t>
            </w:r>
          </w:p>
        </w:tc>
        <w:tc>
          <w:tcPr>
            <w:tcW w:w="2383" w:type="dxa"/>
            <w:gridSpan w:val="4"/>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科目名称</w:t>
            </w:r>
          </w:p>
        </w:tc>
        <w:tc>
          <w:tcPr>
            <w:tcW w:w="990" w:type="dxa"/>
            <w:gridSpan w:val="2"/>
            <w:vMerge w:val="continue"/>
            <w:tcBorders>
              <w:top w:val="single" w:color="000000" w:sz="12"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3510" w:type="dxa"/>
            <w:gridSpan w:val="9"/>
            <w:vMerge w:val="continue"/>
            <w:tcBorders>
              <w:top w:val="single" w:color="000000" w:sz="12"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418" w:type="dxa"/>
            <w:gridSpan w:val="6"/>
            <w:vMerge w:val="continue"/>
            <w:tcBorders>
              <w:top w:val="single" w:color="000000" w:sz="12" w:space="0"/>
              <w:left w:val="single" w:color="auto" w:sz="4" w:space="0"/>
              <w:bottom w:val="single" w:color="auto"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10" w:hRule="atLeast"/>
        </w:trPr>
        <w:tc>
          <w:tcPr>
            <w:tcW w:w="1019" w:type="dxa"/>
            <w:vMerge w:val="continue"/>
            <w:tcBorders>
              <w:left w:val="single" w:color="000000" w:sz="12" w:space="0"/>
              <w:bottom w:val="single" w:color="000000" w:sz="4" w:space="0"/>
              <w:right w:val="single" w:color="000000" w:sz="4" w:space="0"/>
            </w:tcBorders>
            <w:noWrap w:val="0"/>
            <w:vAlign w:val="center"/>
          </w:tcPr>
          <w:p>
            <w:pPr>
              <w:widowControl/>
              <w:textAlignment w:val="center"/>
              <w:rPr>
                <w:rFonts w:hint="eastAsia" w:ascii="仿宋_GB2312" w:hAnsi="仿宋_GB2312" w:eastAsia="仿宋_GB2312" w:cs="仿宋_GB2312"/>
                <w:color w:val="000000"/>
                <w:kern w:val="0"/>
                <w:sz w:val="24"/>
                <w:szCs w:val="24"/>
              </w:rPr>
            </w:pPr>
          </w:p>
        </w:tc>
        <w:tc>
          <w:tcPr>
            <w:tcW w:w="2383" w:type="dxa"/>
            <w:gridSpan w:val="4"/>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990" w:type="dxa"/>
            <w:gridSpan w:val="2"/>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892" w:type="dxa"/>
            <w:gridSpan w:val="3"/>
            <w:tcBorders>
              <w:top w:val="single" w:color="auto" w:sz="4" w:space="0"/>
              <w:left w:val="single" w:color="000000"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小计</w:t>
            </w: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13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1346" w:type="dxa"/>
            <w:gridSpan w:val="4"/>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增减额</w:t>
            </w:r>
          </w:p>
        </w:tc>
        <w:tc>
          <w:tcPr>
            <w:tcW w:w="1072"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增减%</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201</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一般公共服务支出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39.56</w:t>
            </w:r>
          </w:p>
        </w:tc>
        <w:tc>
          <w:tcPr>
            <w:tcW w:w="892" w:type="dxa"/>
            <w:gridSpan w:val="3"/>
            <w:tcBorders>
              <w:top w:val="single" w:color="auto"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1285" w:type="dxa"/>
            <w:gridSpan w:val="2"/>
            <w:tcBorders>
              <w:top w:val="single" w:color="auto"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1333" w:type="dxa"/>
            <w:gridSpan w:val="4"/>
            <w:tcBorders>
              <w:top w:val="single" w:color="auto"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6.83</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17.26</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2010110</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事业运行</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39.56</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6.83</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17.26</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社会保障和就业支出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6.67</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6.28</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6.28</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-0.39</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-5.85</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2080308</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养老保险支出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6.56</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6.17</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6.17</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-0.39</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-5.95</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20811</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残疾人事业</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0.11</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0.11</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0.11</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221</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住房保障支出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3.94</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0.69</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17.51</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2210201</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住房公积金</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3.94</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0.69</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17.51</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210</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医疗卫生与计划生育支出</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2.64</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0.46</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17.42</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2100502</w:t>
            </w:r>
          </w:p>
        </w:tc>
        <w:tc>
          <w:tcPr>
            <w:tcW w:w="23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事业单位医疗</w:t>
            </w:r>
          </w:p>
        </w:tc>
        <w:tc>
          <w:tcPr>
            <w:tcW w:w="99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2.64</w:t>
            </w:r>
          </w:p>
        </w:tc>
        <w:tc>
          <w:tcPr>
            <w:tcW w:w="892" w:type="dxa"/>
            <w:gridSpan w:val="3"/>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1285"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1333" w:type="dxa"/>
            <w:gridSpan w:val="4"/>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p>
        </w:tc>
        <w:tc>
          <w:tcPr>
            <w:tcW w:w="1346"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0.46</w:t>
            </w:r>
          </w:p>
        </w:tc>
        <w:tc>
          <w:tcPr>
            <w:tcW w:w="1072"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17.42</w:t>
            </w:r>
          </w:p>
        </w:tc>
      </w:tr>
      <w:tr>
        <w:tblPrEx>
          <w:tblCellMar>
            <w:top w:w="15" w:type="dxa"/>
            <w:left w:w="15" w:type="dxa"/>
            <w:bottom w:w="15" w:type="dxa"/>
            <w:right w:w="15" w:type="dxa"/>
          </w:tblCellMar>
        </w:tblPrEx>
        <w:trPr>
          <w:trHeight w:val="300" w:hRule="atLeast"/>
        </w:trPr>
        <w:tc>
          <w:tcPr>
            <w:tcW w:w="1019" w:type="dxa"/>
            <w:tcBorders>
              <w:top w:val="single" w:color="000000" w:sz="4" w:space="0"/>
              <w:left w:val="single" w:color="000000" w:sz="12" w:space="0"/>
              <w:bottom w:val="single" w:color="000000" w:sz="12"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t>
            </w:r>
          </w:p>
        </w:tc>
        <w:tc>
          <w:tcPr>
            <w:tcW w:w="2383" w:type="dxa"/>
            <w:gridSpan w:val="4"/>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990" w:type="dxa"/>
            <w:gridSpan w:val="2"/>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52.70</w:t>
            </w:r>
          </w:p>
        </w:tc>
        <w:tc>
          <w:tcPr>
            <w:tcW w:w="892" w:type="dxa"/>
            <w:gridSpan w:val="3"/>
            <w:tcBorders>
              <w:top w:val="single" w:color="000000" w:sz="4" w:space="0"/>
              <w:left w:val="single" w:color="000000" w:sz="4" w:space="0"/>
              <w:bottom w:val="single" w:color="000000" w:sz="12"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1285" w:type="dxa"/>
            <w:gridSpan w:val="2"/>
            <w:tcBorders>
              <w:top w:val="single" w:color="000000" w:sz="4" w:space="0"/>
              <w:left w:val="single" w:color="auto" w:sz="4" w:space="0"/>
              <w:bottom w:val="single" w:color="000000" w:sz="12"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1333" w:type="dxa"/>
            <w:gridSpan w:val="4"/>
            <w:tcBorders>
              <w:top w:val="single" w:color="000000" w:sz="4" w:space="0"/>
              <w:left w:val="single" w:color="auto"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346" w:type="dxa"/>
            <w:gridSpan w:val="4"/>
            <w:tcBorders>
              <w:top w:val="single" w:color="000000" w:sz="4" w:space="0"/>
              <w:left w:val="single" w:color="000000" w:sz="4" w:space="0"/>
              <w:bottom w:val="single" w:color="000000" w:sz="12" w:space="0"/>
              <w:right w:val="single" w:color="auto"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7.7</w:t>
            </w:r>
          </w:p>
        </w:tc>
        <w:tc>
          <w:tcPr>
            <w:tcW w:w="1072" w:type="dxa"/>
            <w:gridSpan w:val="2"/>
            <w:tcBorders>
              <w:top w:val="single" w:color="000000" w:sz="4" w:space="0"/>
              <w:left w:val="single" w:color="auto" w:sz="4" w:space="0"/>
              <w:bottom w:val="single" w:color="000000" w:sz="12"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14.61</w:t>
            </w:r>
          </w:p>
        </w:tc>
      </w:tr>
      <w:tr>
        <w:tblPrEx>
          <w:tblCellMar>
            <w:top w:w="15" w:type="dxa"/>
            <w:left w:w="15" w:type="dxa"/>
            <w:bottom w:w="15" w:type="dxa"/>
            <w:right w:w="15" w:type="dxa"/>
          </w:tblCellMar>
        </w:tblPrEx>
        <w:trPr>
          <w:trHeight w:val="360" w:hRule="atLeast"/>
        </w:trPr>
        <w:tc>
          <w:tcPr>
            <w:tcW w:w="10320" w:type="dxa"/>
            <w:gridSpan w:val="22"/>
            <w:noWrap w:val="0"/>
            <w:vAlign w:val="center"/>
          </w:tcPr>
          <w:p>
            <w:pPr>
              <w:widowControl/>
              <w:jc w:val="left"/>
              <w:textAlignment w:val="center"/>
              <w:rPr>
                <w:rFonts w:hint="eastAsia" w:ascii="仿宋_GB2312" w:hAnsi="仿宋_GB2312" w:eastAsia="仿宋_GB2312" w:cs="仿宋_GB2312"/>
                <w:color w:val="000000"/>
                <w:sz w:val="24"/>
                <w:szCs w:val="24"/>
              </w:rPr>
            </w:pPr>
          </w:p>
        </w:tc>
      </w:tr>
    </w:tbl>
    <w:p>
      <w:pPr>
        <w:spacing w:line="360" w:lineRule="auto"/>
        <w:jc w:val="center"/>
        <w:rPr>
          <w:rFonts w:ascii="宋体" w:cs="??"/>
          <w:color w:val="000000"/>
          <w:sz w:val="52"/>
          <w:szCs w:val="52"/>
        </w:rPr>
      </w:pPr>
    </w:p>
    <w:p>
      <w:pPr>
        <w:spacing w:line="360" w:lineRule="auto"/>
        <w:jc w:val="center"/>
        <w:rPr>
          <w:rFonts w:ascii="宋体" w:cs="??"/>
          <w:color w:val="000000"/>
          <w:sz w:val="52"/>
          <w:szCs w:val="52"/>
        </w:rPr>
      </w:pPr>
    </w:p>
    <w:p>
      <w:pPr>
        <w:spacing w:line="360" w:lineRule="auto"/>
        <w:jc w:val="both"/>
        <w:rPr>
          <w:rFonts w:ascii="宋体" w:cs="??"/>
          <w:color w:val="000000"/>
          <w:sz w:val="52"/>
          <w:szCs w:val="52"/>
        </w:rPr>
      </w:pPr>
    </w:p>
    <w:p>
      <w:pPr>
        <w:spacing w:line="360" w:lineRule="auto"/>
        <w:rPr>
          <w:rFonts w:ascii="宋体" w:cs="??"/>
          <w:color w:val="000000"/>
          <w:sz w:val="52"/>
          <w:szCs w:val="52"/>
        </w:rPr>
        <w:sectPr>
          <w:footerReference r:id="rId4" w:type="default"/>
          <w:pgSz w:w="11906" w:h="16838"/>
          <w:pgMar w:top="1440" w:right="1800" w:bottom="1440" w:left="1800" w:header="851" w:footer="992" w:gutter="0"/>
          <w:pgNumType w:fmt="numberInDash" w:start="1"/>
          <w:cols w:space="720" w:num="1"/>
          <w:docGrid w:type="lines" w:linePitch="312" w:charSpace="0"/>
        </w:sectPr>
      </w:pPr>
    </w:p>
    <w:tbl>
      <w:tblPr>
        <w:tblStyle w:val="3"/>
        <w:tblW w:w="0" w:type="auto"/>
        <w:jc w:val="center"/>
        <w:tblLayout w:type="fixed"/>
        <w:tblCellMar>
          <w:top w:w="15" w:type="dxa"/>
          <w:left w:w="15" w:type="dxa"/>
          <w:bottom w:w="15" w:type="dxa"/>
          <w:right w:w="15" w:type="dxa"/>
        </w:tblCellMar>
      </w:tblPr>
      <w:tblGrid>
        <w:gridCol w:w="900"/>
        <w:gridCol w:w="1472"/>
        <w:gridCol w:w="1257"/>
        <w:gridCol w:w="1562"/>
        <w:gridCol w:w="572"/>
        <w:gridCol w:w="1407"/>
        <w:gridCol w:w="387"/>
        <w:gridCol w:w="1188"/>
      </w:tblGrid>
      <w:tr>
        <w:tblPrEx>
          <w:tblCellMar>
            <w:top w:w="15" w:type="dxa"/>
            <w:left w:w="15" w:type="dxa"/>
            <w:bottom w:w="15" w:type="dxa"/>
            <w:right w:w="15" w:type="dxa"/>
          </w:tblCellMar>
        </w:tblPrEx>
        <w:trPr>
          <w:trHeight w:val="90" w:hRule="atLeast"/>
          <w:jc w:val="center"/>
        </w:trPr>
        <w:tc>
          <w:tcPr>
            <w:tcW w:w="8745" w:type="dxa"/>
            <w:gridSpan w:val="8"/>
            <w:noWrap w:val="0"/>
            <w:vAlign w:val="bottom"/>
          </w:tcPr>
          <w:p>
            <w:pPr>
              <w:widowControl/>
              <w:jc w:val="right"/>
              <w:textAlignment w:val="bottom"/>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部门公开表3</w:t>
            </w:r>
          </w:p>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8"/>
                <w:szCs w:val="28"/>
              </w:rPr>
              <w:t>一般公共预算支出基本支出情况表</w:t>
            </w:r>
          </w:p>
        </w:tc>
      </w:tr>
      <w:tr>
        <w:tblPrEx>
          <w:tblCellMar>
            <w:top w:w="15" w:type="dxa"/>
            <w:left w:w="15" w:type="dxa"/>
            <w:bottom w:w="15" w:type="dxa"/>
            <w:right w:w="15" w:type="dxa"/>
          </w:tblCellMar>
        </w:tblPrEx>
        <w:trPr>
          <w:trHeight w:val="270" w:hRule="atLeast"/>
          <w:jc w:val="center"/>
        </w:trPr>
        <w:tc>
          <w:tcPr>
            <w:tcW w:w="2372" w:type="dxa"/>
            <w:gridSpan w:val="2"/>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部门：罗山石材园区</w:t>
            </w:r>
          </w:p>
        </w:tc>
        <w:tc>
          <w:tcPr>
            <w:tcW w:w="1257" w:type="dxa"/>
            <w:noWrap w:val="0"/>
            <w:vAlign w:val="center"/>
          </w:tcPr>
          <w:p>
            <w:pPr>
              <w:rPr>
                <w:rFonts w:hint="eastAsia" w:ascii="仿宋_GB2312" w:hAnsi="仿宋_GB2312" w:eastAsia="仿宋_GB2312" w:cs="仿宋_GB2312"/>
                <w:color w:val="000000"/>
                <w:sz w:val="24"/>
                <w:szCs w:val="24"/>
              </w:rPr>
            </w:pPr>
          </w:p>
        </w:tc>
        <w:tc>
          <w:tcPr>
            <w:tcW w:w="2134" w:type="dxa"/>
            <w:gridSpan w:val="2"/>
            <w:noWrap w:val="0"/>
            <w:vAlign w:val="center"/>
          </w:tcPr>
          <w:p>
            <w:pPr>
              <w:rPr>
                <w:rFonts w:hint="eastAsia" w:ascii="仿宋_GB2312" w:hAnsi="仿宋_GB2312" w:eastAsia="仿宋_GB2312" w:cs="仿宋_GB2312"/>
                <w:color w:val="000000"/>
                <w:sz w:val="24"/>
                <w:szCs w:val="24"/>
              </w:rPr>
            </w:pPr>
          </w:p>
        </w:tc>
        <w:tc>
          <w:tcPr>
            <w:tcW w:w="1794" w:type="dxa"/>
            <w:gridSpan w:val="2"/>
            <w:noWrap w:val="0"/>
            <w:vAlign w:val="center"/>
          </w:tcPr>
          <w:p>
            <w:pPr>
              <w:rPr>
                <w:rFonts w:hint="eastAsia" w:ascii="仿宋_GB2312" w:hAnsi="仿宋_GB2312" w:eastAsia="仿宋_GB2312" w:cs="仿宋_GB2312"/>
                <w:color w:val="000000"/>
                <w:sz w:val="24"/>
                <w:szCs w:val="24"/>
              </w:rPr>
            </w:pPr>
          </w:p>
        </w:tc>
        <w:tc>
          <w:tcPr>
            <w:tcW w:w="1188" w:type="dxa"/>
            <w:noWrap w:val="0"/>
            <w:vAlign w:val="center"/>
          </w:tcPr>
          <w:p>
            <w:pPr>
              <w:widowControl/>
              <w:jc w:val="right"/>
              <w:textAlignment w:val="center"/>
              <w:rPr>
                <w:rFonts w:hint="eastAsia" w:ascii="仿宋_GB2312" w:hAnsi="仿宋_GB2312" w:eastAsia="仿宋_GB2312" w:cs="仿宋_GB2312"/>
                <w:color w:val="0D0D0D"/>
                <w:sz w:val="24"/>
                <w:szCs w:val="24"/>
              </w:rPr>
            </w:pPr>
            <w:r>
              <w:rPr>
                <w:rFonts w:hint="eastAsia" w:ascii="仿宋_GB2312" w:hAnsi="仿宋_GB2312" w:eastAsia="仿宋_GB2312" w:cs="仿宋_GB2312"/>
                <w:color w:val="0D0D0D"/>
                <w:kern w:val="0"/>
                <w:sz w:val="24"/>
                <w:szCs w:val="24"/>
              </w:rPr>
              <w:t>单位：万元</w:t>
            </w:r>
          </w:p>
        </w:tc>
      </w:tr>
      <w:tr>
        <w:tblPrEx>
          <w:tblCellMar>
            <w:top w:w="15" w:type="dxa"/>
            <w:left w:w="15" w:type="dxa"/>
            <w:bottom w:w="15" w:type="dxa"/>
            <w:right w:w="15" w:type="dxa"/>
          </w:tblCellMar>
        </w:tblPrEx>
        <w:trPr>
          <w:trHeight w:val="300" w:hRule="atLeast"/>
          <w:jc w:val="center"/>
        </w:trPr>
        <w:tc>
          <w:tcPr>
            <w:tcW w:w="3629" w:type="dxa"/>
            <w:gridSpan w:val="3"/>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经济分类科目</w:t>
            </w:r>
          </w:p>
        </w:tc>
        <w:tc>
          <w:tcPr>
            <w:tcW w:w="5116" w:type="dxa"/>
            <w:gridSpan w:val="5"/>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eastAsia="zh-CN"/>
              </w:rPr>
              <w:t>2020</w:t>
            </w:r>
            <w:r>
              <w:rPr>
                <w:rFonts w:hint="eastAsia" w:ascii="仿宋_GB2312" w:hAnsi="仿宋_GB2312" w:eastAsia="仿宋_GB2312" w:cs="仿宋_GB2312"/>
                <w:b/>
                <w:color w:val="000000"/>
                <w:kern w:val="0"/>
                <w:sz w:val="24"/>
                <w:szCs w:val="24"/>
              </w:rPr>
              <w:t>年基本支出</w:t>
            </w:r>
          </w:p>
        </w:tc>
      </w:tr>
      <w:tr>
        <w:tblPrEx>
          <w:tblCellMar>
            <w:top w:w="15" w:type="dxa"/>
            <w:left w:w="15" w:type="dxa"/>
            <w:bottom w:w="15" w:type="dxa"/>
            <w:right w:w="15" w:type="dxa"/>
          </w:tblCellMar>
        </w:tblPrEx>
        <w:trPr>
          <w:trHeight w:val="6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科目编码</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科目名称</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合计</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人员经费</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公用经费</w:t>
            </w: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301</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工资福利支出</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57.68</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b/>
                <w:color w:val="000000"/>
                <w:sz w:val="24"/>
                <w:szCs w:val="24"/>
                <w:lang w:val="en-US" w:eastAsia="zh-CN"/>
              </w:rPr>
              <w:t>57.68</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b/>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30101</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基本工资</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28.34</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28.34</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30102</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津贴补贴</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5.63</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5.63</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30103</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奖金</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4.51</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4.51</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30107</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绩效工资</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5.18</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5.18</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30108</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机关事业单位基本养老保险缴费</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6.17</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6.17</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30110</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职工基本医疗保险缴费</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3.11</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3.11</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30112</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其他社会保障缴费</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0.11</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0.11</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30113</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40" w:firstLineChars="1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住房公积金 </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4.63</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4.63</w:t>
            </w: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302</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商品和服务支出</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lang w:val="en-US" w:eastAsia="zh-CN"/>
              </w:rPr>
              <w:t>2.72</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000000"/>
                <w:sz w:val="24"/>
                <w:szCs w:val="24"/>
                <w:lang w:val="en-US" w:eastAsia="zh-CN"/>
              </w:rPr>
              <w:t>2.72</w:t>
            </w:r>
          </w:p>
        </w:tc>
      </w:tr>
      <w:tr>
        <w:tblPrEx>
          <w:tblCellMar>
            <w:top w:w="15" w:type="dxa"/>
            <w:left w:w="15" w:type="dxa"/>
            <w:bottom w:w="15" w:type="dxa"/>
            <w:right w:w="15" w:type="dxa"/>
          </w:tblCellMar>
        </w:tblPrEx>
        <w:trPr>
          <w:trHeight w:val="300" w:hRule="atLeast"/>
          <w:jc w:val="center"/>
        </w:trPr>
        <w:tc>
          <w:tcPr>
            <w:tcW w:w="900"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30201</w:t>
            </w:r>
          </w:p>
        </w:tc>
        <w:tc>
          <w:tcPr>
            <w:tcW w:w="272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办公费</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1.80</w:t>
            </w:r>
          </w:p>
        </w:tc>
        <w:tc>
          <w:tcPr>
            <w:tcW w:w="197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575"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1.80</w:t>
            </w:r>
          </w:p>
        </w:tc>
      </w:tr>
      <w:tr>
        <w:tblPrEx>
          <w:tblCellMar>
            <w:top w:w="15" w:type="dxa"/>
            <w:left w:w="15" w:type="dxa"/>
            <w:bottom w:w="15" w:type="dxa"/>
            <w:right w:w="15"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30229</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福利费</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0.92</w:t>
            </w: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right"/>
              <w:textAlignment w:val="center"/>
              <w:rPr>
                <w:rFonts w:hint="eastAsia" w:ascii="仿宋_GB2312" w:hAnsi="仿宋_GB2312" w:eastAsia="仿宋_GB2312" w:cs="仿宋_GB2312"/>
                <w:color w:val="000000"/>
                <w:sz w:val="24"/>
                <w:szCs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0.92</w:t>
            </w:r>
          </w:p>
        </w:tc>
      </w:tr>
      <w:tr>
        <w:tblPrEx>
          <w:tblCellMar>
            <w:top w:w="15" w:type="dxa"/>
            <w:left w:w="15" w:type="dxa"/>
            <w:bottom w:w="15" w:type="dxa"/>
            <w:right w:w="15"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30231</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  公务用车运行维护费</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right"/>
              <w:textAlignment w:val="center"/>
              <w:rPr>
                <w:rFonts w:hint="eastAsia" w:ascii="仿宋_GB2312" w:hAnsi="仿宋_GB2312" w:eastAsia="仿宋_GB2312" w:cs="仿宋_GB2312"/>
                <w:color w:val="000000"/>
                <w:sz w:val="24"/>
                <w:szCs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p>
        </w:tc>
      </w:tr>
      <w:tr>
        <w:tblPrEx>
          <w:tblCellMar>
            <w:top w:w="15" w:type="dxa"/>
            <w:left w:w="15" w:type="dxa"/>
            <w:bottom w:w="15" w:type="dxa"/>
            <w:right w:w="15"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kern w:val="0"/>
                <w:sz w:val="24"/>
                <w:szCs w:val="24"/>
              </w:rPr>
              <w:t>303</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kern w:val="0"/>
                <w:sz w:val="24"/>
                <w:szCs w:val="24"/>
              </w:rPr>
              <w:t>对个人和家庭的补助</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right"/>
              <w:textAlignment w:val="center"/>
              <w:rPr>
                <w:rFonts w:hint="eastAsia" w:ascii="仿宋_GB2312" w:hAnsi="仿宋_GB2312" w:eastAsia="仿宋_GB2312" w:cs="仿宋_GB2312"/>
                <w:color w:val="000000"/>
                <w:sz w:val="24"/>
                <w:szCs w:val="24"/>
              </w:rPr>
            </w:pP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1979"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57.68</w:t>
            </w: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w:t>
            </w:r>
          </w:p>
        </w:tc>
      </w:tr>
    </w:tbl>
    <w:p>
      <w:pPr>
        <w:widowControl/>
        <w:jc w:val="center"/>
        <w:textAlignment w:val="center"/>
        <w:rPr>
          <w:rFonts w:ascii="宋体" w:cs="黑体"/>
          <w:color w:val="000000"/>
          <w:kern w:val="0"/>
          <w:sz w:val="28"/>
          <w:szCs w:val="28"/>
        </w:rPr>
      </w:pPr>
    </w:p>
    <w:p>
      <w:pPr>
        <w:widowControl/>
        <w:textAlignment w:val="center"/>
        <w:rPr>
          <w:rFonts w:ascii="宋体" w:cs="黑体"/>
          <w:color w:val="000000"/>
          <w:kern w:val="0"/>
          <w:sz w:val="28"/>
          <w:szCs w:val="28"/>
        </w:rPr>
      </w:pPr>
    </w:p>
    <w:tbl>
      <w:tblPr>
        <w:tblStyle w:val="3"/>
        <w:tblW w:w="0" w:type="auto"/>
        <w:tblInd w:w="-1081" w:type="dxa"/>
        <w:tblLayout w:type="fixed"/>
        <w:tblCellMar>
          <w:top w:w="15" w:type="dxa"/>
          <w:left w:w="15" w:type="dxa"/>
          <w:bottom w:w="15" w:type="dxa"/>
          <w:right w:w="15" w:type="dxa"/>
        </w:tblCellMar>
      </w:tblPr>
      <w:tblGrid>
        <w:gridCol w:w="735"/>
        <w:gridCol w:w="973"/>
        <w:gridCol w:w="524"/>
        <w:gridCol w:w="229"/>
        <w:gridCol w:w="11"/>
        <w:gridCol w:w="693"/>
        <w:gridCol w:w="623"/>
        <w:gridCol w:w="70"/>
        <w:gridCol w:w="693"/>
        <w:gridCol w:w="347"/>
        <w:gridCol w:w="1090"/>
        <w:gridCol w:w="707"/>
        <w:gridCol w:w="1013"/>
        <w:gridCol w:w="507"/>
        <w:gridCol w:w="893"/>
        <w:gridCol w:w="747"/>
        <w:gridCol w:w="733"/>
        <w:gridCol w:w="640"/>
        <w:gridCol w:w="987"/>
        <w:gridCol w:w="640"/>
        <w:gridCol w:w="760"/>
        <w:gridCol w:w="733"/>
        <w:gridCol w:w="774"/>
      </w:tblGrid>
      <w:tr>
        <w:tblPrEx>
          <w:tblCellMar>
            <w:top w:w="15" w:type="dxa"/>
            <w:left w:w="15" w:type="dxa"/>
            <w:bottom w:w="15" w:type="dxa"/>
            <w:right w:w="15" w:type="dxa"/>
          </w:tblCellMar>
        </w:tblPrEx>
        <w:trPr>
          <w:trHeight w:val="375" w:hRule="atLeast"/>
        </w:trPr>
        <w:tc>
          <w:tcPr>
            <w:tcW w:w="15122" w:type="dxa"/>
            <w:gridSpan w:val="23"/>
            <w:noWrap w:val="0"/>
            <w:vAlign w:val="bottom"/>
          </w:tcPr>
          <w:p>
            <w:pPr>
              <w:widowControl/>
              <w:jc w:val="right"/>
              <w:textAlignment w:val="bottom"/>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部门公开表4</w:t>
            </w:r>
          </w:p>
          <w:p>
            <w:pPr>
              <w:widowControl/>
              <w:jc w:val="center"/>
              <w:textAlignment w:val="bottom"/>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8"/>
                <w:szCs w:val="28"/>
              </w:rPr>
              <w:t>一般公共预算“三公”经费支情况表</w:t>
            </w:r>
          </w:p>
        </w:tc>
      </w:tr>
      <w:tr>
        <w:tblPrEx>
          <w:tblCellMar>
            <w:top w:w="15" w:type="dxa"/>
            <w:left w:w="15" w:type="dxa"/>
            <w:bottom w:w="15" w:type="dxa"/>
            <w:right w:w="15" w:type="dxa"/>
          </w:tblCellMar>
        </w:tblPrEx>
        <w:trPr>
          <w:trHeight w:val="270" w:hRule="atLeast"/>
        </w:trPr>
        <w:tc>
          <w:tcPr>
            <w:tcW w:w="2232" w:type="dxa"/>
            <w:gridSpan w:val="3"/>
            <w:noWrap w:val="0"/>
            <w:vAlign w:val="center"/>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w:t>
            </w:r>
            <w:r>
              <w:rPr>
                <w:rFonts w:hint="eastAsia" w:ascii="仿宋_GB2312" w:hAnsi="仿宋_GB2312" w:eastAsia="仿宋_GB2312" w:cs="仿宋_GB2312"/>
                <w:color w:val="000000"/>
                <w:sz w:val="24"/>
                <w:szCs w:val="24"/>
                <w:lang w:eastAsia="zh-CN"/>
              </w:rPr>
              <w:t>罗山</w:t>
            </w:r>
            <w:r>
              <w:rPr>
                <w:rFonts w:hint="eastAsia" w:ascii="仿宋_GB2312" w:hAnsi="仿宋_GB2312" w:eastAsia="仿宋_GB2312" w:cs="仿宋_GB2312"/>
                <w:color w:val="000000"/>
                <w:sz w:val="24"/>
                <w:szCs w:val="24"/>
              </w:rPr>
              <w:t>石材园区</w:t>
            </w:r>
          </w:p>
        </w:tc>
        <w:tc>
          <w:tcPr>
            <w:tcW w:w="240" w:type="dxa"/>
            <w:gridSpan w:val="2"/>
            <w:noWrap w:val="0"/>
            <w:vAlign w:val="center"/>
          </w:tcPr>
          <w:p>
            <w:pPr>
              <w:rPr>
                <w:rFonts w:hint="eastAsia" w:ascii="仿宋_GB2312" w:hAnsi="仿宋_GB2312" w:eastAsia="仿宋_GB2312" w:cs="仿宋_GB2312"/>
                <w:color w:val="000000"/>
                <w:sz w:val="24"/>
                <w:szCs w:val="24"/>
              </w:rPr>
            </w:pPr>
          </w:p>
        </w:tc>
        <w:tc>
          <w:tcPr>
            <w:tcW w:w="693" w:type="dxa"/>
            <w:noWrap w:val="0"/>
            <w:vAlign w:val="center"/>
          </w:tcPr>
          <w:p>
            <w:pPr>
              <w:rPr>
                <w:rFonts w:hint="eastAsia" w:ascii="仿宋_GB2312" w:hAnsi="仿宋_GB2312" w:eastAsia="仿宋_GB2312" w:cs="仿宋_GB2312"/>
                <w:color w:val="000000"/>
                <w:sz w:val="24"/>
                <w:szCs w:val="24"/>
              </w:rPr>
            </w:pPr>
          </w:p>
        </w:tc>
        <w:tc>
          <w:tcPr>
            <w:tcW w:w="693" w:type="dxa"/>
            <w:gridSpan w:val="2"/>
            <w:noWrap w:val="0"/>
            <w:vAlign w:val="center"/>
          </w:tcPr>
          <w:p>
            <w:pPr>
              <w:rPr>
                <w:rFonts w:hint="eastAsia" w:ascii="仿宋_GB2312" w:hAnsi="仿宋_GB2312" w:eastAsia="仿宋_GB2312" w:cs="仿宋_GB2312"/>
                <w:color w:val="000000"/>
                <w:sz w:val="24"/>
                <w:szCs w:val="24"/>
              </w:rPr>
            </w:pPr>
          </w:p>
        </w:tc>
        <w:tc>
          <w:tcPr>
            <w:tcW w:w="693" w:type="dxa"/>
            <w:noWrap w:val="0"/>
            <w:vAlign w:val="center"/>
          </w:tcPr>
          <w:p>
            <w:pPr>
              <w:rPr>
                <w:rFonts w:hint="eastAsia" w:ascii="仿宋_GB2312" w:hAnsi="仿宋_GB2312" w:eastAsia="仿宋_GB2312" w:cs="仿宋_GB2312"/>
                <w:color w:val="000000"/>
                <w:sz w:val="24"/>
                <w:szCs w:val="24"/>
              </w:rPr>
            </w:pPr>
          </w:p>
        </w:tc>
        <w:tc>
          <w:tcPr>
            <w:tcW w:w="6037" w:type="dxa"/>
            <w:gridSpan w:val="8"/>
            <w:noWrap w:val="0"/>
            <w:vAlign w:val="center"/>
          </w:tcPr>
          <w:p>
            <w:pPr>
              <w:rPr>
                <w:rFonts w:hint="eastAsia" w:ascii="仿宋_GB2312" w:hAnsi="仿宋_GB2312" w:eastAsia="仿宋_GB2312" w:cs="仿宋_GB2312"/>
                <w:color w:val="000000"/>
                <w:sz w:val="24"/>
                <w:szCs w:val="24"/>
              </w:rPr>
            </w:pPr>
          </w:p>
        </w:tc>
        <w:tc>
          <w:tcPr>
            <w:tcW w:w="4534" w:type="dxa"/>
            <w:gridSpan w:val="6"/>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单位：万元</w:t>
            </w:r>
          </w:p>
        </w:tc>
      </w:tr>
      <w:tr>
        <w:tblPrEx>
          <w:tblCellMar>
            <w:top w:w="15" w:type="dxa"/>
            <w:left w:w="15" w:type="dxa"/>
            <w:bottom w:w="15" w:type="dxa"/>
            <w:right w:w="15" w:type="dxa"/>
          </w:tblCellMar>
        </w:tblPrEx>
        <w:trPr>
          <w:trHeight w:val="300" w:hRule="atLeast"/>
        </w:trPr>
        <w:tc>
          <w:tcPr>
            <w:tcW w:w="5988" w:type="dxa"/>
            <w:gridSpan w:val="11"/>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eastAsia="zh-CN"/>
              </w:rPr>
              <w:t>2019</w:t>
            </w:r>
            <w:r>
              <w:rPr>
                <w:rFonts w:hint="eastAsia" w:ascii="仿宋_GB2312" w:hAnsi="仿宋_GB2312" w:eastAsia="仿宋_GB2312" w:cs="仿宋_GB2312"/>
                <w:b/>
                <w:color w:val="000000"/>
                <w:sz w:val="24"/>
                <w:szCs w:val="24"/>
              </w:rPr>
              <w:t>年预算数</w:t>
            </w:r>
          </w:p>
        </w:tc>
        <w:tc>
          <w:tcPr>
            <w:tcW w:w="4600" w:type="dxa"/>
            <w:gridSpan w:val="6"/>
            <w:tcBorders>
              <w:top w:val="single" w:color="000000" w:sz="12"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lang w:eastAsia="zh-CN"/>
              </w:rPr>
              <w:t>2019</w:t>
            </w:r>
            <w:r>
              <w:rPr>
                <w:rFonts w:hint="eastAsia" w:ascii="仿宋_GB2312" w:hAnsi="仿宋_GB2312" w:eastAsia="仿宋_GB2312" w:cs="仿宋_GB2312"/>
                <w:b/>
                <w:color w:val="000000"/>
                <w:kern w:val="0"/>
                <w:sz w:val="24"/>
                <w:szCs w:val="24"/>
              </w:rPr>
              <w:t>年度执行数</w:t>
            </w:r>
          </w:p>
        </w:tc>
        <w:tc>
          <w:tcPr>
            <w:tcW w:w="4534" w:type="dxa"/>
            <w:gridSpan w:val="6"/>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eastAsia="zh-CN"/>
              </w:rPr>
              <w:t>2020</w:t>
            </w:r>
            <w:r>
              <w:rPr>
                <w:rFonts w:hint="eastAsia" w:ascii="仿宋_GB2312" w:hAnsi="仿宋_GB2312" w:eastAsia="仿宋_GB2312" w:cs="仿宋_GB2312"/>
                <w:b/>
                <w:color w:val="000000"/>
                <w:kern w:val="0"/>
                <w:sz w:val="24"/>
                <w:szCs w:val="24"/>
              </w:rPr>
              <w:t>年度预算数</w:t>
            </w:r>
          </w:p>
        </w:tc>
      </w:tr>
      <w:tr>
        <w:tblPrEx>
          <w:tblCellMar>
            <w:top w:w="15" w:type="dxa"/>
            <w:left w:w="15" w:type="dxa"/>
            <w:bottom w:w="15" w:type="dxa"/>
            <w:right w:w="15" w:type="dxa"/>
          </w:tblCellMar>
        </w:tblPrEx>
        <w:trPr>
          <w:trHeight w:val="600" w:hRule="atLeast"/>
        </w:trPr>
        <w:tc>
          <w:tcPr>
            <w:tcW w:w="735" w:type="dxa"/>
            <w:vMerge w:val="restart"/>
            <w:tcBorders>
              <w:top w:val="single" w:color="000000" w:sz="4" w:space="0"/>
              <w:left w:val="single" w:color="000000" w:sz="12"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合计</w:t>
            </w:r>
          </w:p>
        </w:tc>
        <w:tc>
          <w:tcPr>
            <w:tcW w:w="973"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因公出国（境）费</w:t>
            </w:r>
          </w:p>
        </w:tc>
        <w:tc>
          <w:tcPr>
            <w:tcW w:w="4280"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公务用车购置及运行费</w:t>
            </w:r>
          </w:p>
        </w:tc>
        <w:tc>
          <w:tcPr>
            <w:tcW w:w="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合计</w:t>
            </w: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因公出国</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（境）费</w:t>
            </w:r>
          </w:p>
        </w:tc>
        <w:tc>
          <w:tcPr>
            <w:tcW w:w="28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公务用车购置及运行费</w:t>
            </w:r>
          </w:p>
        </w:tc>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合计</w:t>
            </w:r>
          </w:p>
        </w:tc>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因公出国</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（境）费</w:t>
            </w:r>
          </w:p>
        </w:tc>
        <w:tc>
          <w:tcPr>
            <w:tcW w:w="2907" w:type="dxa"/>
            <w:gridSpan w:val="4"/>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公务用车购置及运行费</w:t>
            </w:r>
          </w:p>
        </w:tc>
      </w:tr>
      <w:tr>
        <w:tblPrEx>
          <w:tblCellMar>
            <w:top w:w="15" w:type="dxa"/>
            <w:left w:w="15" w:type="dxa"/>
            <w:bottom w:w="15" w:type="dxa"/>
            <w:right w:w="15" w:type="dxa"/>
          </w:tblCellMar>
        </w:tblPrEx>
        <w:trPr>
          <w:trHeight w:val="600" w:hRule="atLeast"/>
        </w:trPr>
        <w:tc>
          <w:tcPr>
            <w:tcW w:w="735" w:type="dxa"/>
            <w:vMerge w:val="continue"/>
            <w:tcBorders>
              <w:left w:val="single" w:color="000000" w:sz="12"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p>
        </w:tc>
        <w:tc>
          <w:tcPr>
            <w:tcW w:w="973" w:type="dxa"/>
            <w:vMerge w:val="continue"/>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p>
        </w:tc>
        <w:tc>
          <w:tcPr>
            <w:tcW w:w="75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小计</w:t>
            </w:r>
          </w:p>
        </w:tc>
        <w:tc>
          <w:tcPr>
            <w:tcW w:w="132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公务用车</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购置费</w:t>
            </w:r>
          </w:p>
        </w:tc>
        <w:tc>
          <w:tcPr>
            <w:tcW w:w="11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公务用车</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运行费</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公务</w:t>
            </w:r>
          </w:p>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接待费</w:t>
            </w:r>
          </w:p>
        </w:tc>
        <w:tc>
          <w:tcPr>
            <w:tcW w:w="70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color w:val="000000"/>
                <w:sz w:val="24"/>
                <w:szCs w:val="24"/>
              </w:rPr>
            </w:pP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color w:val="000000"/>
                <w:sz w:val="24"/>
                <w:szCs w:val="24"/>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小计</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购置费</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运行费</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公务</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接待费</w:t>
            </w:r>
          </w:p>
        </w:tc>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color w:val="000000"/>
                <w:sz w:val="24"/>
                <w:szCs w:val="24"/>
              </w:rPr>
            </w:pPr>
          </w:p>
        </w:tc>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b/>
                <w:color w:val="000000"/>
                <w:sz w:val="24"/>
                <w:szCs w:val="24"/>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小计</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购置费</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公务用车</w:t>
            </w:r>
            <w:r>
              <w:rPr>
                <w:rFonts w:hint="eastAsia" w:ascii="仿宋_GB2312" w:hAnsi="仿宋_GB2312" w:eastAsia="仿宋_GB2312" w:cs="仿宋_GB2312"/>
                <w:b/>
                <w:color w:val="000000"/>
                <w:kern w:val="0"/>
                <w:sz w:val="24"/>
                <w:szCs w:val="24"/>
              </w:rPr>
              <w:br w:type="textWrapping"/>
            </w:r>
            <w:r>
              <w:rPr>
                <w:rFonts w:hint="eastAsia" w:ascii="仿宋_GB2312" w:hAnsi="仿宋_GB2312" w:eastAsia="仿宋_GB2312" w:cs="仿宋_GB2312"/>
                <w:b/>
                <w:color w:val="000000"/>
                <w:kern w:val="0"/>
                <w:sz w:val="24"/>
                <w:szCs w:val="24"/>
              </w:rPr>
              <w:t>运行费</w:t>
            </w:r>
          </w:p>
        </w:tc>
        <w:tc>
          <w:tcPr>
            <w:tcW w:w="774"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公务</w:t>
            </w:r>
          </w:p>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接待费</w:t>
            </w:r>
          </w:p>
        </w:tc>
      </w:tr>
      <w:tr>
        <w:tblPrEx>
          <w:tblCellMar>
            <w:top w:w="15" w:type="dxa"/>
            <w:left w:w="15" w:type="dxa"/>
            <w:bottom w:w="15" w:type="dxa"/>
            <w:right w:w="15" w:type="dxa"/>
          </w:tblCellMar>
        </w:tblPrEx>
        <w:trPr>
          <w:trHeight w:val="600" w:hRule="atLeast"/>
        </w:trPr>
        <w:tc>
          <w:tcPr>
            <w:tcW w:w="735" w:type="dxa"/>
            <w:tcBorders>
              <w:top w:val="single" w:color="000000" w:sz="4" w:space="0"/>
              <w:left w:val="single" w:color="000000" w:sz="12"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0</w:t>
            </w:r>
          </w:p>
        </w:tc>
        <w:tc>
          <w:tcPr>
            <w:tcW w:w="973"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0</w:t>
            </w:r>
          </w:p>
        </w:tc>
        <w:tc>
          <w:tcPr>
            <w:tcW w:w="753" w:type="dxa"/>
            <w:gridSpan w:val="2"/>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0</w:t>
            </w:r>
          </w:p>
        </w:tc>
        <w:tc>
          <w:tcPr>
            <w:tcW w:w="1327" w:type="dxa"/>
            <w:gridSpan w:val="3"/>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0</w:t>
            </w:r>
          </w:p>
        </w:tc>
        <w:tc>
          <w:tcPr>
            <w:tcW w:w="1110" w:type="dxa"/>
            <w:gridSpan w:val="3"/>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0</w:t>
            </w:r>
          </w:p>
        </w:tc>
        <w:tc>
          <w:tcPr>
            <w:tcW w:w="1090"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0</w:t>
            </w:r>
          </w:p>
        </w:tc>
        <w:tc>
          <w:tcPr>
            <w:tcW w:w="707"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b/>
                <w:color w:val="000000"/>
                <w:sz w:val="24"/>
                <w:szCs w:val="24"/>
                <w:lang w:val="en-US" w:eastAsia="zh-CN"/>
              </w:rPr>
              <w:t>9.3</w:t>
            </w:r>
          </w:p>
        </w:tc>
        <w:tc>
          <w:tcPr>
            <w:tcW w:w="1013"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507"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9.3</w:t>
            </w:r>
          </w:p>
        </w:tc>
        <w:tc>
          <w:tcPr>
            <w:tcW w:w="893"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747"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2.5</w:t>
            </w:r>
          </w:p>
        </w:tc>
        <w:tc>
          <w:tcPr>
            <w:tcW w:w="733"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6.8</w:t>
            </w:r>
          </w:p>
        </w:tc>
        <w:tc>
          <w:tcPr>
            <w:tcW w:w="640"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val="en-US" w:eastAsia="zh-CN"/>
              </w:rPr>
              <w:t>0</w:t>
            </w:r>
          </w:p>
        </w:tc>
        <w:tc>
          <w:tcPr>
            <w:tcW w:w="987"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40"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760"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733" w:type="dxa"/>
            <w:tcBorders>
              <w:top w:val="single" w:color="000000" w:sz="4" w:space="0"/>
              <w:left w:val="single" w:color="000000" w:sz="4" w:space="0"/>
              <w:bottom w:val="single" w:color="000000" w:sz="12"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774" w:type="dxa"/>
            <w:tcBorders>
              <w:top w:val="single" w:color="000000" w:sz="4" w:space="0"/>
              <w:left w:val="single" w:color="000000" w:sz="4" w:space="0"/>
              <w:bottom w:val="single" w:color="000000" w:sz="12" w:space="0"/>
              <w:right w:val="single" w:color="000000" w:sz="12"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trHeight w:val="600" w:hRule="atLeast"/>
        </w:trPr>
        <w:tc>
          <w:tcPr>
            <w:tcW w:w="15122" w:type="dxa"/>
            <w:gridSpan w:val="23"/>
            <w:noWrap w:val="0"/>
            <w:vAlign w:val="center"/>
          </w:tcPr>
          <w:p>
            <w:pPr>
              <w:widowControl/>
              <w:jc w:val="lef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注：预算无此经费</w:t>
            </w:r>
          </w:p>
        </w:tc>
      </w:tr>
    </w:tbl>
    <w:p>
      <w:pPr>
        <w:widowControl/>
        <w:jc w:val="center"/>
        <w:textAlignment w:val="center"/>
        <w:rPr>
          <w:rFonts w:ascii="宋体" w:cs="黑体"/>
          <w:color w:val="000000"/>
          <w:kern w:val="0"/>
          <w:sz w:val="28"/>
          <w:szCs w:val="28"/>
        </w:rPr>
      </w:pPr>
    </w:p>
    <w:p>
      <w:pPr>
        <w:widowControl/>
        <w:textAlignment w:val="center"/>
        <w:rPr>
          <w:rFonts w:ascii="宋体" w:cs="黑体"/>
          <w:color w:val="000000"/>
          <w:kern w:val="0"/>
          <w:sz w:val="28"/>
          <w:szCs w:val="28"/>
        </w:rPr>
        <w:sectPr>
          <w:pgSz w:w="16838" w:h="11906" w:orient="landscape"/>
          <w:pgMar w:top="1800" w:right="1440" w:bottom="1800" w:left="1440" w:header="851" w:footer="992" w:gutter="0"/>
          <w:pgNumType w:fmt="numberInDash"/>
          <w:cols w:space="720" w:num="1"/>
          <w:docGrid w:type="lines" w:linePitch="312" w:charSpace="0"/>
        </w:sectPr>
      </w:pPr>
    </w:p>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部门公开表5</w:t>
      </w:r>
    </w:p>
    <w:p>
      <w:pPr>
        <w:widowControl/>
        <w:jc w:val="right"/>
        <w:textAlignment w:val="center"/>
        <w:rPr>
          <w:rFonts w:hint="eastAsia" w:ascii="仿宋_GB2312" w:hAnsi="仿宋_GB2312" w:eastAsia="仿宋_GB2312" w:cs="仿宋_GB2312"/>
          <w:color w:val="000000"/>
          <w:kern w:val="0"/>
          <w:sz w:val="24"/>
          <w:szCs w:val="24"/>
        </w:rPr>
      </w:pPr>
    </w:p>
    <w:p>
      <w:pPr>
        <w:widowControl/>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政府性基金预算支出情况表</w:t>
      </w:r>
    </w:p>
    <w:p>
      <w:pPr>
        <w:widowControl/>
        <w:jc w:val="center"/>
        <w:textAlignment w:val="center"/>
        <w:rPr>
          <w:rFonts w:hint="eastAsia" w:ascii="仿宋_GB2312" w:hAnsi="仿宋_GB2312" w:eastAsia="仿宋_GB2312" w:cs="仿宋_GB2312"/>
          <w:b/>
          <w:bCs/>
          <w:color w:val="000000"/>
          <w:kern w:val="0"/>
          <w:sz w:val="24"/>
          <w:szCs w:val="24"/>
        </w:rPr>
      </w:pPr>
    </w:p>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lang w:eastAsia="zh-CN"/>
        </w:rPr>
        <w:t>部门：罗山石材园区</w:t>
      </w:r>
      <w:r>
        <w:rPr>
          <w:rFonts w:hint="eastAsia" w:ascii="仿宋_GB2312" w:hAnsi="仿宋_GB2312" w:eastAsia="仿宋_GB2312" w:cs="仿宋_GB2312"/>
          <w:color w:val="000000"/>
          <w:kern w:val="0"/>
          <w:sz w:val="24"/>
          <w:szCs w:val="24"/>
        </w:rPr>
        <w:t xml:space="preserve">                                      单位：万元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04" w:type="dxa"/>
            <w:vMerge w:val="restart"/>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科目编码</w:t>
            </w:r>
          </w:p>
        </w:tc>
        <w:tc>
          <w:tcPr>
            <w:tcW w:w="1704" w:type="dxa"/>
            <w:vMerge w:val="restart"/>
            <w:tcBorders>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科目名称</w:t>
            </w:r>
          </w:p>
        </w:tc>
        <w:tc>
          <w:tcPr>
            <w:tcW w:w="5114" w:type="dxa"/>
            <w:gridSpan w:val="3"/>
            <w:tcBorders>
              <w:left w:val="single" w:color="000000" w:sz="4" w:space="0"/>
              <w:bottom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本年政府性基金预算支出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04" w:type="dxa"/>
            <w:vMerge w:val="continue"/>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vMerge w:val="continue"/>
            <w:tcBorders>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tcBorders>
              <w:top w:val="single" w:color="000000" w:sz="4" w:space="0"/>
              <w:lef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w:t>
            </w:r>
          </w:p>
        </w:tc>
        <w:tc>
          <w:tcPr>
            <w:tcW w:w="1705" w:type="dxa"/>
            <w:tcBorders>
              <w:top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基本支出</w:t>
            </w:r>
          </w:p>
        </w:tc>
        <w:tc>
          <w:tcPr>
            <w:tcW w:w="1705" w:type="dxa"/>
            <w:tcBorders>
              <w:top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4"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c>
          <w:tcPr>
            <w:tcW w:w="1705" w:type="dxa"/>
            <w:noWrap w:val="0"/>
            <w:vAlign w:val="center"/>
          </w:tcPr>
          <w:p>
            <w:pPr>
              <w:widowControl/>
              <w:jc w:val="center"/>
              <w:textAlignment w:val="center"/>
              <w:rPr>
                <w:rFonts w:hint="eastAsia" w:ascii="仿宋_GB2312" w:hAnsi="仿宋_GB2312" w:eastAsia="仿宋_GB2312" w:cs="仿宋_GB2312"/>
                <w:color w:val="000000"/>
                <w:kern w:val="0"/>
                <w:sz w:val="24"/>
                <w:szCs w:val="24"/>
              </w:rPr>
            </w:pPr>
          </w:p>
        </w:tc>
      </w:tr>
    </w:tbl>
    <w:p>
      <w:pPr>
        <w:widowControl/>
        <w:jc w:val="center"/>
        <w:textAlignment w:val="center"/>
        <w:rPr>
          <w:rFonts w:hint="eastAsia" w:ascii="仿宋_GB2312" w:hAnsi="仿宋_GB2312" w:eastAsia="仿宋_GB2312" w:cs="仿宋_GB2312"/>
          <w:color w:val="000000"/>
          <w:kern w:val="0"/>
          <w:sz w:val="24"/>
          <w:szCs w:val="24"/>
        </w:rPr>
      </w:pPr>
    </w:p>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说明：石材专业园区没有政府性基金收入，也没有使用政府性基金支出，故本表无数据。</w:t>
      </w:r>
    </w:p>
    <w:p>
      <w:pPr>
        <w:widowControl/>
        <w:jc w:val="center"/>
        <w:textAlignment w:val="center"/>
        <w:rPr>
          <w:rFonts w:hint="eastAsia" w:ascii="仿宋_GB2312" w:hAnsi="仿宋_GB2312" w:eastAsia="仿宋_GB2312" w:cs="仿宋_GB2312"/>
          <w:color w:val="000000"/>
          <w:kern w:val="0"/>
          <w:sz w:val="24"/>
          <w:szCs w:val="24"/>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center"/>
        <w:textAlignment w:val="center"/>
        <w:rPr>
          <w:rFonts w:ascii="宋体" w:cs="黑体"/>
          <w:color w:val="000000"/>
          <w:kern w:val="0"/>
          <w:sz w:val="28"/>
          <w:szCs w:val="28"/>
        </w:rPr>
      </w:pPr>
    </w:p>
    <w:p>
      <w:pPr>
        <w:widowControl/>
        <w:jc w:val="both"/>
        <w:textAlignment w:val="center"/>
        <w:rPr>
          <w:rFonts w:ascii="宋体" w:cs="黑体"/>
          <w:color w:val="000000"/>
          <w:kern w:val="0"/>
          <w:sz w:val="28"/>
          <w:szCs w:val="28"/>
        </w:rPr>
      </w:pPr>
    </w:p>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部门公开表6</w:t>
      </w:r>
    </w:p>
    <w:p>
      <w:pPr>
        <w:widowControl/>
        <w:jc w:val="right"/>
        <w:textAlignment w:val="center"/>
        <w:rPr>
          <w:rFonts w:hint="eastAsia" w:ascii="仿宋_GB2312" w:hAnsi="仿宋_GB2312" w:eastAsia="仿宋_GB2312" w:cs="仿宋_GB2312"/>
          <w:b/>
          <w:bCs/>
          <w:color w:val="000000"/>
          <w:kern w:val="0"/>
          <w:sz w:val="24"/>
          <w:szCs w:val="24"/>
        </w:rPr>
      </w:pPr>
    </w:p>
    <w:p>
      <w:pPr>
        <w:widowControl/>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部门收支总体情况表</w:t>
      </w:r>
    </w:p>
    <w:p>
      <w:pPr>
        <w:widowControl/>
        <w:jc w:val="center"/>
        <w:textAlignment w:val="center"/>
        <w:rPr>
          <w:rFonts w:hint="eastAsia" w:ascii="仿宋_GB2312" w:hAnsi="仿宋_GB2312" w:eastAsia="仿宋_GB2312" w:cs="仿宋_GB2312"/>
          <w:b/>
          <w:bCs/>
          <w:color w:val="000000"/>
          <w:kern w:val="0"/>
          <w:sz w:val="24"/>
          <w:szCs w:val="24"/>
        </w:rPr>
      </w:pPr>
    </w:p>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lang w:eastAsia="zh-CN"/>
        </w:rPr>
        <w:t>部门：罗山石材园区</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kern w:val="0"/>
          <w:sz w:val="24"/>
          <w:szCs w:val="24"/>
        </w:rPr>
        <w:t>单位：万元</w:t>
      </w:r>
      <w:r>
        <w:rPr>
          <w:rFonts w:hint="eastAsia" w:ascii="仿宋_GB2312" w:hAnsi="仿宋_GB2312" w:eastAsia="仿宋_GB2312" w:cs="仿宋_GB2312"/>
          <w:color w:val="000000"/>
          <w:sz w:val="24"/>
          <w:szCs w:val="24"/>
          <w:lang w:val="en-US" w:eastAsia="zh-CN"/>
        </w:rPr>
        <w:t xml:space="preserve">                                                           </w:t>
      </w:r>
    </w:p>
    <w:tbl>
      <w:tblPr>
        <w:tblStyle w:val="3"/>
        <w:tblW w:w="0" w:type="auto"/>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1"/>
        <w:gridCol w:w="1409"/>
        <w:gridCol w:w="3476"/>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0" w:type="dxa"/>
            <w:gridSpan w:val="2"/>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    入</w:t>
            </w:r>
          </w:p>
        </w:tc>
        <w:tc>
          <w:tcPr>
            <w:tcW w:w="5234" w:type="dxa"/>
            <w:gridSpan w:val="2"/>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预算数</w:t>
            </w:r>
          </w:p>
        </w:tc>
        <w:tc>
          <w:tcPr>
            <w:tcW w:w="3476"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一、一般公共预算拨款收入</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一、一般公共服务支出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二、政府性基金预算拨款收入</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二、外交支出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三、事业收入</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三、教育支出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四、事业单位经营收入</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四、科学技术支出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五、其他收入</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五、文化体育与传媒支出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六、社会保障和就业支出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七、农林水支出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八、住房保障支出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九、医疗卫生与计划生育支出</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本年收入总计</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本年支出合计</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用事业基金弥补收支差额</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结转下年</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rPr>
            </w:pPr>
          </w:p>
        </w:tc>
        <w:tc>
          <w:tcPr>
            <w:tcW w:w="3476" w:type="dxa"/>
            <w:noWrap w:val="0"/>
            <w:vAlign w:val="top"/>
          </w:tcPr>
          <w:p>
            <w:pPr>
              <w:spacing w:line="360" w:lineRule="auto"/>
              <w:jc w:val="left"/>
              <w:rPr>
                <w:rFonts w:hint="eastAsia" w:ascii="仿宋_GB2312" w:hAnsi="仿宋_GB2312" w:eastAsia="仿宋_GB2312" w:cs="仿宋_GB2312"/>
                <w:color w:val="000000"/>
                <w:sz w:val="24"/>
                <w:szCs w:val="24"/>
              </w:rPr>
            </w:pP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1"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收入总计</w:t>
            </w:r>
          </w:p>
        </w:tc>
        <w:tc>
          <w:tcPr>
            <w:tcW w:w="1409"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c>
          <w:tcPr>
            <w:tcW w:w="3476" w:type="dxa"/>
            <w:noWrap w:val="0"/>
            <w:vAlign w:val="top"/>
          </w:tcPr>
          <w:p>
            <w:pPr>
              <w:spacing w:line="36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1758" w:type="dxa"/>
            <w:noWrap w:val="0"/>
            <w:vAlign w:val="top"/>
          </w:tcPr>
          <w:p>
            <w:pPr>
              <w:spacing w:line="360" w:lineRule="auto"/>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60.4</w:t>
            </w:r>
          </w:p>
        </w:tc>
      </w:tr>
    </w:tbl>
    <w:p>
      <w:pPr>
        <w:spacing w:line="360" w:lineRule="auto"/>
        <w:jc w:val="center"/>
        <w:rPr>
          <w:rFonts w:ascii="宋体" w:cs="??"/>
          <w:color w:val="000000"/>
          <w:sz w:val="52"/>
          <w:szCs w:val="52"/>
        </w:rPr>
        <w:sectPr>
          <w:pgSz w:w="11906" w:h="16838"/>
          <w:pgMar w:top="1440" w:right="1800" w:bottom="1440" w:left="1800" w:header="851" w:footer="992" w:gutter="0"/>
          <w:pgNumType w:fmt="numberInDash"/>
          <w:cols w:space="720" w:num="1"/>
          <w:docGrid w:type="lines" w:linePitch="312" w:charSpace="0"/>
        </w:sectPr>
      </w:pPr>
    </w:p>
    <w:tbl>
      <w:tblPr>
        <w:tblStyle w:val="3"/>
        <w:tblW w:w="0" w:type="auto"/>
        <w:tblInd w:w="0" w:type="dxa"/>
        <w:tblLayout w:type="fixed"/>
        <w:tblCellMar>
          <w:top w:w="15" w:type="dxa"/>
          <w:left w:w="15" w:type="dxa"/>
          <w:bottom w:w="15" w:type="dxa"/>
          <w:right w:w="15" w:type="dxa"/>
        </w:tblCellMar>
      </w:tblPr>
      <w:tblGrid>
        <w:gridCol w:w="661"/>
        <w:gridCol w:w="1703"/>
        <w:gridCol w:w="716"/>
        <w:gridCol w:w="314"/>
        <w:gridCol w:w="1563"/>
        <w:gridCol w:w="1050"/>
        <w:gridCol w:w="621"/>
        <w:gridCol w:w="686"/>
        <w:gridCol w:w="664"/>
        <w:gridCol w:w="686"/>
        <w:gridCol w:w="621"/>
        <w:gridCol w:w="600"/>
        <w:gridCol w:w="755"/>
      </w:tblGrid>
      <w:tr>
        <w:tblPrEx>
          <w:tblCellMar>
            <w:top w:w="15" w:type="dxa"/>
            <w:left w:w="15" w:type="dxa"/>
            <w:bottom w:w="15" w:type="dxa"/>
            <w:right w:w="15" w:type="dxa"/>
          </w:tblCellMar>
        </w:tblPrEx>
        <w:trPr>
          <w:trHeight w:val="694" w:hRule="atLeast"/>
        </w:trPr>
        <w:tc>
          <w:tcPr>
            <w:tcW w:w="10640" w:type="dxa"/>
            <w:gridSpan w:val="13"/>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部门公开表7</w:t>
            </w:r>
          </w:p>
        </w:tc>
      </w:tr>
      <w:tr>
        <w:tblPrEx>
          <w:tblCellMar>
            <w:top w:w="15" w:type="dxa"/>
            <w:left w:w="15" w:type="dxa"/>
            <w:bottom w:w="15" w:type="dxa"/>
            <w:right w:w="15" w:type="dxa"/>
          </w:tblCellMar>
        </w:tblPrEx>
        <w:trPr>
          <w:trHeight w:val="694" w:hRule="atLeast"/>
        </w:trPr>
        <w:tc>
          <w:tcPr>
            <w:tcW w:w="10640" w:type="dxa"/>
            <w:gridSpan w:val="13"/>
            <w:noWrap w:val="0"/>
            <w:vAlign w:val="center"/>
          </w:tcPr>
          <w:p>
            <w:pPr>
              <w:widowControl/>
              <w:jc w:val="center"/>
              <w:textAlignment w:val="center"/>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部门收入总体情况表</w:t>
            </w:r>
          </w:p>
        </w:tc>
      </w:tr>
      <w:tr>
        <w:tblPrEx>
          <w:tblCellMar>
            <w:top w:w="15" w:type="dxa"/>
            <w:left w:w="15" w:type="dxa"/>
            <w:bottom w:w="15" w:type="dxa"/>
            <w:right w:w="15" w:type="dxa"/>
          </w:tblCellMar>
        </w:tblPrEx>
        <w:trPr>
          <w:trHeight w:val="454" w:hRule="atLeast"/>
        </w:trPr>
        <w:tc>
          <w:tcPr>
            <w:tcW w:w="10640" w:type="dxa"/>
            <w:gridSpan w:val="13"/>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部门：罗山石材园区</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kern w:val="0"/>
                <w:sz w:val="24"/>
                <w:szCs w:val="24"/>
              </w:rPr>
              <w:t>单位：万元</w:t>
            </w:r>
            <w:r>
              <w:rPr>
                <w:rFonts w:hint="eastAsia" w:ascii="仿宋_GB2312" w:hAnsi="仿宋_GB2312" w:eastAsia="仿宋_GB2312" w:cs="仿宋_GB2312"/>
                <w:color w:val="000000"/>
                <w:sz w:val="24"/>
                <w:szCs w:val="24"/>
                <w:lang w:val="en-US" w:eastAsia="zh-CN"/>
              </w:rPr>
              <w:t xml:space="preserve">                                                                                    </w:t>
            </w:r>
          </w:p>
        </w:tc>
      </w:tr>
      <w:tr>
        <w:tblPrEx>
          <w:tblCellMar>
            <w:top w:w="15" w:type="dxa"/>
            <w:left w:w="15" w:type="dxa"/>
            <w:bottom w:w="15" w:type="dxa"/>
            <w:right w:w="15" w:type="dxa"/>
          </w:tblCellMar>
        </w:tblPrEx>
        <w:trPr>
          <w:trHeight w:val="503" w:hRule="atLeast"/>
        </w:trPr>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w:t>
            </w:r>
          </w:p>
        </w:tc>
        <w:tc>
          <w:tcPr>
            <w:tcW w:w="7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合计</w:t>
            </w:r>
          </w:p>
        </w:tc>
        <w:tc>
          <w:tcPr>
            <w:tcW w:w="3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上年</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结转</w:t>
            </w:r>
          </w:p>
        </w:tc>
        <w:tc>
          <w:tcPr>
            <w:tcW w:w="156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一般公共预算</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拨款收入</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政府性</w:t>
            </w:r>
          </w:p>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基金预算</w:t>
            </w:r>
          </w:p>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拨款收入</w:t>
            </w:r>
          </w:p>
        </w:tc>
        <w:tc>
          <w:tcPr>
            <w:tcW w:w="13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事业收入</w:t>
            </w:r>
          </w:p>
        </w:tc>
        <w:tc>
          <w:tcPr>
            <w:tcW w:w="66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事业单位</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经营收入</w:t>
            </w:r>
          </w:p>
        </w:tc>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上级补助收入</w:t>
            </w:r>
          </w:p>
        </w:tc>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下级单位</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上缴收入</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其他</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收入</w:t>
            </w:r>
          </w:p>
        </w:tc>
        <w:tc>
          <w:tcPr>
            <w:tcW w:w="7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用事业基金</w:t>
            </w:r>
            <w:r>
              <w:rPr>
                <w:rFonts w:hint="eastAsia" w:ascii="仿宋_GB2312" w:hAnsi="仿宋_GB2312" w:eastAsia="仿宋_GB2312" w:cs="仿宋_GB2312"/>
                <w:color w:val="000000"/>
                <w:kern w:val="0"/>
                <w:sz w:val="24"/>
                <w:szCs w:val="24"/>
              </w:rPr>
              <w:br w:type="textWrapping"/>
            </w:r>
            <w:r>
              <w:rPr>
                <w:rFonts w:hint="eastAsia" w:ascii="仿宋_GB2312" w:hAnsi="仿宋_GB2312" w:eastAsia="仿宋_GB2312" w:cs="仿宋_GB2312"/>
                <w:color w:val="000000"/>
                <w:kern w:val="0"/>
                <w:sz w:val="24"/>
                <w:szCs w:val="24"/>
              </w:rPr>
              <w:t>弥补收支差额</w:t>
            </w:r>
          </w:p>
        </w:tc>
      </w:tr>
      <w:tr>
        <w:tblPrEx>
          <w:tblCellMar>
            <w:top w:w="15" w:type="dxa"/>
            <w:left w:w="15" w:type="dxa"/>
            <w:bottom w:w="15" w:type="dxa"/>
            <w:right w:w="15" w:type="dxa"/>
          </w:tblCellMar>
        </w:tblPrEx>
        <w:trPr>
          <w:trHeight w:val="966"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科目</w:t>
            </w:r>
          </w:p>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编码</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科目名称</w:t>
            </w:r>
          </w:p>
        </w:tc>
        <w:tc>
          <w:tcPr>
            <w:tcW w:w="71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3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156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金额</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其中：教育     收费</w:t>
            </w:r>
          </w:p>
        </w:tc>
        <w:tc>
          <w:tcPr>
            <w:tcW w:w="6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c>
          <w:tcPr>
            <w:tcW w:w="7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50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kern w:val="0"/>
                <w:sz w:val="24"/>
                <w:szCs w:val="24"/>
              </w:rPr>
              <w:t>201</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kern w:val="0"/>
                <w:sz w:val="24"/>
                <w:szCs w:val="24"/>
              </w:rPr>
              <w:t>一般公共服务支出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0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2010110</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事业运行</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46.39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0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208</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社会保障和就业支出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6.28</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6.28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trHeight w:val="50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2080308</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养老保险支出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6.17</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eastAsia="zh-CN"/>
              </w:rPr>
              <w:t>6.17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CellMar>
            <w:top w:w="15" w:type="dxa"/>
            <w:left w:w="15" w:type="dxa"/>
            <w:bottom w:w="15" w:type="dxa"/>
            <w:right w:w="15" w:type="dxa"/>
          </w:tblCellMar>
        </w:tblPrEx>
        <w:trPr>
          <w:trHeight w:val="50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20811</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残疾人事业</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0.11</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0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221</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住房保障支出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2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2210201</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住房公积金</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4.63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2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210</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医疗卫生与计划生育支出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2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2100502</w:t>
            </w: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事业单位医疗</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3.10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r>
      <w:tr>
        <w:tblPrEx>
          <w:tblCellMar>
            <w:top w:w="15" w:type="dxa"/>
            <w:left w:w="15" w:type="dxa"/>
            <w:bottom w:w="15" w:type="dxa"/>
            <w:right w:w="15" w:type="dxa"/>
          </w:tblCellMar>
        </w:tblPrEx>
        <w:trPr>
          <w:trHeight w:val="523"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60.4</w:t>
            </w:r>
          </w:p>
        </w:tc>
        <w:tc>
          <w:tcPr>
            <w:tcW w:w="31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156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60.4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w:t>
            </w:r>
          </w:p>
        </w:tc>
      </w:tr>
    </w:tbl>
    <w:p>
      <w:pPr>
        <w:spacing w:line="360" w:lineRule="auto"/>
        <w:jc w:val="center"/>
        <w:rPr>
          <w:rFonts w:ascii="宋体" w:cs="??"/>
          <w:color w:val="000000"/>
          <w:sz w:val="52"/>
          <w:szCs w:val="52"/>
        </w:rPr>
        <w:sectPr>
          <w:pgSz w:w="11906" w:h="16838"/>
          <w:pgMar w:top="720" w:right="720" w:bottom="720" w:left="720" w:header="851" w:footer="992" w:gutter="0"/>
          <w:pgNumType w:fmt="numberInDash"/>
          <w:cols w:space="720" w:num="1"/>
          <w:docGrid w:type="lines" w:linePitch="312" w:charSpace="0"/>
        </w:sectPr>
      </w:pPr>
    </w:p>
    <w:tbl>
      <w:tblPr>
        <w:tblStyle w:val="3"/>
        <w:tblW w:w="0" w:type="auto"/>
        <w:tblInd w:w="0" w:type="dxa"/>
        <w:tblLayout w:type="fixed"/>
        <w:tblCellMar>
          <w:top w:w="15" w:type="dxa"/>
          <w:left w:w="15" w:type="dxa"/>
          <w:bottom w:w="15" w:type="dxa"/>
          <w:right w:w="15" w:type="dxa"/>
        </w:tblCellMar>
      </w:tblPr>
      <w:tblGrid>
        <w:gridCol w:w="1247"/>
        <w:gridCol w:w="1862"/>
        <w:gridCol w:w="1247"/>
        <w:gridCol w:w="1246"/>
        <w:gridCol w:w="1247"/>
        <w:gridCol w:w="1078"/>
        <w:gridCol w:w="1246"/>
        <w:gridCol w:w="1247"/>
      </w:tblGrid>
      <w:tr>
        <w:tblPrEx>
          <w:tblCellMar>
            <w:top w:w="15" w:type="dxa"/>
            <w:left w:w="15" w:type="dxa"/>
            <w:bottom w:w="15" w:type="dxa"/>
            <w:right w:w="15" w:type="dxa"/>
          </w:tblCellMar>
        </w:tblPrEx>
        <w:trPr>
          <w:trHeight w:val="665" w:hRule="atLeast"/>
        </w:trPr>
        <w:tc>
          <w:tcPr>
            <w:tcW w:w="10420" w:type="dxa"/>
            <w:gridSpan w:val="8"/>
            <w:noWrap w:val="0"/>
            <w:vAlign w:val="center"/>
          </w:tcPr>
          <w:p>
            <w:pPr>
              <w:widowControl/>
              <w:jc w:val="right"/>
              <w:textAlignment w:val="center"/>
              <w:rPr>
                <w:rFonts w:ascii="宋体" w:cs="仿宋_GB2312"/>
                <w:color w:val="000000"/>
                <w:sz w:val="24"/>
              </w:rPr>
            </w:pPr>
            <w:r>
              <w:rPr>
                <w:rFonts w:hint="eastAsia" w:ascii="仿宋_GB2312" w:hAnsi="仿宋_GB2312" w:eastAsia="仿宋_GB2312" w:cs="仿宋_GB2312"/>
                <w:color w:val="000000"/>
                <w:kern w:val="0"/>
                <w:sz w:val="24"/>
              </w:rPr>
              <w:t>部门公开表8</w:t>
            </w:r>
          </w:p>
        </w:tc>
      </w:tr>
      <w:tr>
        <w:tblPrEx>
          <w:tblCellMar>
            <w:top w:w="15" w:type="dxa"/>
            <w:left w:w="15" w:type="dxa"/>
            <w:bottom w:w="15" w:type="dxa"/>
            <w:right w:w="15" w:type="dxa"/>
          </w:tblCellMar>
        </w:tblPrEx>
        <w:trPr>
          <w:trHeight w:val="717" w:hRule="atLeast"/>
        </w:trPr>
        <w:tc>
          <w:tcPr>
            <w:tcW w:w="10420" w:type="dxa"/>
            <w:gridSpan w:val="8"/>
            <w:noWrap w:val="0"/>
            <w:vAlign w:val="center"/>
          </w:tcPr>
          <w:p>
            <w:pPr>
              <w:widowControl/>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kern w:val="0"/>
                <w:sz w:val="28"/>
                <w:szCs w:val="28"/>
              </w:rPr>
              <w:t>部门支出情况表</w:t>
            </w:r>
          </w:p>
        </w:tc>
      </w:tr>
      <w:tr>
        <w:tblPrEx>
          <w:tblCellMar>
            <w:top w:w="15" w:type="dxa"/>
            <w:left w:w="15" w:type="dxa"/>
            <w:bottom w:w="15" w:type="dxa"/>
            <w:right w:w="15" w:type="dxa"/>
          </w:tblCellMar>
        </w:tblPrEx>
        <w:trPr>
          <w:trHeight w:val="665" w:hRule="atLeast"/>
        </w:trPr>
        <w:tc>
          <w:tcPr>
            <w:tcW w:w="10420" w:type="dxa"/>
            <w:gridSpan w:val="8"/>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lang w:eastAsia="zh-CN"/>
              </w:rPr>
              <w:t>部门：罗山石材园区</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16"/>
                <w:szCs w:val="16"/>
                <w:lang w:val="en-US" w:eastAsia="zh-CN"/>
              </w:rPr>
              <w:t xml:space="preserve">                                                                           </w:t>
            </w:r>
            <w:r>
              <w:rPr>
                <w:rFonts w:hint="eastAsia" w:ascii="仿宋_GB2312" w:hAnsi="仿宋_GB2312" w:eastAsia="仿宋_GB2312" w:cs="仿宋_GB2312"/>
                <w:color w:val="000000"/>
                <w:kern w:val="0"/>
                <w:sz w:val="24"/>
              </w:rPr>
              <w:t>单位：万元</w:t>
            </w:r>
          </w:p>
        </w:tc>
      </w:tr>
      <w:tr>
        <w:tblPrEx>
          <w:tblCellMar>
            <w:top w:w="15" w:type="dxa"/>
            <w:left w:w="15" w:type="dxa"/>
            <w:bottom w:w="15" w:type="dxa"/>
            <w:right w:w="15" w:type="dxa"/>
          </w:tblCellMar>
        </w:tblPrEx>
        <w:trPr>
          <w:trHeight w:val="675"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科目编码</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科目名称</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合计</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基本支出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项目支出</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上缴上级</w:t>
            </w:r>
            <w:r>
              <w:rPr>
                <w:rFonts w:hint="eastAsia" w:ascii="仿宋_GB2312" w:hAnsi="仿宋_GB2312" w:eastAsia="仿宋_GB2312" w:cs="仿宋_GB2312"/>
                <w:color w:val="000000"/>
                <w:kern w:val="0"/>
                <w:sz w:val="24"/>
              </w:rPr>
              <w:br w:type="textWrapping"/>
            </w:r>
            <w:r>
              <w:rPr>
                <w:rFonts w:hint="eastAsia" w:ascii="仿宋_GB2312" w:hAnsi="仿宋_GB2312" w:eastAsia="仿宋_GB2312" w:cs="仿宋_GB2312"/>
                <w:color w:val="000000"/>
                <w:kern w:val="0"/>
                <w:sz w:val="24"/>
              </w:rPr>
              <w:t>支出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事业单位经营支出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对下级单位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补助支出</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一般公共服务支出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46.39</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46.39</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2010110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事业运行</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46.39</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46.39</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社会保障和就业支出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6.28</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b/>
                <w:bCs/>
                <w:color w:val="000000"/>
                <w:sz w:val="24"/>
                <w:lang w:eastAsia="zh-CN"/>
              </w:rPr>
              <w:t>6.28</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15" w:type="dxa"/>
            <w:left w:w="15" w:type="dxa"/>
            <w:bottom w:w="15" w:type="dxa"/>
            <w:right w:w="15" w:type="dxa"/>
          </w:tblCellMar>
        </w:tblPrEx>
        <w:trPr>
          <w:trHeight w:val="399"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2080308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养老保险支出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6.17</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6.17</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20811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残疾人事业</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rPr>
              <w:t>0.11</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sz w:val="24"/>
              </w:rPr>
              <w:t>0.11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住房保障支出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4.63</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4.63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2210201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住房公积金</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4.63</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4.63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医疗卫生与计划生育支出</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3.10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3.10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r>
      <w:tr>
        <w:tblPrEx>
          <w:tblCellMar>
            <w:top w:w="15" w:type="dxa"/>
            <w:left w:w="15" w:type="dxa"/>
            <w:bottom w:w="15" w:type="dxa"/>
            <w:right w:w="15" w:type="dxa"/>
          </w:tblCellMar>
        </w:tblPrEx>
        <w:trPr>
          <w:trHeight w:val="35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2100502</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事业单位医疗</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3.10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eastAsia="zh-CN"/>
              </w:rPr>
              <w:t>3.10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p>
        </w:tc>
      </w:tr>
      <w:tr>
        <w:tblPrEx>
          <w:tblCellMar>
            <w:top w:w="15" w:type="dxa"/>
            <w:left w:w="15" w:type="dxa"/>
            <w:bottom w:w="15" w:type="dxa"/>
            <w:right w:w="15" w:type="dxa"/>
          </w:tblCellMar>
        </w:tblPrEx>
        <w:trPr>
          <w:trHeight w:val="368" w:hRule="atLeast"/>
        </w:trPr>
        <w:tc>
          <w:tcPr>
            <w:tcW w:w="12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color w:val="000000"/>
                <w:sz w:val="24"/>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合  计</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60.4</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b/>
                <w:bCs/>
                <w:color w:val="000000"/>
                <w:kern w:val="0"/>
                <w:sz w:val="24"/>
                <w:lang w:eastAsia="zh-CN"/>
              </w:rPr>
            </w:pPr>
            <w:r>
              <w:rPr>
                <w:rFonts w:hint="eastAsia" w:ascii="仿宋_GB2312" w:hAnsi="仿宋_GB2312" w:eastAsia="仿宋_GB2312" w:cs="仿宋_GB2312"/>
                <w:b/>
                <w:bCs/>
                <w:color w:val="000000"/>
                <w:kern w:val="0"/>
                <w:sz w:val="24"/>
                <w:lang w:eastAsia="zh-CN"/>
              </w:rPr>
              <w:t>60.4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0</w:t>
            </w:r>
          </w:p>
        </w:tc>
      </w:tr>
    </w:tbl>
    <w:p>
      <w:pPr>
        <w:spacing w:line="360" w:lineRule="auto"/>
        <w:rPr>
          <w:rFonts w:ascii="宋体" w:cs="??"/>
          <w:color w:val="000000"/>
          <w:sz w:val="52"/>
          <w:szCs w:val="52"/>
        </w:rPr>
        <w:sectPr>
          <w:pgSz w:w="11906" w:h="16838"/>
          <w:pgMar w:top="720" w:right="720" w:bottom="720" w:left="720" w:header="851" w:footer="992" w:gutter="0"/>
          <w:pgNumType w:fmt="numberInDash"/>
          <w:cols w:space="720" w:num="1"/>
          <w:docGrid w:type="lines" w:linePitch="312" w:charSpace="0"/>
        </w:sectPr>
      </w:pPr>
    </w:p>
    <w:p>
      <w:pPr>
        <w:outlineLvl w:val="0"/>
        <w:rPr>
          <w:rFonts w:ascii="宋体" w:cs="??"/>
          <w:color w:val="000000"/>
          <w:sz w:val="48"/>
          <w:szCs w:val="48"/>
        </w:rPr>
      </w:pPr>
    </w:p>
    <w:p>
      <w:pPr>
        <w:jc w:val="center"/>
        <w:outlineLvl w:val="0"/>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第三部分</w:t>
      </w:r>
      <w:r>
        <w:rPr>
          <w:rFonts w:hint="eastAsia" w:ascii="文星标宋" w:hAnsi="文星标宋" w:eastAsia="文星标宋" w:cs="文星标宋"/>
          <w:color w:val="000000"/>
          <w:sz w:val="44"/>
          <w:szCs w:val="44"/>
          <w:lang w:val="en-US" w:eastAsia="zh-CN"/>
        </w:rPr>
        <w:t xml:space="preserve">  </w:t>
      </w:r>
      <w:r>
        <w:rPr>
          <w:rFonts w:hint="eastAsia" w:ascii="文星标宋" w:hAnsi="文星标宋" w:eastAsia="文星标宋" w:cs="文星标宋"/>
          <w:color w:val="000000"/>
          <w:sz w:val="44"/>
          <w:szCs w:val="44"/>
        </w:rPr>
        <w:t>石材园区</w:t>
      </w:r>
    </w:p>
    <w:p>
      <w:pPr>
        <w:jc w:val="center"/>
        <w:rPr>
          <w:rFonts w:ascii="宋体" w:cs="??"/>
          <w:color w:val="000000"/>
          <w:sz w:val="48"/>
          <w:szCs w:val="48"/>
        </w:rPr>
      </w:pPr>
      <w:r>
        <w:rPr>
          <w:rFonts w:hint="eastAsia" w:ascii="文星标宋" w:hAnsi="文星标宋" w:eastAsia="文星标宋" w:cs="文星标宋"/>
          <w:color w:val="000000"/>
          <w:sz w:val="44"/>
          <w:szCs w:val="44"/>
          <w:lang w:eastAsia="zh-CN"/>
        </w:rPr>
        <w:t>2020</w:t>
      </w:r>
      <w:r>
        <w:rPr>
          <w:rFonts w:hint="eastAsia" w:ascii="文星标宋" w:hAnsi="文星标宋" w:eastAsia="文星标宋" w:cs="文星标宋"/>
          <w:color w:val="000000"/>
          <w:sz w:val="44"/>
          <w:szCs w:val="44"/>
        </w:rPr>
        <w:t>年度部门预算情况说明</w:t>
      </w:r>
    </w:p>
    <w:p>
      <w:pPr>
        <w:numPr>
          <w:ilvl w:val="0"/>
          <w:numId w:val="3"/>
        </w:numPr>
        <w:spacing w:line="360" w:lineRule="auto"/>
        <w:ind w:firstLine="643" w:firstLineChars="200"/>
        <w:jc w:val="left"/>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关于石材园区</w:t>
      </w:r>
      <w:r>
        <w:rPr>
          <w:rFonts w:hint="eastAsia" w:ascii="仿宋_GB2312" w:hAnsi="仿宋_GB2312" w:eastAsia="仿宋_GB2312" w:cs="仿宋_GB2312"/>
          <w:b/>
          <w:bCs w:val="0"/>
          <w:color w:val="000000"/>
          <w:sz w:val="32"/>
          <w:szCs w:val="32"/>
          <w:lang w:eastAsia="zh-CN"/>
        </w:rPr>
        <w:t>2020</w:t>
      </w:r>
      <w:r>
        <w:rPr>
          <w:rFonts w:hint="eastAsia" w:ascii="仿宋_GB2312" w:hAnsi="仿宋_GB2312" w:eastAsia="仿宋_GB2312" w:cs="仿宋_GB2312"/>
          <w:b/>
          <w:bCs w:val="0"/>
          <w:color w:val="000000"/>
          <w:sz w:val="32"/>
          <w:szCs w:val="32"/>
        </w:rPr>
        <w:t>年财政拨款收支预算情况的总体说明</w:t>
      </w:r>
    </w:p>
    <w:p>
      <w:pPr>
        <w:adjustRightInd w:val="0"/>
        <w:snapToGrid w:val="0"/>
        <w:spacing w:line="36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年财政拨款收支总预算</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万元。收入全部为一般公共预算拨款，无政府性基金预算拨款，包括一般公共预算当年拨款收入</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万元，无上年结转；支出包括：一般公共服务支出</w:t>
      </w:r>
      <w:r>
        <w:rPr>
          <w:rFonts w:hint="eastAsia" w:ascii="仿宋_GB2312" w:hAnsi="仿宋_GB2312" w:eastAsia="仿宋_GB2312" w:cs="仿宋_GB2312"/>
          <w:color w:val="000000"/>
          <w:sz w:val="32"/>
          <w:szCs w:val="32"/>
          <w:lang w:eastAsia="zh-CN"/>
        </w:rPr>
        <w:t>46.39</w:t>
      </w:r>
      <w:r>
        <w:rPr>
          <w:rFonts w:hint="eastAsia" w:ascii="仿宋_GB2312" w:hAnsi="仿宋_GB2312" w:eastAsia="仿宋_GB2312" w:cs="仿宋_GB2312"/>
          <w:color w:val="000000"/>
          <w:sz w:val="32"/>
          <w:szCs w:val="32"/>
        </w:rPr>
        <w:t>万元，社会保障和就业支出</w:t>
      </w:r>
      <w:r>
        <w:rPr>
          <w:rFonts w:hint="eastAsia" w:ascii="仿宋_GB2312" w:hAnsi="仿宋_GB2312" w:eastAsia="仿宋_GB2312" w:cs="仿宋_GB2312"/>
          <w:color w:val="000000"/>
          <w:sz w:val="32"/>
          <w:szCs w:val="32"/>
          <w:lang w:eastAsia="zh-CN"/>
        </w:rPr>
        <w:t>6.28</w:t>
      </w:r>
      <w:r>
        <w:rPr>
          <w:rFonts w:hint="eastAsia" w:ascii="仿宋_GB2312" w:hAnsi="仿宋_GB2312" w:eastAsia="仿宋_GB2312" w:cs="仿宋_GB2312"/>
          <w:color w:val="000000"/>
          <w:sz w:val="32"/>
          <w:szCs w:val="32"/>
        </w:rPr>
        <w:t>万元，住房保障支出</w:t>
      </w:r>
      <w:r>
        <w:rPr>
          <w:rFonts w:hint="eastAsia" w:ascii="仿宋_GB2312" w:hAnsi="仿宋_GB2312" w:eastAsia="仿宋_GB2312" w:cs="仿宋_GB2312"/>
          <w:color w:val="000000"/>
          <w:sz w:val="32"/>
          <w:szCs w:val="32"/>
          <w:lang w:eastAsia="zh-CN"/>
        </w:rPr>
        <w:t>4.63</w:t>
      </w:r>
      <w:r>
        <w:rPr>
          <w:rFonts w:hint="eastAsia" w:ascii="仿宋_GB2312" w:hAnsi="仿宋_GB2312" w:eastAsia="仿宋_GB2312" w:cs="仿宋_GB2312"/>
          <w:color w:val="000000"/>
          <w:sz w:val="32"/>
          <w:szCs w:val="32"/>
        </w:rPr>
        <w:t>万元,医疗卫生和计划生育支出</w:t>
      </w:r>
      <w:r>
        <w:rPr>
          <w:rFonts w:hint="eastAsia" w:ascii="仿宋_GB2312" w:hAnsi="仿宋_GB2312" w:eastAsia="仿宋_GB2312" w:cs="仿宋_GB2312"/>
          <w:color w:val="000000"/>
          <w:sz w:val="32"/>
          <w:szCs w:val="32"/>
          <w:lang w:eastAsia="zh-CN"/>
        </w:rPr>
        <w:t>3.10</w:t>
      </w:r>
      <w:r>
        <w:rPr>
          <w:rFonts w:hint="eastAsia" w:ascii="仿宋_GB2312" w:hAnsi="仿宋_GB2312" w:eastAsia="仿宋_GB2312" w:cs="仿宋_GB2312"/>
          <w:color w:val="000000"/>
          <w:sz w:val="32"/>
          <w:szCs w:val="32"/>
        </w:rPr>
        <w:t>万元。</w:t>
      </w:r>
    </w:p>
    <w:p>
      <w:pPr>
        <w:adjustRightInd w:val="0"/>
        <w:snapToGrid w:val="0"/>
        <w:spacing w:line="360" w:lineRule="auto"/>
        <w:ind w:firstLine="643" w:firstLineChars="200"/>
        <w:outlineLvl w:val="1"/>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二、关于石材园区</w:t>
      </w:r>
      <w:r>
        <w:rPr>
          <w:rFonts w:hint="eastAsia" w:ascii="仿宋_GB2312" w:hAnsi="仿宋_GB2312" w:eastAsia="仿宋_GB2312" w:cs="仿宋_GB2312"/>
          <w:b/>
          <w:bCs/>
          <w:color w:val="000000"/>
          <w:sz w:val="32"/>
          <w:szCs w:val="32"/>
          <w:lang w:eastAsia="zh-CN"/>
        </w:rPr>
        <w:t>2020</w:t>
      </w:r>
      <w:r>
        <w:rPr>
          <w:rFonts w:hint="eastAsia" w:ascii="仿宋_GB2312" w:hAnsi="仿宋_GB2312" w:eastAsia="仿宋_GB2312" w:cs="仿宋_GB2312"/>
          <w:b/>
          <w:bCs/>
          <w:color w:val="000000"/>
          <w:sz w:val="32"/>
          <w:szCs w:val="32"/>
        </w:rPr>
        <w:t>年一般公共预算当年拨款情况说明</w:t>
      </w:r>
    </w:p>
    <w:p>
      <w:pPr>
        <w:adjustRightInd w:val="0"/>
        <w:snapToGrid w:val="0"/>
        <w:spacing w:line="360" w:lineRule="auto"/>
        <w:ind w:firstLine="643" w:firstLineChars="200"/>
        <w:outlineLvl w:val="1"/>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（一）一般公共预算当年拨款规模变化情况</w:t>
      </w:r>
    </w:p>
    <w:p>
      <w:pPr>
        <w:adjustRightInd w:val="0"/>
        <w:snapToGrid w:val="0"/>
        <w:spacing w:line="36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年一般公共预算当年拨款</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年执行数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7.7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14.61</w:t>
      </w:r>
      <w:r>
        <w:rPr>
          <w:rFonts w:hint="eastAsia" w:ascii="仿宋_GB2312" w:hAnsi="仿宋_GB2312" w:eastAsia="仿宋_GB2312" w:cs="仿宋_GB2312"/>
          <w:color w:val="000000"/>
          <w:sz w:val="32"/>
          <w:szCs w:val="32"/>
        </w:rPr>
        <w:t>%。主要原因是人员</w:t>
      </w:r>
      <w:r>
        <w:rPr>
          <w:rFonts w:hint="eastAsia" w:ascii="仿宋_GB2312" w:hAnsi="仿宋_GB2312" w:eastAsia="仿宋_GB2312" w:cs="仿宋_GB2312"/>
          <w:color w:val="000000"/>
          <w:sz w:val="32"/>
          <w:szCs w:val="32"/>
          <w:lang w:eastAsia="zh-CN"/>
        </w:rPr>
        <w:t>工资增长</w:t>
      </w:r>
      <w:r>
        <w:rPr>
          <w:rFonts w:hint="eastAsia" w:ascii="仿宋_GB2312" w:hAnsi="仿宋_GB2312" w:eastAsia="仿宋_GB2312" w:cs="仿宋_GB2312"/>
          <w:color w:val="000000"/>
          <w:sz w:val="32"/>
          <w:szCs w:val="32"/>
        </w:rPr>
        <w:t>。</w:t>
      </w:r>
    </w:p>
    <w:p>
      <w:pPr>
        <w:numPr>
          <w:ilvl w:val="0"/>
          <w:numId w:val="4"/>
        </w:numPr>
        <w:adjustRightInd w:val="0"/>
        <w:snapToGrid w:val="0"/>
        <w:spacing w:line="360" w:lineRule="auto"/>
        <w:ind w:firstLine="643" w:firstLineChars="200"/>
        <w:outlineLvl w:val="1"/>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一般公共预算当年拨款结构情况</w:t>
      </w:r>
    </w:p>
    <w:p>
      <w:pPr>
        <w:adjustRightInd w:val="0"/>
        <w:snapToGrid w:val="0"/>
        <w:spacing w:line="360" w:lineRule="auto"/>
        <w:ind w:left="420" w:left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一般公共服务支出</w:t>
      </w:r>
      <w:r>
        <w:rPr>
          <w:rFonts w:hint="eastAsia" w:ascii="仿宋_GB2312" w:hAnsi="仿宋_GB2312" w:eastAsia="仿宋_GB2312" w:cs="仿宋_GB2312"/>
          <w:color w:val="000000"/>
          <w:sz w:val="32"/>
          <w:szCs w:val="32"/>
          <w:lang w:eastAsia="zh-CN"/>
        </w:rPr>
        <w:t>46.39</w:t>
      </w:r>
      <w:r>
        <w:rPr>
          <w:rFonts w:hint="eastAsia" w:ascii="仿宋_GB2312" w:hAnsi="仿宋_GB2312" w:eastAsia="仿宋_GB2312" w:cs="仿宋_GB2312"/>
          <w:color w:val="000000"/>
          <w:sz w:val="32"/>
          <w:szCs w:val="32"/>
        </w:rPr>
        <w:t>万元，占7</w:t>
      </w:r>
      <w:r>
        <w:rPr>
          <w:rFonts w:hint="eastAsia" w:ascii="仿宋_GB2312" w:hAnsi="仿宋_GB2312" w:eastAsia="仿宋_GB2312" w:cs="仿宋_GB2312"/>
          <w:color w:val="000000"/>
          <w:sz w:val="32"/>
          <w:szCs w:val="32"/>
          <w:lang w:val="en-US" w:eastAsia="zh-CN"/>
        </w:rPr>
        <w:t>6.80</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eastAsia="zh-CN"/>
        </w:rPr>
        <w:t>6.28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10.40</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eastAsia="zh-CN"/>
        </w:rPr>
        <w:t>4.63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7.67</w:t>
      </w:r>
      <w:r>
        <w:rPr>
          <w:rFonts w:hint="eastAsia" w:ascii="仿宋_GB2312" w:hAnsi="仿宋_GB2312" w:eastAsia="仿宋_GB2312" w:cs="仿宋_GB2312"/>
          <w:color w:val="000000"/>
          <w:sz w:val="32"/>
          <w:szCs w:val="32"/>
        </w:rPr>
        <w:t>%；医疗卫生和计划生育支出为</w:t>
      </w:r>
      <w:r>
        <w:rPr>
          <w:rFonts w:hint="eastAsia" w:ascii="仿宋_GB2312" w:hAnsi="仿宋_GB2312" w:eastAsia="仿宋_GB2312" w:cs="仿宋_GB2312"/>
          <w:color w:val="000000"/>
          <w:sz w:val="32"/>
          <w:szCs w:val="32"/>
          <w:lang w:eastAsia="zh-CN"/>
        </w:rPr>
        <w:t>3.10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5.13</w:t>
      </w:r>
      <w:r>
        <w:rPr>
          <w:rFonts w:hint="eastAsia" w:ascii="仿宋_GB2312" w:hAnsi="仿宋_GB2312" w:eastAsia="仿宋_GB2312" w:cs="仿宋_GB2312"/>
          <w:color w:val="000000"/>
          <w:sz w:val="32"/>
          <w:szCs w:val="32"/>
        </w:rPr>
        <w:t>%。</w:t>
      </w:r>
    </w:p>
    <w:p>
      <w:pPr>
        <w:adjustRightInd w:val="0"/>
        <w:snapToGrid w:val="0"/>
        <w:spacing w:line="360" w:lineRule="auto"/>
        <w:ind w:left="420" w:leftChars="200"/>
        <w:outlineLvl w:val="1"/>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（三）一般公共预算当年拨款具体使用情况</w:t>
      </w:r>
    </w:p>
    <w:p>
      <w:pPr>
        <w:adjustRightInd w:val="0"/>
        <w:snapToGrid w:val="0"/>
        <w:spacing w:line="360" w:lineRule="auto"/>
        <w:ind w:left="420" w:left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1.一般公共服务（类）事业运行（项）</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年预算数为</w:t>
      </w:r>
      <w:r>
        <w:rPr>
          <w:rFonts w:hint="eastAsia" w:ascii="仿宋_GB2312" w:hAnsi="仿宋_GB2312" w:eastAsia="仿宋_GB2312" w:cs="仿宋_GB2312"/>
          <w:color w:val="000000"/>
          <w:sz w:val="32"/>
          <w:szCs w:val="32"/>
          <w:lang w:eastAsia="zh-CN"/>
        </w:rPr>
        <w:t>46.39</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年执行数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6.83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17.26</w:t>
      </w:r>
      <w:r>
        <w:rPr>
          <w:rFonts w:hint="eastAsia" w:ascii="仿宋_GB2312" w:hAnsi="仿宋_GB2312" w:eastAsia="仿宋_GB2312" w:cs="仿宋_GB2312"/>
          <w:color w:val="000000"/>
          <w:sz w:val="32"/>
          <w:szCs w:val="32"/>
        </w:rPr>
        <w:t>%。</w:t>
      </w:r>
    </w:p>
    <w:p>
      <w:pPr>
        <w:adjustRightInd w:val="0"/>
        <w:snapToGrid w:val="0"/>
        <w:spacing w:line="360" w:lineRule="auto"/>
        <w:ind w:left="420" w:left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2.社会保障和就业支出（类）养老保险支出（项）</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年预算数为</w:t>
      </w:r>
      <w:r>
        <w:rPr>
          <w:rFonts w:hint="eastAsia" w:ascii="仿宋_GB2312" w:hAnsi="仿宋_GB2312" w:eastAsia="仿宋_GB2312" w:cs="仿宋_GB2312"/>
          <w:color w:val="000000"/>
          <w:sz w:val="32"/>
          <w:szCs w:val="32"/>
          <w:lang w:val="en-US" w:eastAsia="zh-CN"/>
        </w:rPr>
        <w:t>6.17</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年执行数</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0.39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5.85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，增加原因是养老保险单位缴费比率降低</w:t>
      </w:r>
      <w:r>
        <w:rPr>
          <w:rFonts w:hint="eastAsia" w:ascii="仿宋_GB2312" w:hAnsi="仿宋_GB2312" w:eastAsia="仿宋_GB2312" w:cs="仿宋_GB2312"/>
          <w:color w:val="000000"/>
          <w:sz w:val="32"/>
          <w:szCs w:val="32"/>
        </w:rPr>
        <w:t>；残疾人事业（项）</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年预算数为0.11万元，与</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年相同。</w:t>
      </w:r>
    </w:p>
    <w:p>
      <w:pPr>
        <w:adjustRightInd w:val="0"/>
        <w:snapToGrid w:val="0"/>
        <w:spacing w:line="360" w:lineRule="auto"/>
        <w:ind w:left="319" w:leftChars="152"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3.住房保障支出（类）住房公积金（项）</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年预算数为</w:t>
      </w:r>
      <w:r>
        <w:rPr>
          <w:rFonts w:hint="eastAsia" w:ascii="仿宋_GB2312" w:hAnsi="仿宋_GB2312" w:eastAsia="仿宋_GB2312" w:cs="仿宋_GB2312"/>
          <w:color w:val="000000"/>
          <w:sz w:val="32"/>
          <w:szCs w:val="32"/>
          <w:lang w:eastAsia="zh-CN"/>
        </w:rPr>
        <w:t>4.63</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年执行数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0.69</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17.51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，增加原因是人员工资增长</w:t>
      </w:r>
      <w:r>
        <w:rPr>
          <w:rFonts w:hint="eastAsia" w:ascii="仿宋_GB2312" w:hAnsi="仿宋_GB2312" w:eastAsia="仿宋_GB2312" w:cs="仿宋_GB2312"/>
          <w:color w:val="000000"/>
          <w:sz w:val="32"/>
          <w:szCs w:val="32"/>
        </w:rPr>
        <w:t>。</w:t>
      </w:r>
    </w:p>
    <w:p>
      <w:pPr>
        <w:adjustRightInd w:val="0"/>
        <w:snapToGrid w:val="0"/>
        <w:spacing w:line="360" w:lineRule="auto"/>
        <w:ind w:left="319" w:leftChars="152"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4.医疗卫生和计划生育支出（类）事业单位医疗（项）</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年预算数为</w:t>
      </w:r>
      <w:r>
        <w:rPr>
          <w:rFonts w:hint="eastAsia" w:ascii="仿宋_GB2312" w:hAnsi="仿宋_GB2312" w:eastAsia="仿宋_GB2312" w:cs="仿宋_GB2312"/>
          <w:color w:val="000000"/>
          <w:sz w:val="32"/>
          <w:szCs w:val="32"/>
          <w:lang w:eastAsia="zh-CN"/>
        </w:rPr>
        <w:t>3.10</w:t>
      </w:r>
      <w:r>
        <w:rPr>
          <w:rFonts w:hint="eastAsia" w:ascii="仿宋_GB2312" w:hAnsi="仿宋_GB2312" w:eastAsia="仿宋_GB2312" w:cs="仿宋_GB2312"/>
          <w:color w:val="000000"/>
          <w:sz w:val="32"/>
          <w:szCs w:val="32"/>
        </w:rPr>
        <w:t>万元，比</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年执行数</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0.46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增长</w:t>
      </w:r>
      <w:r>
        <w:rPr>
          <w:rFonts w:hint="eastAsia" w:ascii="仿宋_GB2312" w:hAnsi="仿宋_GB2312" w:eastAsia="仿宋_GB2312" w:cs="仿宋_GB2312"/>
          <w:color w:val="000000"/>
          <w:sz w:val="32"/>
          <w:szCs w:val="32"/>
          <w:lang w:val="en-US" w:eastAsia="zh-CN"/>
        </w:rPr>
        <w:t>17.42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，增加原因是人员工资增长</w:t>
      </w:r>
      <w:r>
        <w:rPr>
          <w:rFonts w:hint="eastAsia" w:ascii="仿宋_GB2312" w:hAnsi="仿宋_GB2312" w:eastAsia="仿宋_GB2312" w:cs="仿宋_GB2312"/>
          <w:color w:val="000000"/>
          <w:sz w:val="32"/>
          <w:szCs w:val="32"/>
        </w:rPr>
        <w:t>。</w:t>
      </w:r>
    </w:p>
    <w:p>
      <w:pPr>
        <w:adjustRightInd w:val="0"/>
        <w:snapToGrid w:val="0"/>
        <w:spacing w:line="360" w:lineRule="auto"/>
        <w:ind w:firstLine="643" w:firstLineChars="200"/>
        <w:outlineLvl w:val="1"/>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三、关于石材园区</w:t>
      </w:r>
      <w:r>
        <w:rPr>
          <w:rFonts w:hint="eastAsia" w:ascii="仿宋_GB2312" w:hAnsi="仿宋_GB2312" w:eastAsia="仿宋_GB2312" w:cs="仿宋_GB2312"/>
          <w:b/>
          <w:bCs w:val="0"/>
          <w:color w:val="000000"/>
          <w:sz w:val="32"/>
          <w:szCs w:val="32"/>
          <w:lang w:eastAsia="zh-CN"/>
        </w:rPr>
        <w:t>2020</w:t>
      </w:r>
      <w:r>
        <w:rPr>
          <w:rFonts w:hint="eastAsia" w:ascii="仿宋_GB2312" w:hAnsi="仿宋_GB2312" w:eastAsia="仿宋_GB2312" w:cs="仿宋_GB2312"/>
          <w:b/>
          <w:bCs w:val="0"/>
          <w:color w:val="000000"/>
          <w:sz w:val="32"/>
          <w:szCs w:val="32"/>
        </w:rPr>
        <w:t>年一般公共预算基本支出情况说明</w:t>
      </w:r>
    </w:p>
    <w:p>
      <w:pPr>
        <w:adjustRightInd w:val="0"/>
        <w:snapToGrid w:val="0"/>
        <w:spacing w:line="360" w:lineRule="auto"/>
        <w:ind w:firstLine="960" w:firstLineChars="3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年一般公共预算基本支出</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万元，其中：</w:t>
      </w:r>
    </w:p>
    <w:p>
      <w:pPr>
        <w:adjustRightInd w:val="0"/>
        <w:snapToGrid w:val="0"/>
        <w:spacing w:line="360" w:lineRule="auto"/>
        <w:ind w:firstLine="960" w:firstLineChars="3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57.68</w:t>
      </w:r>
      <w:r>
        <w:rPr>
          <w:rFonts w:hint="eastAsia" w:ascii="仿宋_GB2312" w:hAnsi="仿宋_GB2312" w:eastAsia="仿宋_GB2312" w:cs="仿宋_GB2312"/>
          <w:color w:val="000000"/>
          <w:sz w:val="32"/>
          <w:szCs w:val="32"/>
        </w:rPr>
        <w:t>万元，主要包括：基本工资（</w:t>
      </w:r>
      <w:r>
        <w:rPr>
          <w:rFonts w:hint="eastAsia" w:ascii="仿宋_GB2312" w:hAnsi="仿宋_GB2312" w:eastAsia="仿宋_GB2312" w:cs="仿宋_GB2312"/>
          <w:color w:val="000000"/>
          <w:sz w:val="32"/>
          <w:szCs w:val="32"/>
          <w:lang w:val="en-US" w:eastAsia="zh-CN"/>
        </w:rPr>
        <w:t>28.35</w:t>
      </w:r>
      <w:r>
        <w:rPr>
          <w:rFonts w:hint="eastAsia" w:ascii="仿宋_GB2312" w:hAnsi="仿宋_GB2312" w:eastAsia="仿宋_GB2312" w:cs="仿宋_GB2312"/>
          <w:color w:val="000000"/>
          <w:sz w:val="32"/>
          <w:szCs w:val="32"/>
        </w:rPr>
        <w:t>万元）、津贴补贴（</w:t>
      </w:r>
      <w:r>
        <w:rPr>
          <w:rFonts w:hint="eastAsia" w:ascii="仿宋_GB2312" w:hAnsi="仿宋_GB2312" w:eastAsia="仿宋_GB2312" w:cs="仿宋_GB2312"/>
          <w:color w:val="000000"/>
          <w:sz w:val="32"/>
          <w:szCs w:val="32"/>
          <w:lang w:val="en-US" w:eastAsia="zh-CN"/>
        </w:rPr>
        <w:t>5.64</w:t>
      </w:r>
      <w:r>
        <w:rPr>
          <w:rFonts w:hint="eastAsia" w:ascii="仿宋_GB2312" w:hAnsi="仿宋_GB2312" w:eastAsia="仿宋_GB2312" w:cs="仿宋_GB2312"/>
          <w:color w:val="000000"/>
          <w:sz w:val="32"/>
          <w:szCs w:val="32"/>
        </w:rPr>
        <w:t>万元）、奖金（</w:t>
      </w:r>
      <w:r>
        <w:rPr>
          <w:rFonts w:hint="eastAsia" w:ascii="仿宋_GB2312" w:hAnsi="仿宋_GB2312" w:eastAsia="仿宋_GB2312" w:cs="仿宋_GB2312"/>
          <w:color w:val="000000"/>
          <w:sz w:val="32"/>
          <w:szCs w:val="32"/>
          <w:lang w:val="en-US" w:eastAsia="zh-CN"/>
        </w:rPr>
        <w:t>4.51</w:t>
      </w:r>
      <w:r>
        <w:rPr>
          <w:rFonts w:hint="eastAsia" w:ascii="仿宋_GB2312" w:hAnsi="仿宋_GB2312" w:eastAsia="仿宋_GB2312" w:cs="仿宋_GB2312"/>
          <w:color w:val="000000"/>
          <w:sz w:val="32"/>
          <w:szCs w:val="32"/>
        </w:rPr>
        <w:t>万元）、绩效工资（</w:t>
      </w:r>
      <w:r>
        <w:rPr>
          <w:rFonts w:hint="eastAsia" w:ascii="仿宋_GB2312" w:hAnsi="仿宋_GB2312" w:eastAsia="仿宋_GB2312" w:cs="仿宋_GB2312"/>
          <w:color w:val="000000"/>
          <w:sz w:val="32"/>
          <w:szCs w:val="32"/>
          <w:lang w:val="en-US" w:eastAsia="zh-CN"/>
        </w:rPr>
        <w:t>5.18</w:t>
      </w:r>
      <w:r>
        <w:rPr>
          <w:rFonts w:hint="eastAsia" w:ascii="仿宋_GB2312" w:hAnsi="仿宋_GB2312" w:eastAsia="仿宋_GB2312" w:cs="仿宋_GB2312"/>
          <w:color w:val="000000"/>
          <w:sz w:val="32"/>
          <w:szCs w:val="32"/>
        </w:rPr>
        <w:t>万元）、养老保险（</w:t>
      </w:r>
      <w:r>
        <w:rPr>
          <w:rFonts w:hint="eastAsia" w:ascii="仿宋_GB2312" w:hAnsi="仿宋_GB2312" w:eastAsia="仿宋_GB2312" w:cs="仿宋_GB2312"/>
          <w:color w:val="000000"/>
          <w:sz w:val="32"/>
          <w:szCs w:val="32"/>
          <w:lang w:val="en-US" w:eastAsia="zh-CN"/>
        </w:rPr>
        <w:t>6.17</w:t>
      </w:r>
      <w:r>
        <w:rPr>
          <w:rFonts w:hint="eastAsia" w:ascii="仿宋_GB2312" w:hAnsi="仿宋_GB2312" w:eastAsia="仿宋_GB2312" w:cs="仿宋_GB2312"/>
          <w:color w:val="000000"/>
          <w:sz w:val="32"/>
          <w:szCs w:val="32"/>
        </w:rPr>
        <w:t>万元）、医疗保险（</w:t>
      </w:r>
      <w:r>
        <w:rPr>
          <w:rFonts w:hint="eastAsia" w:ascii="仿宋_GB2312" w:hAnsi="仿宋_GB2312" w:eastAsia="仿宋_GB2312" w:cs="仿宋_GB2312"/>
          <w:color w:val="000000"/>
          <w:sz w:val="32"/>
          <w:szCs w:val="32"/>
          <w:lang w:eastAsia="zh-CN"/>
        </w:rPr>
        <w:t>3.10</w:t>
      </w:r>
      <w:r>
        <w:rPr>
          <w:rFonts w:hint="eastAsia" w:ascii="仿宋_GB2312" w:hAnsi="仿宋_GB2312" w:eastAsia="仿宋_GB2312" w:cs="仿宋_GB2312"/>
          <w:color w:val="000000"/>
          <w:sz w:val="32"/>
          <w:szCs w:val="32"/>
        </w:rPr>
        <w:t>万元）、住房公积金（</w:t>
      </w:r>
      <w:r>
        <w:rPr>
          <w:rFonts w:hint="eastAsia" w:ascii="仿宋_GB2312" w:hAnsi="仿宋_GB2312" w:eastAsia="仿宋_GB2312" w:cs="仿宋_GB2312"/>
          <w:color w:val="000000"/>
          <w:sz w:val="32"/>
          <w:szCs w:val="32"/>
          <w:lang w:eastAsia="zh-CN"/>
        </w:rPr>
        <w:t>4.63</w:t>
      </w:r>
      <w:r>
        <w:rPr>
          <w:rFonts w:hint="eastAsia" w:ascii="仿宋_GB2312" w:hAnsi="仿宋_GB2312" w:eastAsia="仿宋_GB2312" w:cs="仿宋_GB2312"/>
          <w:color w:val="000000"/>
          <w:sz w:val="32"/>
          <w:szCs w:val="32"/>
        </w:rPr>
        <w:t>万元）、残疾人保障金（0.11万元）</w:t>
      </w:r>
      <w:r>
        <w:rPr>
          <w:rFonts w:hint="eastAsia" w:ascii="仿宋_GB2312" w:hAnsi="仿宋_GB2312" w:eastAsia="仿宋_GB2312" w:cs="仿宋_GB2312"/>
          <w:color w:val="000000"/>
          <w:sz w:val="32"/>
          <w:szCs w:val="32"/>
          <w:lang w:eastAsia="zh-CN"/>
        </w:rPr>
        <w:t>，比</w:t>
      </w:r>
      <w:r>
        <w:rPr>
          <w:rFonts w:hint="eastAsia" w:ascii="仿宋_GB2312" w:hAnsi="仿宋_GB2312" w:eastAsia="仿宋_GB2312" w:cs="仿宋_GB2312"/>
          <w:color w:val="000000"/>
          <w:sz w:val="32"/>
          <w:szCs w:val="32"/>
          <w:lang w:val="en-US" w:eastAsia="zh-CN"/>
        </w:rPr>
        <w:t>2019年增加了7.37万元，增加原因是人员工资增长</w:t>
      </w:r>
      <w:r>
        <w:rPr>
          <w:rFonts w:hint="eastAsia" w:ascii="仿宋_GB2312" w:hAnsi="仿宋_GB2312" w:eastAsia="仿宋_GB2312" w:cs="仿宋_GB2312"/>
          <w:color w:val="000000"/>
          <w:sz w:val="32"/>
          <w:szCs w:val="32"/>
        </w:rPr>
        <w:t>。</w:t>
      </w:r>
    </w:p>
    <w:p>
      <w:pPr>
        <w:adjustRightInd w:val="0"/>
        <w:snapToGrid w:val="0"/>
        <w:spacing w:line="360" w:lineRule="auto"/>
        <w:ind w:firstLine="960" w:firstLineChars="3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szCs w:val="32"/>
          <w:lang w:val="en-US" w:eastAsia="zh-CN"/>
        </w:rPr>
        <w:t>2.72</w:t>
      </w:r>
      <w:r>
        <w:rPr>
          <w:rFonts w:hint="eastAsia" w:ascii="仿宋_GB2312" w:hAnsi="仿宋_GB2312" w:eastAsia="仿宋_GB2312" w:cs="仿宋_GB2312"/>
          <w:color w:val="000000"/>
          <w:sz w:val="32"/>
          <w:szCs w:val="32"/>
        </w:rPr>
        <w:t>万元，主要包括：办公费（1.</w:t>
      </w:r>
      <w:r>
        <w:rPr>
          <w:rFonts w:hint="eastAsia" w:ascii="仿宋_GB2312" w:hAnsi="仿宋_GB2312" w:eastAsia="仿宋_GB2312" w:cs="仿宋_GB2312"/>
          <w:color w:val="000000"/>
          <w:sz w:val="32"/>
          <w:szCs w:val="32"/>
          <w:lang w:val="en-US" w:eastAsia="zh-CN"/>
        </w:rPr>
        <w:t>80</w:t>
      </w:r>
      <w:r>
        <w:rPr>
          <w:rFonts w:hint="eastAsia" w:ascii="仿宋_GB2312" w:hAnsi="仿宋_GB2312" w:eastAsia="仿宋_GB2312" w:cs="仿宋_GB2312"/>
          <w:color w:val="000000"/>
          <w:sz w:val="32"/>
          <w:szCs w:val="32"/>
        </w:rPr>
        <w:t>万元）、福利费（0.</w:t>
      </w:r>
      <w:r>
        <w:rPr>
          <w:rFonts w:hint="eastAsia" w:ascii="仿宋_GB2312" w:hAnsi="仿宋_GB2312" w:eastAsia="仿宋_GB2312" w:cs="仿宋_GB2312"/>
          <w:color w:val="000000"/>
          <w:sz w:val="32"/>
          <w:szCs w:val="32"/>
          <w:lang w:val="en-US" w:eastAsia="zh-CN"/>
        </w:rPr>
        <w:t>92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，比</w:t>
      </w:r>
      <w:r>
        <w:rPr>
          <w:rFonts w:hint="eastAsia" w:ascii="仿宋_GB2312" w:hAnsi="仿宋_GB2312" w:eastAsia="仿宋_GB2312" w:cs="仿宋_GB2312"/>
          <w:color w:val="000000"/>
          <w:sz w:val="32"/>
          <w:szCs w:val="32"/>
          <w:lang w:val="en-US" w:eastAsia="zh-CN"/>
        </w:rPr>
        <w:t>2019年增加了0.34万元，增加原因是人员增加，工资增长</w:t>
      </w:r>
      <w:r>
        <w:rPr>
          <w:rFonts w:hint="eastAsia" w:ascii="仿宋_GB2312" w:hAnsi="仿宋_GB2312" w:eastAsia="仿宋_GB2312" w:cs="仿宋_GB2312"/>
          <w:color w:val="000000"/>
          <w:sz w:val="32"/>
          <w:szCs w:val="32"/>
        </w:rPr>
        <w:t>。</w:t>
      </w:r>
    </w:p>
    <w:p>
      <w:pPr>
        <w:adjustRightInd w:val="0"/>
        <w:snapToGrid w:val="0"/>
        <w:spacing w:line="360" w:lineRule="auto"/>
        <w:ind w:firstLine="643" w:firstLineChars="200"/>
        <w:outlineLvl w:val="1"/>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四、关于石材园区</w:t>
      </w:r>
      <w:r>
        <w:rPr>
          <w:rFonts w:hint="eastAsia" w:ascii="仿宋_GB2312" w:hAnsi="仿宋_GB2312" w:eastAsia="仿宋_GB2312" w:cs="仿宋_GB2312"/>
          <w:b/>
          <w:bCs w:val="0"/>
          <w:color w:val="000000"/>
          <w:sz w:val="32"/>
          <w:szCs w:val="32"/>
          <w:lang w:eastAsia="zh-CN"/>
        </w:rPr>
        <w:t>2020</w:t>
      </w:r>
      <w:r>
        <w:rPr>
          <w:rFonts w:hint="eastAsia" w:ascii="仿宋_GB2312" w:hAnsi="仿宋_GB2312" w:eastAsia="仿宋_GB2312" w:cs="仿宋_GB2312"/>
          <w:b/>
          <w:bCs w:val="0"/>
          <w:color w:val="000000"/>
          <w:sz w:val="32"/>
          <w:szCs w:val="32"/>
        </w:rPr>
        <w:t>年“三公”经费预算情况说明</w:t>
      </w:r>
    </w:p>
    <w:p>
      <w:pPr>
        <w:adjustRightInd w:val="0"/>
        <w:snapToGrid w:val="0"/>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年“三公”经费预算数为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lang w:eastAsia="zh-CN"/>
        </w:rPr>
        <w:t>因公出国（境）费为</w:t>
      </w:r>
      <w:r>
        <w:rPr>
          <w:rFonts w:hint="eastAsia" w:ascii="仿宋_GB2312" w:hAnsi="仿宋_GB2312" w:eastAsia="仿宋_GB2312" w:cs="仿宋_GB2312"/>
          <w:color w:val="000000"/>
          <w:sz w:val="32"/>
          <w:szCs w:val="32"/>
          <w:lang w:val="en-US" w:eastAsia="zh-CN"/>
        </w:rPr>
        <w:t>0，</w:t>
      </w:r>
      <w:bookmarkStart w:id="0" w:name="_GoBack"/>
      <w:bookmarkEnd w:id="0"/>
      <w:r>
        <w:rPr>
          <w:rFonts w:hint="eastAsia" w:ascii="仿宋_GB2312" w:hAnsi="仿宋_GB2312" w:eastAsia="仿宋_GB2312" w:cs="仿宋_GB2312"/>
          <w:color w:val="000000"/>
          <w:sz w:val="32"/>
          <w:szCs w:val="32"/>
        </w:rPr>
        <w:t>公务用车购置费为0，公务用车运行费为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万元，公务接待费为0。与</w:t>
      </w:r>
      <w:r>
        <w:rPr>
          <w:rFonts w:hint="eastAsia" w:ascii="仿宋_GB2312" w:hAnsi="仿宋_GB2312" w:eastAsia="仿宋_GB2312" w:cs="仿宋_GB2312"/>
          <w:color w:val="000000"/>
          <w:sz w:val="32"/>
          <w:szCs w:val="32"/>
          <w:lang w:eastAsia="zh-CN"/>
        </w:rPr>
        <w:t>2019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预算</w:t>
      </w:r>
      <w:r>
        <w:rPr>
          <w:rFonts w:hint="eastAsia" w:ascii="仿宋_GB2312" w:hAnsi="仿宋_GB2312" w:eastAsia="仿宋_GB2312" w:cs="仿宋_GB2312"/>
          <w:color w:val="000000"/>
          <w:sz w:val="32"/>
          <w:szCs w:val="32"/>
        </w:rPr>
        <w:t>数完全相同，主要原因是</w:t>
      </w:r>
      <w:r>
        <w:rPr>
          <w:rFonts w:hint="eastAsia" w:ascii="仿宋_GB2312" w:hAnsi="仿宋_GB2312" w:eastAsia="仿宋_GB2312" w:cs="仿宋_GB2312"/>
          <w:color w:val="000000"/>
          <w:sz w:val="32"/>
          <w:szCs w:val="32"/>
          <w:lang w:eastAsia="zh-CN"/>
        </w:rPr>
        <w:t>预算无此经费说明。</w:t>
      </w:r>
      <w:r>
        <w:rPr>
          <w:rFonts w:hint="eastAsia" w:ascii="仿宋_GB2312" w:hAnsi="仿宋_GB2312" w:eastAsia="仿宋_GB2312" w:cs="仿宋_GB2312"/>
          <w:color w:val="000000"/>
          <w:sz w:val="32"/>
          <w:szCs w:val="32"/>
          <w:lang w:val="en-US" w:eastAsia="zh-CN"/>
        </w:rPr>
        <w:t>2019年执行数为公务用车购置费为0，公务用车运行费为2.5万元，公务接待费为6.8万元，均低于上年。</w:t>
      </w:r>
    </w:p>
    <w:p>
      <w:pPr>
        <w:ind w:firstLine="643" w:firstLineChars="200"/>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五、关于石材园区</w:t>
      </w:r>
      <w:r>
        <w:rPr>
          <w:rFonts w:hint="eastAsia" w:ascii="仿宋_GB2312" w:hAnsi="仿宋_GB2312" w:eastAsia="仿宋_GB2312" w:cs="仿宋_GB2312"/>
          <w:b/>
          <w:bCs w:val="0"/>
          <w:color w:val="000000"/>
          <w:sz w:val="32"/>
          <w:szCs w:val="32"/>
          <w:lang w:eastAsia="zh-CN"/>
        </w:rPr>
        <w:t>2020</w:t>
      </w:r>
      <w:r>
        <w:rPr>
          <w:rFonts w:hint="eastAsia" w:ascii="仿宋_GB2312" w:hAnsi="仿宋_GB2312" w:eastAsia="仿宋_GB2312" w:cs="仿宋_GB2312"/>
          <w:b/>
          <w:bCs w:val="0"/>
          <w:color w:val="000000"/>
          <w:sz w:val="32"/>
          <w:szCs w:val="32"/>
        </w:rPr>
        <w:t>年政府性基金预算财政拨款支出情况的说明</w:t>
      </w:r>
    </w:p>
    <w:p>
      <w:pPr>
        <w:outlineLvl w:val="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000000"/>
          <w:sz w:val="32"/>
          <w:szCs w:val="32"/>
        </w:rPr>
        <w:t xml:space="preserve">   罗山县石材园区管委会2020年无政府性基金预算</w:t>
      </w:r>
      <w:r>
        <w:rPr>
          <w:rFonts w:hint="eastAsia" w:ascii="仿宋_GB2312" w:hAnsi="仿宋_GB2312" w:eastAsia="仿宋_GB2312" w:cs="仿宋_GB2312"/>
          <w:b w:val="0"/>
          <w:bCs/>
          <w:color w:val="000000"/>
          <w:sz w:val="32"/>
          <w:szCs w:val="32"/>
        </w:rPr>
        <w:t>财政拨款支出</w:t>
      </w:r>
      <w:r>
        <w:rPr>
          <w:rFonts w:hint="eastAsia" w:ascii="仿宋_GB2312" w:hAnsi="仿宋_GB2312" w:eastAsia="仿宋_GB2312" w:cs="仿宋_GB2312"/>
          <w:b w:val="0"/>
          <w:bCs/>
          <w:color w:val="000000"/>
          <w:sz w:val="32"/>
          <w:szCs w:val="32"/>
          <w:lang w:eastAsia="zh-CN"/>
        </w:rPr>
        <w:t>。</w:t>
      </w:r>
    </w:p>
    <w:p>
      <w:pPr>
        <w:numPr>
          <w:ilvl w:val="0"/>
          <w:numId w:val="5"/>
        </w:numPr>
        <w:ind w:firstLine="643" w:firstLineChars="200"/>
        <w:jc w:val="left"/>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关于石材园区</w:t>
      </w:r>
      <w:r>
        <w:rPr>
          <w:rFonts w:hint="eastAsia" w:ascii="仿宋_GB2312" w:hAnsi="仿宋_GB2312" w:eastAsia="仿宋_GB2312" w:cs="仿宋_GB2312"/>
          <w:b/>
          <w:bCs w:val="0"/>
          <w:color w:val="000000"/>
          <w:sz w:val="32"/>
          <w:szCs w:val="32"/>
          <w:lang w:eastAsia="zh-CN"/>
        </w:rPr>
        <w:t>2020</w:t>
      </w:r>
      <w:r>
        <w:rPr>
          <w:rFonts w:hint="eastAsia" w:ascii="仿宋_GB2312" w:hAnsi="仿宋_GB2312" w:eastAsia="仿宋_GB2312" w:cs="仿宋_GB2312"/>
          <w:b/>
          <w:bCs w:val="0"/>
          <w:color w:val="000000"/>
          <w:sz w:val="32"/>
          <w:szCs w:val="32"/>
        </w:rPr>
        <w:t>年收支预算情况的总体说明</w:t>
      </w:r>
    </w:p>
    <w:p>
      <w:pPr>
        <w:jc w:val="lef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按照综合预算的原则，石材园区所有收入和支出均纳入部门预算管理。收入为一般公共预算拨款收入；支出包括：一般公共服务支出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46.39万元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6.28万元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、住房保障支出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4.63万元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、医疗卫生和计划生育支出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3.10万元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年收支总预算为</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w:t>
      </w:r>
    </w:p>
    <w:p>
      <w:pPr>
        <w:jc w:val="left"/>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 xml:space="preserve"> 七、关于石材园区</w:t>
      </w:r>
      <w:r>
        <w:rPr>
          <w:rFonts w:hint="eastAsia" w:ascii="仿宋_GB2312" w:hAnsi="仿宋_GB2312" w:eastAsia="仿宋_GB2312" w:cs="仿宋_GB2312"/>
          <w:b/>
          <w:bCs/>
          <w:color w:val="000000"/>
          <w:sz w:val="32"/>
          <w:szCs w:val="32"/>
          <w:lang w:eastAsia="zh-CN"/>
        </w:rPr>
        <w:t>2020</w:t>
      </w:r>
      <w:r>
        <w:rPr>
          <w:rFonts w:hint="eastAsia" w:ascii="仿宋_GB2312" w:hAnsi="仿宋_GB2312" w:eastAsia="仿宋_GB2312" w:cs="仿宋_GB2312"/>
          <w:b/>
          <w:bCs/>
          <w:color w:val="000000"/>
          <w:sz w:val="32"/>
          <w:szCs w:val="32"/>
        </w:rPr>
        <w:t>年收入预算情况的说明</w:t>
      </w:r>
    </w:p>
    <w:p>
      <w:pPr>
        <w:jc w:val="lef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年收入预算</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万元，全部为一般公共预算拨款收入。</w:t>
      </w:r>
    </w:p>
    <w:p>
      <w:pPr>
        <w:jc w:val="left"/>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八、关于石材园区</w:t>
      </w:r>
      <w:r>
        <w:rPr>
          <w:rFonts w:hint="eastAsia" w:ascii="仿宋_GB2312" w:hAnsi="仿宋_GB2312" w:eastAsia="仿宋_GB2312" w:cs="仿宋_GB2312"/>
          <w:b/>
          <w:bCs/>
          <w:color w:val="000000"/>
          <w:sz w:val="32"/>
          <w:szCs w:val="32"/>
          <w:lang w:eastAsia="zh-CN"/>
        </w:rPr>
        <w:t>2020</w:t>
      </w:r>
      <w:r>
        <w:rPr>
          <w:rFonts w:hint="eastAsia" w:ascii="仿宋_GB2312" w:hAnsi="仿宋_GB2312" w:eastAsia="仿宋_GB2312" w:cs="仿宋_GB2312"/>
          <w:b/>
          <w:bCs/>
          <w:color w:val="000000"/>
          <w:sz w:val="32"/>
          <w:szCs w:val="32"/>
        </w:rPr>
        <w:t>年支出预算情况的说明</w:t>
      </w:r>
    </w:p>
    <w:p>
      <w:pPr>
        <w:ind w:firstLine="570"/>
        <w:jc w:val="lef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年支出预算</w:t>
      </w:r>
      <w:r>
        <w:rPr>
          <w:rFonts w:hint="eastAsia" w:ascii="仿宋_GB2312" w:hAnsi="仿宋_GB2312" w:eastAsia="仿宋_GB2312" w:cs="仿宋_GB2312"/>
          <w:color w:val="000000"/>
          <w:sz w:val="32"/>
          <w:szCs w:val="32"/>
          <w:lang w:eastAsia="zh-CN"/>
        </w:rPr>
        <w:t>60.4</w:t>
      </w:r>
      <w:r>
        <w:rPr>
          <w:rFonts w:hint="eastAsia" w:ascii="仿宋_GB2312" w:hAnsi="仿宋_GB2312" w:eastAsia="仿宋_GB2312" w:cs="仿宋_GB2312"/>
          <w:color w:val="000000"/>
          <w:sz w:val="32"/>
          <w:szCs w:val="32"/>
        </w:rPr>
        <w:t>万元，全部为基本支出。</w:t>
      </w:r>
    </w:p>
    <w:p>
      <w:pPr>
        <w:ind w:firstLine="570"/>
        <w:jc w:val="lef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九</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color w:val="000000"/>
          <w:sz w:val="32"/>
          <w:szCs w:val="32"/>
        </w:rPr>
        <w:t>政府采购安排情况的说明</w:t>
      </w:r>
    </w:p>
    <w:p>
      <w:pPr>
        <w:ind w:firstLine="480" w:firstLineChars="1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根据我单位</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年预算政府采购安排情况，为改善我单位及周边人居环境，进一步促进扶贫及党建、招商引资工作，我单位</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年准备进行政府采购的项目有：</w:t>
      </w:r>
    </w:p>
    <w:p>
      <w:pPr>
        <w:numPr>
          <w:ilvl w:val="0"/>
          <w:numId w:val="6"/>
        </w:num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垃圾桶10个，预算金额为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万元，主要用于石材园区主干道至易店街道及连接线道路沿路垃圾、生活垃圾的收取。</w:t>
      </w:r>
    </w:p>
    <w:p>
      <w:pPr>
        <w:numPr>
          <w:ilvl w:val="0"/>
          <w:numId w:val="6"/>
        </w:num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打印机2台</w:t>
      </w:r>
      <w:r>
        <w:rPr>
          <w:rFonts w:hint="eastAsia" w:ascii="仿宋_GB2312" w:hAnsi="仿宋_GB2312" w:eastAsia="仿宋_GB2312" w:cs="仿宋_GB2312"/>
          <w:color w:val="000000"/>
          <w:sz w:val="32"/>
          <w:szCs w:val="32"/>
          <w:lang w:eastAsia="zh-CN"/>
        </w:rPr>
        <w:t>、电脑</w:t>
      </w:r>
      <w:r>
        <w:rPr>
          <w:rFonts w:hint="eastAsia" w:ascii="仿宋_GB2312" w:hAnsi="仿宋_GB2312" w:eastAsia="仿宋_GB2312" w:cs="仿宋_GB2312"/>
          <w:color w:val="000000"/>
          <w:sz w:val="32"/>
          <w:szCs w:val="32"/>
          <w:lang w:val="en-US" w:eastAsia="zh-CN"/>
        </w:rPr>
        <w:t>2台</w:t>
      </w:r>
      <w:r>
        <w:rPr>
          <w:rFonts w:hint="eastAsia" w:ascii="仿宋_GB2312" w:hAnsi="仿宋_GB2312" w:eastAsia="仿宋_GB2312" w:cs="仿宋_GB2312"/>
          <w:color w:val="000000"/>
          <w:sz w:val="32"/>
          <w:szCs w:val="32"/>
        </w:rPr>
        <w:t>及相应打印纸</w:t>
      </w:r>
      <w:r>
        <w:rPr>
          <w:rFonts w:hint="eastAsia" w:ascii="仿宋_GB2312" w:hAnsi="仿宋_GB2312" w:eastAsia="仿宋_GB2312" w:cs="仿宋_GB2312"/>
          <w:color w:val="000000"/>
          <w:sz w:val="32"/>
          <w:szCs w:val="32"/>
          <w:lang w:eastAsia="zh-CN"/>
        </w:rPr>
        <w:t>、热水器及空调、档案柜等办公用品</w:t>
      </w:r>
      <w:r>
        <w:rPr>
          <w:rFonts w:hint="eastAsia" w:ascii="仿宋_GB2312" w:hAnsi="仿宋_GB2312" w:eastAsia="仿宋_GB2312" w:cs="仿宋_GB2312"/>
          <w:color w:val="000000"/>
          <w:sz w:val="32"/>
          <w:szCs w:val="32"/>
        </w:rPr>
        <w:t>，预算金额为</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万元，主要服务于石材园区日常办公。</w:t>
      </w:r>
    </w:p>
    <w:p>
      <w:pPr>
        <w:ind w:firstLine="643" w:firstLineChars="200"/>
        <w:jc w:val="left"/>
        <w:outlineLvl w:val="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十、机关运行经费的安排</w:t>
      </w:r>
    </w:p>
    <w:p>
      <w:pPr>
        <w:adjustRightInd w:val="0"/>
        <w:snapToGrid w:val="0"/>
        <w:spacing w:line="36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石材园区</w:t>
      </w:r>
      <w:r>
        <w:rPr>
          <w:rFonts w:hint="eastAsia" w:ascii="仿宋_GB2312" w:hAnsi="仿宋_GB2312" w:eastAsia="仿宋_GB2312" w:cs="仿宋_GB2312"/>
          <w:color w:val="000000"/>
          <w:sz w:val="32"/>
          <w:szCs w:val="32"/>
          <w:lang w:eastAsia="zh-CN"/>
        </w:rPr>
        <w:t>2020</w:t>
      </w:r>
      <w:r>
        <w:rPr>
          <w:rFonts w:hint="eastAsia" w:ascii="仿宋_GB2312" w:hAnsi="仿宋_GB2312" w:eastAsia="仿宋_GB2312" w:cs="仿宋_GB2312"/>
          <w:color w:val="000000"/>
          <w:sz w:val="32"/>
          <w:szCs w:val="32"/>
        </w:rPr>
        <w:t>年预算机关运行经费为</w:t>
      </w:r>
      <w:r>
        <w:rPr>
          <w:rFonts w:hint="eastAsia" w:ascii="仿宋_GB2312" w:hAnsi="仿宋_GB2312" w:eastAsia="仿宋_GB2312" w:cs="仿宋_GB2312"/>
          <w:color w:val="000000"/>
          <w:sz w:val="32"/>
          <w:szCs w:val="32"/>
          <w:lang w:val="en-US" w:eastAsia="zh-CN"/>
        </w:rPr>
        <w:t>2.72</w:t>
      </w:r>
      <w:r>
        <w:rPr>
          <w:rFonts w:hint="eastAsia" w:ascii="仿宋_GB2312" w:hAnsi="仿宋_GB2312" w:eastAsia="仿宋_GB2312" w:cs="仿宋_GB2312"/>
          <w:color w:val="000000"/>
          <w:sz w:val="32"/>
          <w:szCs w:val="32"/>
        </w:rPr>
        <w:t>万元，主要包括：办公费、福利费、公车运行维护费等公用经费。办公费为1.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万元；福利费为0.</w:t>
      </w:r>
      <w:r>
        <w:rPr>
          <w:rFonts w:hint="eastAsia" w:ascii="仿宋_GB2312" w:hAnsi="仿宋_GB2312" w:eastAsia="仿宋_GB2312" w:cs="仿宋_GB2312"/>
          <w:color w:val="000000"/>
          <w:sz w:val="32"/>
          <w:szCs w:val="32"/>
          <w:lang w:val="en-US" w:eastAsia="zh-CN"/>
        </w:rPr>
        <w:t>92</w:t>
      </w:r>
      <w:r>
        <w:rPr>
          <w:rFonts w:hint="eastAsia" w:ascii="仿宋_GB2312" w:hAnsi="仿宋_GB2312" w:eastAsia="仿宋_GB2312" w:cs="仿宋_GB2312"/>
          <w:color w:val="000000"/>
          <w:sz w:val="32"/>
          <w:szCs w:val="32"/>
        </w:rPr>
        <w:t>万元。</w:t>
      </w:r>
    </w:p>
    <w:p>
      <w:pPr>
        <w:widowControl/>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国有资产占用情况</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年期</w:t>
      </w:r>
      <w:r>
        <w:rPr>
          <w:rFonts w:hint="eastAsia" w:ascii="仿宋_GB2312" w:hAnsi="仿宋_GB2312" w:eastAsia="仿宋_GB2312" w:cs="仿宋_GB2312"/>
          <w:sz w:val="32"/>
          <w:szCs w:val="32"/>
          <w:lang w:eastAsia="zh-CN"/>
        </w:rPr>
        <w:t>初</w:t>
      </w:r>
      <w:r>
        <w:rPr>
          <w:rFonts w:hint="eastAsia" w:ascii="仿宋_GB2312" w:hAnsi="仿宋_GB2312" w:eastAsia="仿宋_GB2312" w:cs="仿宋_GB2312"/>
          <w:sz w:val="32"/>
          <w:szCs w:val="32"/>
        </w:rPr>
        <w:t>，石材园区共有车辆3辆，其中：一般公务用车1辆、一般执法执勤用车0辆、特种专业技术用车0辆，其他用车2辆，其他用车主要是垃圾车和洒水车各1辆；单位价值50万元以上通用设备0台（套），单位价值100万元以上专用设备0台（套</w:t>
      </w:r>
      <w:r>
        <w:rPr>
          <w:rFonts w:hint="eastAsia" w:ascii="仿宋_GB2312" w:hAnsi="仿宋_GB2312" w:eastAsia="仿宋_GB2312" w:cs="仿宋_GB2312"/>
          <w:sz w:val="32"/>
          <w:szCs w:val="32"/>
          <w:lang w:eastAsia="zh-CN"/>
        </w:rPr>
        <w:t>）。</w:t>
      </w:r>
    </w:p>
    <w:p>
      <w:pPr>
        <w:widowControl/>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十二、重点项目预算的绩效目标等预算绩效情况说明</w:t>
      </w:r>
    </w:p>
    <w:p>
      <w:pPr>
        <w:widowControl/>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（一）绩效管理工作开展情况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为加强预算绩效管理，</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成立了以</w:t>
      </w:r>
      <w:r>
        <w:rPr>
          <w:rFonts w:hint="eastAsia" w:ascii="仿宋_GB2312" w:hAnsi="仿宋_GB2312" w:eastAsia="仿宋_GB2312" w:cs="仿宋_GB2312"/>
          <w:sz w:val="32"/>
          <w:szCs w:val="32"/>
          <w:lang w:eastAsia="zh-CN"/>
        </w:rPr>
        <w:t>罗庆</w:t>
      </w:r>
      <w:r>
        <w:rPr>
          <w:rFonts w:hint="eastAsia" w:ascii="仿宋_GB2312" w:hAnsi="仿宋_GB2312" w:eastAsia="仿宋_GB2312" w:cs="仿宋_GB2312"/>
          <w:sz w:val="32"/>
          <w:szCs w:val="32"/>
        </w:rPr>
        <w:t>主任为组长的绩效管理工作领导小组，加强对绩效管理工作的领导与落实，并认真制定了《石材园区</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年度绩效管理工作方案》，为合理设定指标体系提供科学依据。既便于考核评估，又具有可操作性。</w:t>
      </w:r>
    </w:p>
    <w:p>
      <w:pPr>
        <w:widowControl/>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（二）项目绩效自评结果</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实行专户管理，专账核算，严格按照项目进度控制项目经费的支出。</w:t>
      </w:r>
    </w:p>
    <w:p>
      <w:pPr>
        <w:adjustRightInd w:val="0"/>
        <w:snapToGrid w:val="0"/>
        <w:spacing w:line="360" w:lineRule="auto"/>
        <w:ind w:firstLine="960" w:firstLineChars="300"/>
        <w:outlineLvl w:val="1"/>
        <w:rPr>
          <w:rFonts w:hint="eastAsia" w:ascii="仿宋_GB2312" w:hAnsi="仿宋_GB2312" w:eastAsia="仿宋_GB2312" w:cs="仿宋_GB2312"/>
          <w:color w:val="000000"/>
          <w:sz w:val="32"/>
          <w:szCs w:val="32"/>
        </w:rPr>
      </w:pPr>
    </w:p>
    <w:p>
      <w:pPr>
        <w:ind w:firstLine="321" w:firstLineChars="100"/>
        <w:jc w:val="left"/>
        <w:outlineLvl w:val="0"/>
        <w:rPr>
          <w:rFonts w:hint="eastAsia" w:ascii="仿宋_GB2312" w:hAnsi="仿宋_GB2312" w:eastAsia="仿宋_GB2312" w:cs="仿宋_GB2312"/>
          <w:b/>
          <w:color w:val="000000"/>
          <w:sz w:val="32"/>
          <w:szCs w:val="32"/>
        </w:rPr>
      </w:pPr>
    </w:p>
    <w:p>
      <w:pPr>
        <w:jc w:val="center"/>
        <w:outlineLvl w:val="0"/>
        <w:rPr>
          <w:rFonts w:hint="eastAsia" w:ascii="仿宋_GB2312" w:hAnsi="仿宋_GB2312" w:eastAsia="仿宋_GB2312" w:cs="仿宋_GB2312"/>
          <w:color w:val="000000"/>
          <w:sz w:val="32"/>
          <w:szCs w:val="32"/>
        </w:rPr>
      </w:pPr>
    </w:p>
    <w:p>
      <w:pPr>
        <w:jc w:val="center"/>
        <w:outlineLvl w:val="0"/>
        <w:rPr>
          <w:rFonts w:ascii="宋体" w:cs="??"/>
          <w:color w:val="000000"/>
          <w:sz w:val="32"/>
          <w:szCs w:val="32"/>
        </w:rPr>
      </w:pPr>
    </w:p>
    <w:p>
      <w:pPr>
        <w:jc w:val="center"/>
        <w:outlineLvl w:val="0"/>
        <w:rPr>
          <w:rFonts w:ascii="宋体" w:cs="??"/>
          <w:color w:val="000000"/>
          <w:sz w:val="32"/>
          <w:szCs w:val="32"/>
        </w:rPr>
      </w:pPr>
    </w:p>
    <w:p>
      <w:pPr>
        <w:jc w:val="center"/>
        <w:outlineLvl w:val="0"/>
        <w:rPr>
          <w:rFonts w:ascii="宋体" w:cs="??"/>
          <w:color w:val="000000"/>
          <w:sz w:val="32"/>
          <w:szCs w:val="32"/>
        </w:rPr>
      </w:pPr>
    </w:p>
    <w:p>
      <w:pPr>
        <w:jc w:val="center"/>
        <w:outlineLvl w:val="0"/>
        <w:rPr>
          <w:rFonts w:ascii="宋体" w:cs="??"/>
          <w:color w:val="000000"/>
          <w:sz w:val="32"/>
          <w:szCs w:val="32"/>
        </w:rPr>
      </w:pPr>
    </w:p>
    <w:p>
      <w:pPr>
        <w:jc w:val="center"/>
        <w:outlineLvl w:val="0"/>
        <w:rPr>
          <w:rFonts w:ascii="宋体" w:cs="??"/>
          <w:color w:val="000000"/>
          <w:sz w:val="32"/>
          <w:szCs w:val="32"/>
        </w:rPr>
      </w:pPr>
    </w:p>
    <w:p>
      <w:pPr>
        <w:jc w:val="center"/>
        <w:outlineLvl w:val="0"/>
        <w:rPr>
          <w:rFonts w:ascii="宋体" w:cs="??"/>
          <w:color w:val="000000"/>
          <w:sz w:val="32"/>
          <w:szCs w:val="32"/>
        </w:rPr>
      </w:pPr>
    </w:p>
    <w:p>
      <w:pPr>
        <w:outlineLvl w:val="0"/>
        <w:rPr>
          <w:rFonts w:ascii="宋体" w:cs="??"/>
          <w:color w:val="000000"/>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before="157" w:beforeLines="50" w:after="313" w:afterLines="100"/>
        <w:jc w:val="center"/>
        <w:textAlignment w:val="auto"/>
        <w:outlineLvl w:val="0"/>
        <w:rPr>
          <w:rFonts w:hint="eastAsia" w:ascii="文星标宋" w:hAnsi="文星标宋" w:eastAsia="文星标宋" w:cs="文星标宋"/>
          <w:color w:val="000000"/>
          <w:sz w:val="44"/>
          <w:szCs w:val="44"/>
        </w:rPr>
      </w:pPr>
      <w:r>
        <w:rPr>
          <w:rFonts w:hint="eastAsia" w:ascii="文星标宋" w:hAnsi="文星标宋" w:eastAsia="文星标宋" w:cs="文星标宋"/>
          <w:color w:val="000000"/>
          <w:sz w:val="44"/>
          <w:szCs w:val="44"/>
        </w:rPr>
        <w:t>名词解释</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财政拨款收入：</w:t>
      </w:r>
      <w:r>
        <w:rPr>
          <w:rFonts w:hint="eastAsia" w:ascii="仿宋_GB2312" w:hAnsi="仿宋_GB2312" w:eastAsia="仿宋_GB2312" w:cs="仿宋_GB2312"/>
          <w:color w:val="000000"/>
          <w:sz w:val="32"/>
          <w:szCs w:val="32"/>
        </w:rPr>
        <w:t>是指省级财政当年拨付的资金。</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事业收入：</w:t>
      </w:r>
      <w:r>
        <w:rPr>
          <w:rFonts w:hint="eastAsia" w:ascii="仿宋_GB2312" w:hAnsi="仿宋_GB2312" w:eastAsia="仿宋_GB2312" w:cs="仿宋_GB2312"/>
          <w:color w:val="000000"/>
          <w:sz w:val="32"/>
          <w:szCs w:val="32"/>
        </w:rPr>
        <w:t>是指事业单位开展专业业务活动及辅助活动所取得的收入。如：ＸＸ刊物发行收入，ＸＸ协会收取的会费收入等。</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经营收入：</w:t>
      </w:r>
      <w:r>
        <w:rPr>
          <w:rFonts w:hint="eastAsia" w:ascii="仿宋_GB2312" w:hAnsi="仿宋_GB2312" w:eastAsia="仿宋_GB2312" w:cs="仿宋_GB2312"/>
          <w:color w:val="000000"/>
          <w:sz w:val="32"/>
          <w:szCs w:val="32"/>
        </w:rPr>
        <w:t>指事业单位在专业业务活动及其辅助活动之外开展非独立核算经营活动取得的收入。如：ＸＸ杂志社广告收入等。</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其他收入：</w:t>
      </w:r>
      <w:r>
        <w:rPr>
          <w:rFonts w:hint="eastAsia" w:ascii="仿宋_GB2312" w:hAnsi="仿宋_GB2312" w:eastAsia="仿宋_GB2312" w:cs="仿宋_GB2312"/>
          <w:color w:val="000000"/>
          <w:sz w:val="32"/>
          <w:szCs w:val="32"/>
        </w:rPr>
        <w:t>指除上述“财政拨款收入”、“事业收入”、“事业单位经营收入”、“经营收入”等以外的收入。主要是按规定动用的售房收入、存款利息收入等。</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用事业基金弥补收支差额：</w:t>
      </w:r>
      <w:r>
        <w:rPr>
          <w:rFonts w:hint="eastAsia" w:ascii="仿宋_GB2312" w:hAnsi="仿宋_GB2312" w:eastAsia="仿宋_GB2312" w:cs="仿宋_GB2312"/>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eastAsia" w:ascii="仿宋_GB2312" w:hAnsi="仿宋_GB2312" w:eastAsia="仿宋_GB2312" w:cs="仿宋_GB2312"/>
          <w:b/>
          <w:bCs/>
          <w:color w:val="000000"/>
          <w:sz w:val="32"/>
          <w:szCs w:val="32"/>
        </w:rPr>
        <w:t>。</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年初结转和结余：</w:t>
      </w:r>
      <w:r>
        <w:rPr>
          <w:rFonts w:hint="eastAsia" w:ascii="仿宋_GB2312" w:hAnsi="仿宋_GB2312" w:eastAsia="仿宋_GB2312" w:cs="仿宋_GB2312"/>
          <w:color w:val="000000"/>
          <w:sz w:val="32"/>
          <w:szCs w:val="32"/>
        </w:rPr>
        <w:t>指以前年度尚未完成、结转到本年按有关规定继续使用的资金。</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一般公共服务（类）财政事务（款）行政运行（项）（请根据单位实际情况，参照《</w:t>
      </w:r>
      <w:r>
        <w:rPr>
          <w:rFonts w:hint="eastAsia" w:ascii="仿宋_GB2312" w:hAnsi="仿宋_GB2312" w:eastAsia="仿宋_GB2312" w:cs="仿宋_GB2312"/>
          <w:b/>
          <w:bCs/>
          <w:color w:val="000000"/>
          <w:sz w:val="32"/>
          <w:szCs w:val="32"/>
          <w:lang w:eastAsia="zh-CN"/>
        </w:rPr>
        <w:t>2019</w:t>
      </w:r>
      <w:r>
        <w:rPr>
          <w:rFonts w:hint="eastAsia" w:ascii="仿宋_GB2312" w:hAnsi="仿宋_GB2312" w:eastAsia="仿宋_GB2312" w:cs="仿宋_GB2312"/>
          <w:b/>
          <w:bCs/>
          <w:color w:val="000000"/>
          <w:sz w:val="32"/>
          <w:szCs w:val="32"/>
        </w:rPr>
        <w:t>年政府收支分类科目》和对口中央部门决算公开信息填写）：</w:t>
      </w:r>
      <w:r>
        <w:rPr>
          <w:rFonts w:hint="eastAsia" w:ascii="仿宋_GB2312" w:hAnsi="仿宋_GB2312" w:eastAsia="仿宋_GB2312" w:cs="仿宋_GB2312"/>
          <w:color w:val="000000"/>
          <w:sz w:val="32"/>
          <w:szCs w:val="32"/>
        </w:rPr>
        <w:t>是指ＸＸ厅（局）用于保障机构正常运行、开展日常工作的基本支出。</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一般公共服务（类）财政事务（款）一般行政管理事务（项）：</w:t>
      </w:r>
      <w:r>
        <w:rPr>
          <w:rFonts w:hint="eastAsia" w:ascii="仿宋_GB2312" w:hAnsi="仿宋_GB2312" w:eastAsia="仿宋_GB2312" w:cs="仿宋_GB2312"/>
          <w:color w:val="000000"/>
          <w:sz w:val="32"/>
          <w:szCs w:val="32"/>
        </w:rPr>
        <w:t>指ＸＸ厅（局）行政单位及参照公务员法管理的事业单位开展财政立法、决算编审、资产产权管理等未单独设置项级科目的专门性财政管理工作的项目支出。</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结余分配：</w:t>
      </w:r>
      <w:r>
        <w:rPr>
          <w:rFonts w:hint="eastAsia" w:ascii="仿宋_GB2312" w:hAnsi="仿宋_GB2312" w:eastAsia="仿宋_GB2312" w:cs="仿宋_GB2312"/>
          <w:color w:val="000000"/>
          <w:sz w:val="32"/>
          <w:szCs w:val="32"/>
        </w:rPr>
        <w:t>指事业单位按规定提取的职工福利基金、事业基金和缴纳的所得税，以及建设单位按规定应交回的基本建设竣工项目结余资金。</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年末结转和结余：</w:t>
      </w:r>
      <w:r>
        <w:rPr>
          <w:rFonts w:hint="eastAsia" w:ascii="仿宋_GB2312" w:hAnsi="仿宋_GB2312" w:eastAsia="仿宋_GB2312" w:cs="仿宋_GB2312"/>
          <w:color w:val="000000"/>
          <w:sz w:val="32"/>
          <w:szCs w:val="32"/>
        </w:rPr>
        <w:t>指本年度或以前年度预算安排、因客观条件发生变化无法按原计划实施，需延迟到以后年度按有关规定继续使用的资金。</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经营支出：</w:t>
      </w:r>
      <w:r>
        <w:rPr>
          <w:rFonts w:hint="eastAsia" w:ascii="仿宋_GB2312" w:hAnsi="仿宋_GB2312" w:eastAsia="仿宋_GB2312" w:cs="仿宋_GB2312"/>
          <w:color w:val="000000"/>
          <w:sz w:val="32"/>
          <w:szCs w:val="32"/>
        </w:rPr>
        <w:t>指事业单位在专业业务活动及其辅助活动之外开展非独立核算经营活动发生的支出。</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“三公”经费：</w:t>
      </w:r>
      <w:r>
        <w:rPr>
          <w:rFonts w:hint="eastAsia" w:ascii="仿宋_GB2312" w:hAnsi="仿宋_GB2312" w:eastAsia="仿宋_GB2312" w:cs="仿宋_GB2312"/>
          <w:color w:val="000000"/>
          <w:sz w:val="32"/>
          <w:szCs w:val="32"/>
        </w:rPr>
        <w:t>纳入中央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8"/>
        </w:numPr>
        <w:kinsoku w:val="0"/>
        <w:overflowPunct w:val="0"/>
        <w:autoSpaceDE w:val="0"/>
        <w:autoSpaceDN w:val="0"/>
        <w:adjustRightInd w:val="0"/>
        <w:snapToGrid w:val="0"/>
        <w:spacing w:line="360" w:lineRule="auto"/>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机关运行经费：</w:t>
      </w:r>
      <w:r>
        <w:rPr>
          <w:rFonts w:hint="eastAsia" w:ascii="仿宋_GB2312" w:hAnsi="仿宋_GB2312" w:eastAsia="仿宋_GB2312" w:cs="仿宋_GB2312"/>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90" w:lineRule="exact"/>
        <w:jc w:val="left"/>
        <w:rPr>
          <w:rFonts w:ascii="宋体"/>
          <w:color w:val="000000"/>
          <w:sz w:val="32"/>
          <w:szCs w:val="32"/>
        </w:rPr>
      </w:pPr>
    </w:p>
    <w:p>
      <w:pPr>
        <w:rPr>
          <w:rFonts w:ascii="宋体" w:cs="??"/>
          <w:color w:val="000000"/>
          <w:sz w:val="48"/>
          <w:szCs w:val="48"/>
        </w:rPr>
      </w:pPr>
    </w:p>
    <w:p/>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文星标宋">
    <w:altName w:val="宋体"/>
    <w:panose1 w:val="0201060400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fldChar w:fldCharType="begin"/>
                          </w:r>
                          <w:r>
                            <w:instrText xml:space="preserve"> PAGE  \* MERGEFORMAT </w:instrText>
                          </w:r>
                          <w:r>
                            <w:fldChar w:fldCharType="separate"/>
                          </w:r>
                          <w:r>
                            <w:rPr>
                              <w:sz w:val="18"/>
                            </w:rPr>
                            <w:t>- 7 -</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- 7 -</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6DFED"/>
    <w:multiLevelType w:val="singleLevel"/>
    <w:tmpl w:val="93E6DFED"/>
    <w:lvl w:ilvl="0" w:tentative="0">
      <w:start w:val="4"/>
      <w:numFmt w:val="chineseCounting"/>
      <w:suff w:val="nothing"/>
      <w:lvlText w:val="第%1部分　"/>
      <w:lvlJc w:val="left"/>
      <w:rPr>
        <w:rFonts w:hint="eastAsia"/>
      </w:rPr>
    </w:lvl>
  </w:abstractNum>
  <w:abstractNum w:abstractNumId="1">
    <w:nsid w:val="190F7C85"/>
    <w:multiLevelType w:val="multilevel"/>
    <w:tmpl w:val="190F7C85"/>
    <w:lvl w:ilvl="0" w:tentative="0">
      <w:start w:val="1"/>
      <w:numFmt w:val="japaneseCounting"/>
      <w:lvlText w:val="（%1）"/>
      <w:lvlJc w:val="left"/>
      <w:pPr>
        <w:ind w:left="1725" w:hanging="1080"/>
      </w:pPr>
      <w:rPr>
        <w:rFonts w:hint="default" w:cs="Times New Roman"/>
      </w:rPr>
    </w:lvl>
    <w:lvl w:ilvl="1" w:tentative="0">
      <w:start w:val="1"/>
      <w:numFmt w:val="lowerLetter"/>
      <w:lvlText w:val="%2)"/>
      <w:lvlJc w:val="left"/>
      <w:pPr>
        <w:ind w:left="1485" w:hanging="420"/>
      </w:pPr>
      <w:rPr>
        <w:rFonts w:cs="Times New Roman"/>
      </w:rPr>
    </w:lvl>
    <w:lvl w:ilvl="2" w:tentative="0">
      <w:start w:val="1"/>
      <w:numFmt w:val="lowerRoman"/>
      <w:lvlText w:val="%3."/>
      <w:lvlJc w:val="right"/>
      <w:pPr>
        <w:ind w:left="1905" w:hanging="420"/>
      </w:pPr>
      <w:rPr>
        <w:rFonts w:cs="Times New Roman"/>
      </w:rPr>
    </w:lvl>
    <w:lvl w:ilvl="3" w:tentative="0">
      <w:start w:val="1"/>
      <w:numFmt w:val="decimal"/>
      <w:lvlText w:val="%4."/>
      <w:lvlJc w:val="left"/>
      <w:pPr>
        <w:ind w:left="2325" w:hanging="420"/>
      </w:pPr>
      <w:rPr>
        <w:rFonts w:cs="Times New Roman"/>
      </w:rPr>
    </w:lvl>
    <w:lvl w:ilvl="4" w:tentative="0">
      <w:start w:val="1"/>
      <w:numFmt w:val="lowerLetter"/>
      <w:lvlText w:val="%5)"/>
      <w:lvlJc w:val="left"/>
      <w:pPr>
        <w:ind w:left="2745" w:hanging="420"/>
      </w:pPr>
      <w:rPr>
        <w:rFonts w:cs="Times New Roman"/>
      </w:rPr>
    </w:lvl>
    <w:lvl w:ilvl="5" w:tentative="0">
      <w:start w:val="1"/>
      <w:numFmt w:val="lowerRoman"/>
      <w:lvlText w:val="%6."/>
      <w:lvlJc w:val="right"/>
      <w:pPr>
        <w:ind w:left="3165" w:hanging="420"/>
      </w:pPr>
      <w:rPr>
        <w:rFonts w:cs="Times New Roman"/>
      </w:rPr>
    </w:lvl>
    <w:lvl w:ilvl="6" w:tentative="0">
      <w:start w:val="1"/>
      <w:numFmt w:val="decimal"/>
      <w:lvlText w:val="%7."/>
      <w:lvlJc w:val="left"/>
      <w:pPr>
        <w:ind w:left="3585" w:hanging="420"/>
      </w:pPr>
      <w:rPr>
        <w:rFonts w:cs="Times New Roman"/>
      </w:rPr>
    </w:lvl>
    <w:lvl w:ilvl="7" w:tentative="0">
      <w:start w:val="1"/>
      <w:numFmt w:val="lowerLetter"/>
      <w:lvlText w:val="%8)"/>
      <w:lvlJc w:val="left"/>
      <w:pPr>
        <w:ind w:left="4005" w:hanging="420"/>
      </w:pPr>
      <w:rPr>
        <w:rFonts w:cs="Times New Roman"/>
      </w:rPr>
    </w:lvl>
    <w:lvl w:ilvl="8" w:tentative="0">
      <w:start w:val="1"/>
      <w:numFmt w:val="lowerRoman"/>
      <w:lvlText w:val="%9."/>
      <w:lvlJc w:val="right"/>
      <w:pPr>
        <w:ind w:left="4425" w:hanging="420"/>
      </w:pPr>
      <w:rPr>
        <w:rFonts w:cs="Times New Roman"/>
      </w:rPr>
    </w:lvl>
  </w:abstractNum>
  <w:abstractNum w:abstractNumId="2">
    <w:nsid w:val="50B16A27"/>
    <w:multiLevelType w:val="multilevel"/>
    <w:tmpl w:val="50B16A27"/>
    <w:lvl w:ilvl="0" w:tentative="0">
      <w:start w:val="1"/>
      <w:numFmt w:val="decimal"/>
      <w:lvlText w:val="（%1）"/>
      <w:lvlJc w:val="left"/>
      <w:pPr>
        <w:tabs>
          <w:tab w:val="left" w:pos="1240"/>
        </w:tabs>
        <w:ind w:left="1240" w:hanging="1080"/>
      </w:pPr>
      <w:rPr>
        <w:rFonts w:hint="default" w:cs="Times New Roman"/>
      </w:rPr>
    </w:lvl>
    <w:lvl w:ilvl="1" w:tentative="0">
      <w:start w:val="1"/>
      <w:numFmt w:val="lowerLetter"/>
      <w:lvlText w:val="%2)"/>
      <w:lvlJc w:val="left"/>
      <w:pPr>
        <w:tabs>
          <w:tab w:val="left" w:pos="1000"/>
        </w:tabs>
        <w:ind w:left="1000" w:hanging="420"/>
      </w:pPr>
      <w:rPr>
        <w:rFonts w:cs="Times New Roman"/>
      </w:rPr>
    </w:lvl>
    <w:lvl w:ilvl="2" w:tentative="0">
      <w:start w:val="1"/>
      <w:numFmt w:val="lowerRoman"/>
      <w:lvlText w:val="%3."/>
      <w:lvlJc w:val="right"/>
      <w:pPr>
        <w:tabs>
          <w:tab w:val="left" w:pos="1420"/>
        </w:tabs>
        <w:ind w:left="1420" w:hanging="420"/>
      </w:pPr>
      <w:rPr>
        <w:rFonts w:cs="Times New Roman"/>
      </w:rPr>
    </w:lvl>
    <w:lvl w:ilvl="3" w:tentative="0">
      <w:start w:val="1"/>
      <w:numFmt w:val="decimal"/>
      <w:lvlText w:val="%4."/>
      <w:lvlJc w:val="left"/>
      <w:pPr>
        <w:tabs>
          <w:tab w:val="left" w:pos="1840"/>
        </w:tabs>
        <w:ind w:left="1840" w:hanging="420"/>
      </w:pPr>
      <w:rPr>
        <w:rFonts w:cs="Times New Roman"/>
      </w:rPr>
    </w:lvl>
    <w:lvl w:ilvl="4" w:tentative="0">
      <w:start w:val="1"/>
      <w:numFmt w:val="lowerLetter"/>
      <w:lvlText w:val="%5)"/>
      <w:lvlJc w:val="left"/>
      <w:pPr>
        <w:tabs>
          <w:tab w:val="left" w:pos="2260"/>
        </w:tabs>
        <w:ind w:left="2260" w:hanging="420"/>
      </w:pPr>
      <w:rPr>
        <w:rFonts w:cs="Times New Roman"/>
      </w:rPr>
    </w:lvl>
    <w:lvl w:ilvl="5" w:tentative="0">
      <w:start w:val="1"/>
      <w:numFmt w:val="lowerRoman"/>
      <w:lvlText w:val="%6."/>
      <w:lvlJc w:val="right"/>
      <w:pPr>
        <w:tabs>
          <w:tab w:val="left" w:pos="2680"/>
        </w:tabs>
        <w:ind w:left="2680" w:hanging="420"/>
      </w:pPr>
      <w:rPr>
        <w:rFonts w:cs="Times New Roman"/>
      </w:rPr>
    </w:lvl>
    <w:lvl w:ilvl="6" w:tentative="0">
      <w:start w:val="1"/>
      <w:numFmt w:val="decimal"/>
      <w:lvlText w:val="%7."/>
      <w:lvlJc w:val="left"/>
      <w:pPr>
        <w:tabs>
          <w:tab w:val="left" w:pos="3100"/>
        </w:tabs>
        <w:ind w:left="3100" w:hanging="420"/>
      </w:pPr>
      <w:rPr>
        <w:rFonts w:cs="Times New Roman"/>
      </w:rPr>
    </w:lvl>
    <w:lvl w:ilvl="7" w:tentative="0">
      <w:start w:val="1"/>
      <w:numFmt w:val="lowerLetter"/>
      <w:lvlText w:val="%8)"/>
      <w:lvlJc w:val="left"/>
      <w:pPr>
        <w:tabs>
          <w:tab w:val="left" w:pos="3520"/>
        </w:tabs>
        <w:ind w:left="3520" w:hanging="420"/>
      </w:pPr>
      <w:rPr>
        <w:rFonts w:cs="Times New Roman"/>
      </w:rPr>
    </w:lvl>
    <w:lvl w:ilvl="8" w:tentative="0">
      <w:start w:val="1"/>
      <w:numFmt w:val="lowerRoman"/>
      <w:lvlText w:val="%9."/>
      <w:lvlJc w:val="right"/>
      <w:pPr>
        <w:tabs>
          <w:tab w:val="left" w:pos="3940"/>
        </w:tabs>
        <w:ind w:left="3940" w:hanging="420"/>
      </w:pPr>
      <w:rPr>
        <w:rFonts w:cs="Times New Roman"/>
      </w:rPr>
    </w:lvl>
  </w:abstractNum>
  <w:abstractNum w:abstractNumId="3">
    <w:nsid w:val="5971F72C"/>
    <w:multiLevelType w:val="singleLevel"/>
    <w:tmpl w:val="5971F72C"/>
    <w:lvl w:ilvl="0" w:tentative="0">
      <w:start w:val="1"/>
      <w:numFmt w:val="chineseCounting"/>
      <w:suff w:val="nothing"/>
      <w:lvlText w:val="%1、"/>
      <w:lvlJc w:val="left"/>
      <w:pPr>
        <w:ind w:firstLine="420"/>
      </w:pPr>
      <w:rPr>
        <w:rFonts w:hint="eastAsia" w:cs="Times New Roman"/>
      </w:rPr>
    </w:lvl>
  </w:abstractNum>
  <w:abstractNum w:abstractNumId="4">
    <w:nsid w:val="599CEDA0"/>
    <w:multiLevelType w:val="singleLevel"/>
    <w:tmpl w:val="599CEDA0"/>
    <w:lvl w:ilvl="0" w:tentative="0">
      <w:start w:val="1"/>
      <w:numFmt w:val="chineseCounting"/>
      <w:suff w:val="nothing"/>
      <w:lvlText w:val="%1、"/>
      <w:lvlJc w:val="left"/>
      <w:rPr>
        <w:rFonts w:cs="Times New Roman"/>
      </w:rPr>
    </w:lvl>
  </w:abstractNum>
  <w:abstractNum w:abstractNumId="5">
    <w:nsid w:val="599CF62F"/>
    <w:multiLevelType w:val="singleLevel"/>
    <w:tmpl w:val="599CF62F"/>
    <w:lvl w:ilvl="0" w:tentative="0">
      <w:start w:val="1"/>
      <w:numFmt w:val="chineseCounting"/>
      <w:suff w:val="nothing"/>
      <w:lvlText w:val="%1、"/>
      <w:lvlJc w:val="left"/>
      <w:rPr>
        <w:rFonts w:cs="Times New Roman"/>
      </w:rPr>
    </w:lvl>
  </w:abstractNum>
  <w:abstractNum w:abstractNumId="6">
    <w:nsid w:val="5A027C67"/>
    <w:multiLevelType w:val="singleLevel"/>
    <w:tmpl w:val="5A027C67"/>
    <w:lvl w:ilvl="0" w:tentative="0">
      <w:start w:val="2"/>
      <w:numFmt w:val="chineseCounting"/>
      <w:suff w:val="nothing"/>
      <w:lvlText w:val="（%1）"/>
      <w:lvlJc w:val="left"/>
      <w:rPr>
        <w:rFonts w:cs="Times New Roman"/>
      </w:rPr>
    </w:lvl>
  </w:abstractNum>
  <w:abstractNum w:abstractNumId="7">
    <w:nsid w:val="5A027FCB"/>
    <w:multiLevelType w:val="singleLevel"/>
    <w:tmpl w:val="5A027FCB"/>
    <w:lvl w:ilvl="0" w:tentative="0">
      <w:start w:val="6"/>
      <w:numFmt w:val="chineseCounting"/>
      <w:suff w:val="nothing"/>
      <w:lvlText w:val="%1、"/>
      <w:lvlJc w:val="left"/>
      <w:rPr>
        <w:rFonts w:cs="Times New Roman"/>
      </w:rPr>
    </w:lvl>
  </w:abstractNum>
  <w:num w:numId="1">
    <w:abstractNumId w:val="4"/>
  </w:num>
  <w:num w:numId="2">
    <w:abstractNumId w:val="1"/>
  </w:num>
  <w:num w:numId="3">
    <w:abstractNumId w:val="5"/>
  </w:num>
  <w:num w:numId="4">
    <w:abstractNumId w:val="6"/>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56FAD"/>
    <w:rsid w:val="04D27F7E"/>
    <w:rsid w:val="0B7A0929"/>
    <w:rsid w:val="14E1563A"/>
    <w:rsid w:val="167C1843"/>
    <w:rsid w:val="1BD12A05"/>
    <w:rsid w:val="25292AF7"/>
    <w:rsid w:val="268F5316"/>
    <w:rsid w:val="2DD41965"/>
    <w:rsid w:val="37D6195C"/>
    <w:rsid w:val="392F5331"/>
    <w:rsid w:val="3C832130"/>
    <w:rsid w:val="3FFB7727"/>
    <w:rsid w:val="43733884"/>
    <w:rsid w:val="45B41C61"/>
    <w:rsid w:val="46346745"/>
    <w:rsid w:val="52200DD0"/>
    <w:rsid w:val="5B716B12"/>
    <w:rsid w:val="5E8B4CB2"/>
    <w:rsid w:val="631935C1"/>
    <w:rsid w:val="6A0B6987"/>
    <w:rsid w:val="77733C28"/>
    <w:rsid w:val="78A50BD1"/>
    <w:rsid w:val="78B8197D"/>
    <w:rsid w:val="7C256FAD"/>
    <w:rsid w:val="7FC6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2020-06-04T00:56:00Z</dcterms:created>
  <dc:creator>小开始，</dc:creator>
  <cp:lastModifiedBy>Administrator</cp:lastModifiedBy>
  <cp:lastPrinted>2020-06-04T02:32:00Z</cp:lastPrinted>
  <dcterms:modified xsi:type="dcterms:W3CDTF">2021-05-28T08:53:05Z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91C6F9B6D1AB40ED94E513A4BBA0E905</vt:lpwstr>
  </property>
</Properties>
</file>