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overflowPunct w:val="0"/>
        <w:adjustRightInd w:val="0"/>
        <w:snapToGrid w:val="0"/>
        <w:spacing w:line="360" w:lineRule="auto"/>
        <w:ind w:left="-142" w:right="51" w:firstLine="30" w:firstLineChars="7"/>
        <w:jc w:val="center"/>
        <w:rPr>
          <w:rFonts w:ascii="文星标宋" w:hAnsi="文星标宋" w:eastAsia="文星标宋" w:cs="文星标宋"/>
          <w:bCs/>
          <w:color w:val="000000"/>
          <w:sz w:val="44"/>
          <w:szCs w:val="44"/>
        </w:rPr>
      </w:pPr>
      <w:r>
        <w:rPr>
          <w:rFonts w:hint="eastAsia" w:ascii="文星标宋" w:hAnsi="文星标宋" w:eastAsia="文星标宋" w:cs="文星标宋"/>
          <w:bCs/>
          <w:color w:val="000000"/>
          <w:sz w:val="44"/>
          <w:szCs w:val="44"/>
        </w:rPr>
        <w:t>罗山县供销合作社联合社2019年部门预算</w:t>
      </w:r>
    </w:p>
    <w:p>
      <w:pPr>
        <w:kinsoku w:val="0"/>
        <w:overflowPunct w:val="0"/>
        <w:adjustRightInd w:val="0"/>
        <w:snapToGrid w:val="0"/>
        <w:spacing w:line="360" w:lineRule="auto"/>
        <w:ind w:left="-142" w:right="51" w:firstLine="30" w:firstLineChars="7"/>
        <w:jc w:val="center"/>
        <w:rPr>
          <w:rFonts w:ascii="文星标宋" w:hAnsi="文星标宋" w:eastAsia="文星标宋" w:cs="文星标宋"/>
          <w:bCs/>
          <w:color w:val="000000"/>
          <w:sz w:val="44"/>
          <w:szCs w:val="44"/>
        </w:rPr>
      </w:pPr>
      <w:r>
        <w:rPr>
          <w:rFonts w:hint="eastAsia" w:ascii="文星标宋" w:hAnsi="文星标宋" w:eastAsia="文星标宋" w:cs="文星标宋"/>
          <w:bCs/>
          <w:color w:val="000000"/>
          <w:sz w:val="44"/>
          <w:szCs w:val="44"/>
        </w:rPr>
        <w:t>公 开 说 明 目</w:t>
      </w:r>
      <w:r>
        <w:rPr>
          <w:rFonts w:ascii="文星标宋" w:hAnsi="文星标宋" w:eastAsia="文星标宋" w:cs="文星标宋"/>
          <w:bCs/>
          <w:color w:val="000000"/>
          <w:sz w:val="44"/>
          <w:szCs w:val="44"/>
        </w:rPr>
        <w:t xml:space="preserve"> </w:t>
      </w:r>
      <w:r>
        <w:rPr>
          <w:rFonts w:hint="eastAsia" w:ascii="文星标宋" w:hAnsi="文星标宋" w:eastAsia="文星标宋" w:cs="文星标宋"/>
          <w:bCs/>
          <w:color w:val="000000"/>
          <w:sz w:val="44"/>
          <w:szCs w:val="44"/>
        </w:rPr>
        <w:t>录</w:t>
      </w:r>
    </w:p>
    <w:p>
      <w:pPr>
        <w:tabs>
          <w:tab w:val="left" w:pos="8080"/>
          <w:tab w:val="left" w:pos="8222"/>
        </w:tabs>
        <w:kinsoku w:val="0"/>
        <w:overflowPunct w:val="0"/>
        <w:adjustRightInd w:val="0"/>
        <w:snapToGrid w:val="0"/>
        <w:spacing w:line="360" w:lineRule="auto"/>
        <w:ind w:right="84" w:firstLine="640" w:firstLineChars="200"/>
        <w:rPr>
          <w:rFonts w:ascii="黑体" w:hAnsi="Times New Roman" w:eastAsia="黑体" w:cs="黑体"/>
          <w:sz w:val="32"/>
          <w:szCs w:val="32"/>
        </w:rPr>
      </w:pPr>
    </w:p>
    <w:p>
      <w:pPr>
        <w:tabs>
          <w:tab w:val="left" w:pos="8080"/>
          <w:tab w:val="left" w:pos="8222"/>
        </w:tabs>
        <w:kinsoku w:val="0"/>
        <w:overflowPunct w:val="0"/>
        <w:adjustRightInd w:val="0"/>
        <w:snapToGrid w:val="0"/>
        <w:spacing w:line="360" w:lineRule="auto"/>
        <w:ind w:right="84" w:firstLine="640" w:firstLineChars="200"/>
        <w:rPr>
          <w:rFonts w:ascii="黑体" w:hAnsi="Times New Roman" w:eastAsia="黑体" w:cs="Times New Roman"/>
          <w:w w:val="99"/>
          <w:sz w:val="32"/>
          <w:szCs w:val="32"/>
        </w:rPr>
      </w:pPr>
      <w:r>
        <w:rPr>
          <w:rFonts w:hint="eastAsia" w:ascii="黑体" w:hAnsi="Times New Roman" w:eastAsia="黑体" w:cs="黑体"/>
          <w:sz w:val="32"/>
          <w:szCs w:val="32"/>
        </w:rPr>
        <w:t>第一部分</w:t>
      </w:r>
      <w:r>
        <w:rPr>
          <w:rFonts w:ascii="黑体" w:hAnsi="Times New Roman" w:eastAsia="黑体" w:cs="黑体"/>
          <w:sz w:val="32"/>
          <w:szCs w:val="32"/>
        </w:rPr>
        <w:t xml:space="preserve"> </w:t>
      </w:r>
      <w:r>
        <w:rPr>
          <w:rFonts w:hint="eastAsia" w:ascii="黑体" w:hAnsi="黑体" w:eastAsia="黑体" w:cs="黑体"/>
          <w:sz w:val="32"/>
          <w:szCs w:val="32"/>
        </w:rPr>
        <w:t>县供销合作社</w:t>
      </w:r>
      <w:r>
        <w:rPr>
          <w:rFonts w:hint="eastAsia" w:ascii="黑体" w:hAnsi="Times New Roman" w:eastAsia="黑体" w:cs="黑体"/>
          <w:sz w:val="32"/>
          <w:szCs w:val="32"/>
        </w:rPr>
        <w:t>概况</w:t>
      </w:r>
      <w:r>
        <w:rPr>
          <w:rFonts w:ascii="黑体" w:hAnsi="Times New Roman" w:eastAsia="黑体" w:cs="黑体"/>
          <w:w w:val="99"/>
          <w:sz w:val="32"/>
          <w:szCs w:val="32"/>
        </w:rPr>
        <w:t xml:space="preserve"> </w:t>
      </w:r>
    </w:p>
    <w:p>
      <w:pPr>
        <w:kinsoku w:val="0"/>
        <w:overflowPunct w:val="0"/>
        <w:adjustRightInd w:val="0"/>
        <w:snapToGrid w:val="0"/>
        <w:spacing w:line="360" w:lineRule="auto"/>
        <w:ind w:right="3569"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一、主要职责</w:t>
      </w:r>
    </w:p>
    <w:p>
      <w:pPr>
        <w:kinsoku w:val="0"/>
        <w:overflowPunct w:val="0"/>
        <w:adjustRightInd w:val="0"/>
        <w:snapToGrid w:val="0"/>
        <w:spacing w:line="360" w:lineRule="auto"/>
        <w:ind w:right="3569"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二、机构设置</w:t>
      </w:r>
    </w:p>
    <w:p>
      <w:pPr>
        <w:kinsoku w:val="0"/>
        <w:overflowPunct w:val="0"/>
        <w:adjustRightInd w:val="0"/>
        <w:snapToGrid w:val="0"/>
        <w:spacing w:line="360" w:lineRule="auto"/>
        <w:ind w:right="84" w:firstLine="640" w:firstLineChars="200"/>
        <w:rPr>
          <w:rFonts w:ascii="黑体" w:hAnsi="黑体" w:eastAsia="黑体" w:cs="黑体"/>
          <w:sz w:val="32"/>
          <w:szCs w:val="32"/>
        </w:rPr>
      </w:pPr>
      <w:r>
        <w:rPr>
          <w:rFonts w:hint="eastAsia" w:ascii="黑体" w:hAnsi="Times New Roman" w:eastAsia="黑体" w:cs="黑体"/>
          <w:sz w:val="32"/>
          <w:szCs w:val="32"/>
        </w:rPr>
        <w:t>第二部分</w:t>
      </w:r>
      <w:r>
        <w:rPr>
          <w:rFonts w:ascii="黑体" w:hAnsi="Times New Roman" w:eastAsia="黑体" w:cs="黑体"/>
          <w:spacing w:val="-38"/>
          <w:sz w:val="32"/>
          <w:szCs w:val="32"/>
        </w:rPr>
        <w:t xml:space="preserve"> </w:t>
      </w:r>
      <w:r>
        <w:rPr>
          <w:rFonts w:hint="eastAsia" w:ascii="黑体" w:hAnsi="黑体" w:eastAsia="黑体" w:cs="黑体"/>
          <w:sz w:val="32"/>
          <w:szCs w:val="32"/>
        </w:rPr>
        <w:t>县供销合作社</w:t>
      </w:r>
      <w:r>
        <w:rPr>
          <w:rFonts w:ascii="黑体" w:hAnsi="黑体" w:eastAsia="黑体" w:cs="黑体"/>
          <w:sz w:val="32"/>
          <w:szCs w:val="32"/>
        </w:rPr>
        <w:t>2019</w:t>
      </w:r>
      <w:r>
        <w:rPr>
          <w:rFonts w:hint="eastAsia" w:ascii="黑体" w:hAnsi="黑体" w:eastAsia="黑体" w:cs="黑体"/>
          <w:sz w:val="32"/>
          <w:szCs w:val="32"/>
        </w:rPr>
        <w:t>年度部门预算情况说明</w:t>
      </w:r>
      <w:r>
        <w:rPr>
          <w:rFonts w:ascii="黑体" w:hAnsi="黑体" w:eastAsia="黑体" w:cs="黑体"/>
          <w:sz w:val="32"/>
          <w:szCs w:val="32"/>
        </w:rPr>
        <w:t xml:space="preserve"> </w:t>
      </w:r>
    </w:p>
    <w:p>
      <w:pPr>
        <w:kinsoku w:val="0"/>
        <w:overflowPunct w:val="0"/>
        <w:adjustRightInd w:val="0"/>
        <w:snapToGrid w:val="0"/>
        <w:spacing w:line="360" w:lineRule="auto"/>
        <w:ind w:right="521" w:firstLine="640" w:firstLineChars="200"/>
        <w:rPr>
          <w:rFonts w:ascii="黑体" w:hAnsi="Times New Roman" w:eastAsia="黑体" w:cs="Times New Roman"/>
          <w:sz w:val="32"/>
          <w:szCs w:val="32"/>
        </w:rPr>
      </w:pPr>
      <w:r>
        <w:rPr>
          <w:rFonts w:hint="eastAsia" w:ascii="黑体" w:hAnsi="Times New Roman" w:eastAsia="黑体" w:cs="黑体"/>
          <w:sz w:val="32"/>
          <w:szCs w:val="32"/>
        </w:rPr>
        <w:t>第三部分</w:t>
      </w:r>
      <w:r>
        <w:rPr>
          <w:rFonts w:ascii="黑体" w:hAnsi="Times New Roman" w:eastAsia="黑体" w:cs="黑体"/>
          <w:spacing w:val="-32"/>
          <w:sz w:val="32"/>
          <w:szCs w:val="32"/>
        </w:rPr>
        <w:t xml:space="preserve"> </w:t>
      </w:r>
      <w:r>
        <w:rPr>
          <w:rFonts w:hint="eastAsia" w:ascii="黑体" w:hAnsi="Times New Roman" w:eastAsia="黑体" w:cs="黑体"/>
          <w:sz w:val="32"/>
          <w:szCs w:val="32"/>
        </w:rPr>
        <w:t>名词解释</w:t>
      </w:r>
    </w:p>
    <w:p>
      <w:pPr>
        <w:kinsoku w:val="0"/>
        <w:overflowPunct w:val="0"/>
        <w:adjustRightInd w:val="0"/>
        <w:snapToGrid w:val="0"/>
        <w:spacing w:line="360" w:lineRule="auto"/>
        <w:ind w:firstLine="640" w:firstLineChars="200"/>
        <w:rPr>
          <w:rFonts w:ascii="黑体" w:hAnsi="Times New Roman" w:eastAsia="黑体" w:cs="Times New Roman"/>
          <w:sz w:val="32"/>
          <w:szCs w:val="32"/>
        </w:rPr>
      </w:pPr>
      <w:r>
        <w:rPr>
          <w:rFonts w:hint="eastAsia" w:ascii="黑体" w:hAnsi="Times New Roman" w:eastAsia="黑体" w:cs="黑体"/>
          <w:sz w:val="32"/>
          <w:szCs w:val="32"/>
        </w:rPr>
        <w:t>附件：</w:t>
      </w:r>
      <w:r>
        <w:rPr>
          <w:rFonts w:ascii="黑体" w:hAnsi="Times New Roman" w:eastAsia="黑体" w:cs="黑体"/>
          <w:spacing w:val="-32"/>
          <w:sz w:val="32"/>
          <w:szCs w:val="32"/>
        </w:rPr>
        <w:t xml:space="preserve"> </w:t>
      </w:r>
      <w:r>
        <w:rPr>
          <w:rFonts w:hint="eastAsia" w:ascii="黑体" w:hAnsi="黑体" w:eastAsia="黑体" w:cs="黑体"/>
          <w:sz w:val="32"/>
          <w:szCs w:val="32"/>
        </w:rPr>
        <w:t>罗山县供销合作社</w:t>
      </w:r>
      <w:r>
        <w:rPr>
          <w:rFonts w:ascii="黑体" w:hAnsi="Times New Roman" w:eastAsia="黑体" w:cs="黑体"/>
          <w:sz w:val="32"/>
          <w:szCs w:val="32"/>
        </w:rPr>
        <w:t>2019</w:t>
      </w:r>
      <w:r>
        <w:rPr>
          <w:rFonts w:hint="eastAsia" w:ascii="黑体" w:hAnsi="Times New Roman" w:eastAsia="黑体" w:cs="黑体"/>
          <w:sz w:val="32"/>
          <w:szCs w:val="32"/>
        </w:rPr>
        <w:t>年度部门预算表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一、</w:t>
      </w:r>
      <w:r>
        <w:rPr>
          <w:rFonts w:hint="eastAsia" w:ascii="仿宋_GB2312" w:eastAsia="仿宋_GB2312" w:cs="仿宋_GB2312"/>
          <w:sz w:val="32"/>
          <w:szCs w:val="32"/>
        </w:rPr>
        <w:t>部门收支总体情况表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二、</w:t>
      </w:r>
      <w:r>
        <w:rPr>
          <w:rFonts w:hint="eastAsia" w:ascii="仿宋_GB2312" w:eastAsia="仿宋_GB2312" w:cs="仿宋_GB2312"/>
          <w:sz w:val="32"/>
          <w:szCs w:val="32"/>
        </w:rPr>
        <w:t>部门收入总体情况表</w:t>
      </w:r>
    </w:p>
    <w:p>
      <w:pPr>
        <w:kinsoku w:val="0"/>
        <w:overflowPunct w:val="0"/>
        <w:adjustRightInd w:val="0"/>
        <w:snapToGrid w:val="0"/>
        <w:spacing w:line="360" w:lineRule="auto"/>
        <w:ind w:right="51" w:firstLine="960" w:firstLineChars="300"/>
        <w:jc w:val="left"/>
        <w:rPr>
          <w:rFonts w:ascii="仿宋_GB2312" w:eastAsia="仿宋_GB2312" w:cs="Times New Roman"/>
          <w:sz w:val="32"/>
          <w:szCs w:val="32"/>
        </w:rPr>
      </w:pPr>
      <w:r>
        <w:rPr>
          <w:rFonts w:hint="eastAsia" w:ascii="仿宋_GB2312" w:hAnsi="Times New Roman" w:eastAsia="仿宋_GB2312" w:cs="仿宋_GB2312"/>
          <w:sz w:val="32"/>
          <w:szCs w:val="32"/>
        </w:rPr>
        <w:t>三、</w:t>
      </w:r>
      <w:r>
        <w:rPr>
          <w:rFonts w:hint="eastAsia" w:ascii="仿宋_GB2312" w:eastAsia="仿宋_GB2312" w:cs="仿宋_GB2312"/>
          <w:sz w:val="32"/>
          <w:szCs w:val="32"/>
        </w:rPr>
        <w:t>部门支出总体情况表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四、</w:t>
      </w:r>
      <w:r>
        <w:rPr>
          <w:rFonts w:hint="eastAsia" w:ascii="仿宋_GB2312" w:eastAsia="仿宋_GB2312" w:cs="仿宋_GB2312"/>
          <w:sz w:val="32"/>
          <w:szCs w:val="32"/>
        </w:rPr>
        <w:t>财政拨款收支总体情况表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五、</w:t>
      </w:r>
      <w:r>
        <w:rPr>
          <w:rFonts w:hint="eastAsia" w:ascii="仿宋_GB2312" w:eastAsia="仿宋_GB2312" w:cs="仿宋_GB2312"/>
          <w:sz w:val="32"/>
          <w:szCs w:val="32"/>
        </w:rPr>
        <w:t>一般公共预算支出情况表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六、</w:t>
      </w:r>
      <w:r>
        <w:rPr>
          <w:rFonts w:hint="eastAsia" w:ascii="仿宋_GB2312" w:eastAsia="仿宋_GB2312" w:cs="仿宋_GB2312"/>
          <w:sz w:val="32"/>
          <w:szCs w:val="32"/>
        </w:rPr>
        <w:t>一般公共预算基本支出情况表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七、</w:t>
      </w:r>
      <w:r>
        <w:rPr>
          <w:rFonts w:hint="eastAsia" w:ascii="仿宋_GB2312" w:eastAsia="仿宋_GB2312" w:cs="仿宋_GB2312"/>
          <w:sz w:val="32"/>
          <w:szCs w:val="32"/>
        </w:rPr>
        <w:t>一般公共预算“三公”经费支出情况表</w:t>
      </w:r>
    </w:p>
    <w:p>
      <w:pPr>
        <w:kinsoku w:val="0"/>
        <w:overflowPunct w:val="0"/>
        <w:adjustRightInd w:val="0"/>
        <w:snapToGrid w:val="0"/>
        <w:spacing w:line="360" w:lineRule="auto"/>
        <w:ind w:right="51" w:firstLine="960" w:firstLineChars="300"/>
        <w:jc w:val="left"/>
        <w:rPr>
          <w:rFonts w:ascii="仿宋_GB2312" w:eastAsia="仿宋_GB2312" w:cs="仿宋_GB2312"/>
          <w:sz w:val="32"/>
          <w:szCs w:val="32"/>
        </w:rPr>
      </w:pPr>
      <w:r>
        <w:rPr>
          <w:rFonts w:hint="eastAsia" w:ascii="仿宋_GB2312" w:hAnsi="Times New Roman" w:eastAsia="仿宋_GB2312" w:cs="仿宋_GB2312"/>
          <w:sz w:val="32"/>
          <w:szCs w:val="32"/>
        </w:rPr>
        <w:t>八、</w:t>
      </w:r>
      <w:r>
        <w:rPr>
          <w:rFonts w:hint="eastAsia" w:ascii="仿宋_GB2312" w:eastAsia="仿宋_GB2312" w:cs="仿宋_GB2312"/>
          <w:sz w:val="32"/>
          <w:szCs w:val="32"/>
        </w:rPr>
        <w:t>政府性基金预算支出情况表</w:t>
      </w:r>
    </w:p>
    <w:p/>
    <w:p/>
    <w:p/>
    <w:p/>
    <w:p/>
    <w:p/>
    <w:p/>
    <w:p/>
    <w:p>
      <w:pPr>
        <w:adjustRightInd w:val="0"/>
        <w:snapToGrid w:val="0"/>
        <w:spacing w:line="360" w:lineRule="auto"/>
        <w:outlineLvl w:val="1"/>
        <w:rPr>
          <w:rFonts w:ascii="黑体" w:hAnsi="宋体" w:eastAsia="黑体" w:cs="黑体"/>
          <w:b/>
          <w:bCs/>
          <w:color w:val="444444"/>
          <w:sz w:val="30"/>
          <w:szCs w:val="30"/>
        </w:rPr>
      </w:pPr>
    </w:p>
    <w:p>
      <w:pPr>
        <w:adjustRightInd w:val="0"/>
        <w:snapToGrid w:val="0"/>
        <w:spacing w:line="360" w:lineRule="auto"/>
        <w:outlineLvl w:val="1"/>
        <w:rPr>
          <w:rFonts w:ascii="黑体" w:hAnsi="宋体" w:eastAsia="黑体" w:cs="黑体"/>
          <w:b/>
          <w:bCs/>
          <w:color w:val="444444"/>
          <w:sz w:val="30"/>
          <w:szCs w:val="30"/>
        </w:rPr>
      </w:pPr>
    </w:p>
    <w:p>
      <w:pPr>
        <w:adjustRightInd w:val="0"/>
        <w:snapToGrid w:val="0"/>
        <w:spacing w:line="360" w:lineRule="auto"/>
        <w:jc w:val="center"/>
        <w:outlineLvl w:val="1"/>
        <w:rPr>
          <w:rFonts w:ascii="黑体" w:hAnsi="宋体" w:eastAsia="黑体" w:cs="黑体"/>
          <w:b/>
          <w:bCs/>
          <w:color w:val="444444"/>
          <w:sz w:val="30"/>
          <w:szCs w:val="30"/>
        </w:rPr>
      </w:pPr>
      <w:r>
        <w:rPr>
          <w:rFonts w:hint="eastAsia" w:ascii="黑体" w:hAnsi="宋体" w:eastAsia="黑体" w:cs="黑体"/>
          <w:b/>
          <w:bCs/>
          <w:color w:val="444444"/>
          <w:sz w:val="30"/>
          <w:szCs w:val="30"/>
        </w:rPr>
        <w:t>第一部分 罗山县供销合作社概况</w:t>
      </w:r>
    </w:p>
    <w:p>
      <w:pPr>
        <w:adjustRightInd w:val="0"/>
        <w:snapToGrid w:val="0"/>
        <w:spacing w:line="360" w:lineRule="auto"/>
        <w:ind w:firstLine="602" w:firstLineChars="200"/>
        <w:outlineLvl w:val="1"/>
        <w:rPr>
          <w:rFonts w:ascii="黑体" w:hAnsi="宋体" w:eastAsia="黑体" w:cs="黑体"/>
          <w:b/>
          <w:bCs/>
          <w:color w:val="444444"/>
          <w:sz w:val="30"/>
          <w:szCs w:val="30"/>
        </w:rPr>
      </w:pPr>
      <w:r>
        <w:rPr>
          <w:rFonts w:hint="eastAsia" w:ascii="黑体" w:hAnsi="宋体" w:eastAsia="黑体" w:cs="黑体"/>
          <w:b/>
          <w:bCs/>
          <w:color w:val="444444"/>
          <w:sz w:val="30"/>
          <w:szCs w:val="30"/>
        </w:rPr>
        <w:t>一、主要职责：</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（一）宣传贯彻党和国家有关农村经济和供销合作工作的方针、政策；引导实施全县农村商品流通的政策与规定；研究制定全县供销合作社的发展战略和发展规划；指导全县供销合作社的改革和发展。</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（二）积极参与农业产业化、协同有关部门大力推进专业合作社、村级综合服务社、城市消费合作社和专业批发市场体系建设，为农业、农村、农民提供综合服务，促进城乡商品流通和市场经济的发展。</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三）指导全县供销合作色的业务活动；进一步深化棉花和农业生产资料流通体制改革，放开搞活棉花、农资企业；加强对烟花爆竹、废旧物资等特殊商品的经营管理；抓好系统的储运安全和安全统筹工作；开展对外经济、贸易、技术交流、促进供销合作社经济的发展。</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（四）</w:t>
      </w:r>
      <w:r>
        <w:rPr>
          <w:rFonts w:hint="eastAsia" w:ascii="仿宋_GB2312" w:hAnsi="Times New Roman" w:eastAsia="仿宋_GB2312"/>
          <w:sz w:val="32"/>
          <w:szCs w:val="32"/>
        </w:rPr>
        <w:t>监督检查本系统的经营方向、经营作风、财务收支、以及工作人员遵纪守法行为，受理群众来信来访。</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（五）承办县委、县政府交办的其他事项。</w:t>
      </w:r>
    </w:p>
    <w:p>
      <w:pPr>
        <w:adjustRightInd w:val="0"/>
        <w:snapToGrid w:val="0"/>
        <w:spacing w:line="360" w:lineRule="auto"/>
        <w:ind w:firstLine="602" w:firstLineChars="200"/>
        <w:outlineLvl w:val="1"/>
        <w:rPr>
          <w:rFonts w:ascii="仿宋_GB2312" w:hAnsi="Times New Roman" w:eastAsia="仿宋_GB2312"/>
          <w:sz w:val="32"/>
          <w:szCs w:val="32"/>
        </w:rPr>
      </w:pPr>
      <w:r>
        <w:rPr>
          <w:rFonts w:hint="eastAsia" w:ascii="黑体" w:hAnsi="宋体" w:eastAsia="黑体" w:cs="黑体"/>
          <w:b/>
          <w:bCs/>
          <w:color w:val="444444"/>
          <w:sz w:val="30"/>
          <w:szCs w:val="30"/>
        </w:rPr>
        <w:t>二、机构设置</w:t>
      </w:r>
      <w:r>
        <w:rPr>
          <w:rFonts w:ascii="仿宋_GB2312" w:hAnsi="Times New Roman" w:eastAsia="仿宋_GB2312"/>
          <w:sz w:val="32"/>
          <w:szCs w:val="32"/>
        </w:rPr>
        <w:br w:type="textWrapping"/>
      </w:r>
      <w:r>
        <w:rPr>
          <w:rFonts w:ascii="仿宋_GB2312" w:hAnsi="Times New Roman" w:eastAsia="仿宋_GB2312"/>
          <w:sz w:val="32"/>
          <w:szCs w:val="32"/>
        </w:rPr>
        <w:t>    根据上述职责，县供销合作社内设</w:t>
      </w:r>
      <w:r>
        <w:rPr>
          <w:rFonts w:hint="eastAsia" w:ascii="仿宋_GB2312" w:hAnsi="Times New Roman" w:eastAsia="仿宋_GB2312"/>
          <w:sz w:val="32"/>
          <w:szCs w:val="32"/>
        </w:rPr>
        <w:t>1室</w:t>
      </w:r>
      <w:r>
        <w:rPr>
          <w:rFonts w:ascii="仿宋_GB2312" w:hAnsi="Times New Roman" w:eastAsia="仿宋_GB2312"/>
          <w:sz w:val="32"/>
          <w:szCs w:val="32"/>
        </w:rPr>
        <w:t>4</w:t>
      </w:r>
      <w:r>
        <w:rPr>
          <w:rFonts w:hint="eastAsia" w:ascii="仿宋_GB2312" w:hAnsi="Times New Roman" w:eastAsia="仿宋_GB2312"/>
          <w:sz w:val="32"/>
          <w:szCs w:val="32"/>
        </w:rPr>
        <w:t>股，没有二级机构，本次公开的是本级预算。</w:t>
      </w:r>
      <w:r>
        <w:rPr>
          <w:rFonts w:ascii="仿宋_GB2312" w:hAnsi="Times New Roman" w:eastAsia="仿宋_GB2312"/>
          <w:sz w:val="32"/>
          <w:szCs w:val="32"/>
        </w:rPr>
        <w:br w:type="textWrapping"/>
      </w:r>
      <w:r>
        <w:rPr>
          <w:rFonts w:ascii="仿宋_GB2312" w:hAnsi="Times New Roman" w:eastAsia="仿宋_GB2312"/>
          <w:sz w:val="32"/>
          <w:szCs w:val="32"/>
        </w:rPr>
        <w:t>    （一）办公室</w:t>
      </w:r>
      <w:r>
        <w:rPr>
          <w:rFonts w:ascii="仿宋_GB2312" w:hAnsi="Times New Roman" w:eastAsia="仿宋_GB2312"/>
          <w:sz w:val="32"/>
          <w:szCs w:val="32"/>
        </w:rPr>
        <w:br w:type="textWrapping"/>
      </w:r>
      <w:r>
        <w:rPr>
          <w:rFonts w:ascii="仿宋_GB2312" w:hAnsi="Times New Roman" w:eastAsia="仿宋_GB2312"/>
          <w:sz w:val="32"/>
          <w:szCs w:val="32"/>
        </w:rPr>
        <w:t>   研究、起草全县供销社工作的规范文件及重要的综合性材料；负责重要会议的组织和决定事项的督办落实；负责文秘、机要、保密、档案、信访、目标管理、政务信息工作；负责机关后勤管理和机关经费的使用管理工作；负责本机关和企业的体制改革工作；协助主要领导处理日常工作，保证机关安全和各项工作的正常运转。综合协调县社机关股室工作。</w:t>
      </w:r>
      <w:r>
        <w:rPr>
          <w:rFonts w:ascii="仿宋_GB2312" w:hAnsi="Times New Roman" w:eastAsia="仿宋_GB2312"/>
          <w:sz w:val="32"/>
          <w:szCs w:val="32"/>
        </w:rPr>
        <w:br w:type="textWrapping"/>
      </w:r>
      <w:r>
        <w:rPr>
          <w:rFonts w:ascii="仿宋_GB2312" w:hAnsi="Times New Roman" w:eastAsia="仿宋_GB2312"/>
          <w:sz w:val="32"/>
          <w:szCs w:val="32"/>
        </w:rPr>
        <w:t>    （二）业务股</w:t>
      </w:r>
      <w:r>
        <w:rPr>
          <w:rFonts w:ascii="仿宋_GB2312" w:hAnsi="Times New Roman" w:eastAsia="仿宋_GB2312"/>
          <w:sz w:val="32"/>
          <w:szCs w:val="32"/>
        </w:rPr>
        <w:br w:type="textWrapping"/>
      </w:r>
      <w:r>
        <w:rPr>
          <w:rFonts w:ascii="仿宋_GB2312" w:hAnsi="Times New Roman" w:eastAsia="仿宋_GB2312"/>
          <w:sz w:val="32"/>
          <w:szCs w:val="32"/>
        </w:rPr>
        <w:t>   </w:t>
      </w:r>
      <w:r>
        <w:rPr>
          <w:rFonts w:hint="eastAsia" w:ascii="仿宋_GB2312" w:hAnsi="Times New Roman" w:eastAsia="仿宋_GB2312"/>
          <w:sz w:val="32"/>
          <w:szCs w:val="32"/>
        </w:rPr>
        <w:t>负责</w:t>
      </w:r>
      <w:r>
        <w:rPr>
          <w:rFonts w:ascii="仿宋_GB2312" w:hAnsi="Times New Roman" w:eastAsia="仿宋_GB2312"/>
          <w:sz w:val="32"/>
          <w:szCs w:val="32"/>
        </w:rPr>
        <w:t>协调全</w:t>
      </w:r>
      <w:r>
        <w:rPr>
          <w:rFonts w:hint="eastAsia" w:ascii="仿宋_GB2312" w:hAnsi="Times New Roman" w:eastAsia="仿宋_GB2312"/>
          <w:sz w:val="32"/>
          <w:szCs w:val="32"/>
        </w:rPr>
        <w:t>系统</w:t>
      </w:r>
      <w:r>
        <w:rPr>
          <w:rFonts w:ascii="仿宋_GB2312" w:hAnsi="Times New Roman" w:eastAsia="仿宋_GB2312"/>
          <w:sz w:val="32"/>
          <w:szCs w:val="32"/>
        </w:rPr>
        <w:t>业务工作</w:t>
      </w:r>
      <w:r>
        <w:rPr>
          <w:rFonts w:hint="eastAsia" w:ascii="仿宋_GB2312" w:hAnsi="Times New Roman" w:eastAsia="仿宋_GB2312"/>
          <w:sz w:val="32"/>
          <w:szCs w:val="32"/>
        </w:rPr>
        <w:t>、物价工作，抓好棉花、农资产品的购销、调、存，搞好系列化服务；负责全系统的防汛、抗旱、救灾工作，综合经营管理烟花爆竹及各种经营业务。</w:t>
      </w:r>
      <w:r>
        <w:rPr>
          <w:rFonts w:ascii="仿宋_GB2312" w:hAnsi="Times New Roman" w:eastAsia="仿宋_GB2312"/>
          <w:sz w:val="32"/>
          <w:szCs w:val="32"/>
        </w:rPr>
        <w:br w:type="textWrapping"/>
      </w:r>
      <w:r>
        <w:rPr>
          <w:rFonts w:ascii="仿宋_GB2312" w:hAnsi="Times New Roman" w:eastAsia="仿宋_GB2312"/>
          <w:sz w:val="32"/>
          <w:szCs w:val="32"/>
        </w:rPr>
        <w:t>    （三）财务监审股</w:t>
      </w:r>
      <w:r>
        <w:rPr>
          <w:rFonts w:ascii="仿宋_GB2312" w:hAnsi="Times New Roman" w:eastAsia="仿宋_GB2312"/>
          <w:sz w:val="32"/>
          <w:szCs w:val="32"/>
        </w:rPr>
        <w:br w:type="textWrapping"/>
      </w:r>
      <w:r>
        <w:rPr>
          <w:rFonts w:ascii="仿宋_GB2312" w:hAnsi="Times New Roman" w:eastAsia="仿宋_GB2312"/>
          <w:sz w:val="32"/>
          <w:szCs w:val="32"/>
        </w:rPr>
        <w:t>   指导系统财务、会计工作，推动财务管理的科学化；参与县社体改和目标管理。负责经济目标任务的测算、监控和考评；监督安全统筹等专项政策性资金的使用；负责本系统财务人员的培训，做好县社直企业费用入账前的稽核工作；对县社直属企业财务管理及会计基础工作进行监督检查；负责县社资金及机关经费管理工作；维护党纪、国家行政法规和其他重要规章制度贯彻执行；检查和处理社直系统党员和干部职工违法违纪行为，受理对监察对象的检举、控告和申诉工作；负责检查、监督本系统的普法教育工作；宣传贯彻审计法规和有关政策；指导全县供销社系统的内审工作；负责县社直系统的目标审计；负责企业经理任中和离任的审计；负责县社系统经济责任审计、资产使用及租赁收入审计和各种专项审计。</w:t>
      </w:r>
      <w:r>
        <w:rPr>
          <w:rFonts w:ascii="仿宋_GB2312" w:hAnsi="Times New Roman" w:eastAsia="仿宋_GB2312"/>
          <w:sz w:val="32"/>
          <w:szCs w:val="32"/>
        </w:rPr>
        <w:br w:type="textWrapping"/>
      </w:r>
      <w:r>
        <w:rPr>
          <w:rFonts w:ascii="仿宋_GB2312" w:hAnsi="Times New Roman" w:eastAsia="仿宋_GB2312"/>
          <w:sz w:val="32"/>
          <w:szCs w:val="32"/>
        </w:rPr>
        <w:t>    （四）</w:t>
      </w:r>
      <w:r>
        <w:rPr>
          <w:rFonts w:hint="eastAsia" w:ascii="仿宋_GB2312" w:hAnsi="Times New Roman" w:eastAsia="仿宋_GB2312"/>
          <w:sz w:val="32"/>
          <w:szCs w:val="32"/>
        </w:rPr>
        <w:t>政工</w:t>
      </w:r>
      <w:r>
        <w:rPr>
          <w:rFonts w:ascii="仿宋_GB2312" w:hAnsi="Times New Roman" w:eastAsia="仿宋_GB2312"/>
          <w:sz w:val="32"/>
          <w:szCs w:val="32"/>
        </w:rPr>
        <w:t>股</w:t>
      </w:r>
      <w:r>
        <w:rPr>
          <w:rFonts w:ascii="仿宋_GB2312" w:hAnsi="Times New Roman" w:eastAsia="仿宋_GB2312"/>
          <w:sz w:val="32"/>
          <w:szCs w:val="32"/>
        </w:rPr>
        <w:br w:type="textWrapping"/>
      </w:r>
      <w:r>
        <w:rPr>
          <w:rFonts w:ascii="仿宋_GB2312" w:hAnsi="Times New Roman" w:eastAsia="仿宋_GB2312"/>
          <w:sz w:val="32"/>
          <w:szCs w:val="32"/>
        </w:rPr>
        <w:t>   负责全系统思想政治教育和精神文明建设；协助县社党委抓好干部职工队伍建设和群团工作；负责人事管理、社会保障、组织、宣传、老干、统战、人大政协和联络工作；负责工会、计划生育工作</w:t>
      </w:r>
      <w:r>
        <w:rPr>
          <w:rFonts w:hint="eastAsia" w:ascii="仿宋_GB2312" w:hAnsi="Times New Roman" w:eastAsia="仿宋_GB2312"/>
          <w:sz w:val="32"/>
          <w:szCs w:val="32"/>
        </w:rPr>
        <w:t>；</w:t>
      </w:r>
      <w:r>
        <w:rPr>
          <w:rFonts w:ascii="仿宋_GB2312" w:hAnsi="Times New Roman" w:eastAsia="仿宋_GB2312"/>
          <w:sz w:val="32"/>
          <w:szCs w:val="32"/>
        </w:rPr>
        <w:t>负责系统党风党纪教育、勤政廉政的和行政检查工作，指导系统纠正行业不正之风工作；负责系统法律法规宣传、法律服务和安全监督管理。</w:t>
      </w:r>
    </w:p>
    <w:p>
      <w:pPr>
        <w:adjustRightInd w:val="0"/>
        <w:snapToGrid w:val="0"/>
        <w:spacing w:line="360" w:lineRule="auto"/>
        <w:ind w:left="420" w:leftChars="200" w:firstLine="480"/>
        <w:outlineLvl w:val="1"/>
        <w:rPr>
          <w:rFonts w:ascii="仿宋_GB2312" w:hAnsi="Times New Roman" w:eastAsia="仿宋_GB2312"/>
          <w:sz w:val="32"/>
          <w:szCs w:val="32"/>
        </w:rPr>
      </w:pPr>
      <w:r>
        <w:rPr>
          <w:rFonts w:hint="eastAsia" w:ascii="仿宋_GB2312" w:hAnsi="Times New Roman" w:eastAsia="仿宋_GB2312"/>
          <w:sz w:val="32"/>
          <w:szCs w:val="32"/>
        </w:rPr>
        <w:t>（五）安全工业股</w:t>
      </w:r>
    </w:p>
    <w:p>
      <w:pPr>
        <w:adjustRightInd w:val="0"/>
        <w:snapToGrid w:val="0"/>
        <w:spacing w:line="360" w:lineRule="auto"/>
        <w:ind w:left="420" w:leftChars="200" w:firstLine="480"/>
        <w:outlineLvl w:val="1"/>
        <w:rPr>
          <w:rFonts w:ascii="仿宋_GB2312" w:hAnsi="Times New Roman" w:eastAsia="仿宋_GB2312"/>
          <w:sz w:val="32"/>
          <w:szCs w:val="32"/>
        </w:rPr>
      </w:pPr>
      <w:r>
        <w:rPr>
          <w:rFonts w:ascii="仿宋_GB2312" w:hAnsi="Times New Roman" w:eastAsia="仿宋_GB2312"/>
          <w:sz w:val="32"/>
          <w:szCs w:val="32"/>
        </w:rPr>
        <w:t>负责全系统</w:t>
      </w:r>
      <w:r>
        <w:rPr>
          <w:rFonts w:hint="eastAsia" w:ascii="仿宋_GB2312" w:hAnsi="Times New Roman" w:eastAsia="仿宋_GB2312"/>
          <w:sz w:val="32"/>
          <w:szCs w:val="32"/>
        </w:rPr>
        <w:t>的安全生产经营和管理、社会治安综合治理、社办工业安全统筹工作。</w:t>
      </w:r>
    </w:p>
    <w:p>
      <w:pPr>
        <w:adjustRightInd w:val="0"/>
        <w:snapToGrid w:val="0"/>
        <w:spacing w:line="360" w:lineRule="auto"/>
        <w:ind w:left="420" w:leftChars="200" w:firstLine="480"/>
        <w:outlineLvl w:val="1"/>
        <w:rPr>
          <w:rFonts w:ascii="仿宋_GB2312" w:hAnsi="Times New Roman" w:eastAsia="仿宋_GB2312"/>
          <w:sz w:val="32"/>
          <w:szCs w:val="32"/>
        </w:rPr>
      </w:pPr>
    </w:p>
    <w:p>
      <w:pPr>
        <w:adjustRightInd w:val="0"/>
        <w:snapToGrid w:val="0"/>
        <w:spacing w:line="360" w:lineRule="auto"/>
        <w:jc w:val="center"/>
        <w:rPr>
          <w:rFonts w:ascii="黑体" w:hAnsi="黑体" w:eastAsia="黑体"/>
          <w:sz w:val="32"/>
          <w:szCs w:val="32"/>
        </w:rPr>
      </w:pPr>
      <w:r>
        <w:rPr>
          <w:rFonts w:hint="eastAsia" w:ascii="宋体" w:hAnsi="宋体" w:cs="黑体"/>
          <w:b/>
          <w:sz w:val="32"/>
          <w:szCs w:val="32"/>
        </w:rPr>
        <w:t>第二部分</w:t>
      </w:r>
      <w:r>
        <w:rPr>
          <w:rFonts w:hint="eastAsia" w:ascii="宋体" w:hAnsi="宋体" w:cs="黑体"/>
          <w:b/>
          <w:spacing w:val="-32"/>
          <w:sz w:val="32"/>
          <w:szCs w:val="32"/>
        </w:rPr>
        <w:t xml:space="preserve"> </w:t>
      </w:r>
      <w:r>
        <w:rPr>
          <w:rFonts w:hint="eastAsia" w:ascii="宋体" w:hAnsi="宋体"/>
          <w:b/>
          <w:sz w:val="32"/>
          <w:szCs w:val="32"/>
        </w:rPr>
        <w:t>2</w:t>
      </w:r>
      <w:r>
        <w:rPr>
          <w:rFonts w:hint="eastAsia" w:ascii="宋体" w:hAnsi="宋体" w:cs="黑体"/>
          <w:b/>
          <w:sz w:val="32"/>
          <w:szCs w:val="32"/>
        </w:rPr>
        <w:t>01</w:t>
      </w:r>
      <w:r>
        <w:rPr>
          <w:rFonts w:ascii="宋体" w:hAnsi="宋体" w:cs="黑体"/>
          <w:b/>
          <w:sz w:val="32"/>
          <w:szCs w:val="32"/>
        </w:rPr>
        <w:t>9</w:t>
      </w:r>
      <w:r>
        <w:rPr>
          <w:rFonts w:hint="eastAsia" w:ascii="宋体" w:hAnsi="宋体" w:cs="黑体"/>
          <w:b/>
          <w:sz w:val="32"/>
          <w:szCs w:val="32"/>
        </w:rPr>
        <w:t>年度部门预算表情况说明</w:t>
      </w:r>
    </w:p>
    <w:p>
      <w:pPr>
        <w:adjustRightInd w:val="0"/>
        <w:snapToGrid w:val="0"/>
        <w:spacing w:line="360" w:lineRule="auto"/>
        <w:ind w:firstLine="640" w:firstLineChars="200"/>
        <w:rPr>
          <w:rFonts w:ascii="仿宋_GB2312" w:hAnsi="宋体" w:eastAsia="仿宋_GB2312" w:cs="仿宋_GB2312"/>
          <w:color w:val="000000"/>
          <w:kern w:val="0"/>
          <w:sz w:val="32"/>
          <w:szCs w:val="32"/>
        </w:rPr>
      </w:pPr>
    </w:p>
    <w:p>
      <w:pPr>
        <w:adjustRightInd w:val="0"/>
        <w:snapToGrid w:val="0"/>
        <w:spacing w:line="360" w:lineRule="auto"/>
        <w:ind w:firstLine="640" w:firstLineChars="200"/>
        <w:rPr>
          <w:rFonts w:ascii="黑体" w:hAnsi="黑体" w:eastAsia="黑体" w:cs="黑体"/>
          <w:sz w:val="32"/>
          <w:szCs w:val="32"/>
        </w:rPr>
      </w:pPr>
      <w:r>
        <w:rPr>
          <w:rFonts w:hint="eastAsia" w:ascii="仿宋_GB2312" w:hAnsi="宋体" w:eastAsia="仿宋_GB2312" w:cs="仿宋_GB2312"/>
          <w:color w:val="000000"/>
          <w:kern w:val="0"/>
          <w:sz w:val="32"/>
          <w:szCs w:val="32"/>
        </w:rPr>
        <w:t>罗山县供销合作社没有二级机构，收入支出预算均为供销合作社本级预算。</w:t>
      </w:r>
    </w:p>
    <w:p>
      <w:pPr>
        <w:adjustRightInd w:val="0"/>
        <w:snapToGrid w:val="0"/>
        <w:spacing w:line="360" w:lineRule="auto"/>
        <w:ind w:firstLine="640" w:firstLineChars="200"/>
        <w:rPr>
          <w:rFonts w:ascii="黑体" w:hAnsi="黑体" w:eastAsia="黑体" w:cs="Times New Roman"/>
          <w:sz w:val="32"/>
          <w:szCs w:val="32"/>
        </w:rPr>
      </w:pPr>
      <w:r>
        <w:rPr>
          <w:rFonts w:hint="eastAsia" w:ascii="黑体" w:hAnsi="黑体" w:eastAsia="黑体" w:cs="黑体"/>
          <w:sz w:val="32"/>
          <w:szCs w:val="32"/>
        </w:rPr>
        <w:t>一、收入支出预算总体情况说明</w:t>
      </w:r>
    </w:p>
    <w:p>
      <w:pPr>
        <w:snapToGrid w:val="0"/>
        <w:spacing w:line="360" w:lineRule="auto"/>
        <w:ind w:firstLine="640" w:firstLineChars="200"/>
        <w:outlineLvl w:val="0"/>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罗山县供销合作社</w:t>
      </w:r>
      <w:r>
        <w:rPr>
          <w:rFonts w:ascii="仿宋_GB2312" w:hAnsi="宋体" w:eastAsia="仿宋_GB2312" w:cs="仿宋_GB2312"/>
          <w:color w:val="000000"/>
          <w:kern w:val="0"/>
          <w:sz w:val="32"/>
          <w:szCs w:val="32"/>
        </w:rPr>
        <w:t>2019</w:t>
      </w:r>
      <w:r>
        <w:rPr>
          <w:rFonts w:hint="eastAsia" w:ascii="仿宋_GB2312" w:hAnsi="宋体" w:eastAsia="仿宋_GB2312" w:cs="仿宋_GB2312"/>
          <w:color w:val="000000"/>
          <w:kern w:val="0"/>
          <w:sz w:val="32"/>
          <w:szCs w:val="32"/>
        </w:rPr>
        <w:t>年收入总计</w:t>
      </w:r>
      <w:r>
        <w:rPr>
          <w:rFonts w:ascii="仿宋_GB2312" w:hAnsi="宋体" w:eastAsia="仿宋_GB2312" w:cs="仿宋_GB2312"/>
          <w:color w:val="000000"/>
          <w:kern w:val="0"/>
          <w:sz w:val="32"/>
          <w:szCs w:val="32"/>
        </w:rPr>
        <w:t>90.88</w:t>
      </w:r>
      <w:r>
        <w:rPr>
          <w:rFonts w:hint="eastAsia" w:ascii="仿宋_GB2312" w:hAnsi="宋体" w:eastAsia="仿宋_GB2312" w:cs="仿宋_GB2312"/>
          <w:color w:val="000000"/>
          <w:kern w:val="0"/>
          <w:sz w:val="32"/>
          <w:szCs w:val="32"/>
        </w:rPr>
        <w:t>万元，支出总计</w:t>
      </w:r>
      <w:r>
        <w:rPr>
          <w:rFonts w:ascii="仿宋_GB2312" w:hAnsi="宋体" w:eastAsia="仿宋_GB2312" w:cs="仿宋_GB2312"/>
          <w:color w:val="000000"/>
          <w:kern w:val="0"/>
          <w:sz w:val="32"/>
          <w:szCs w:val="32"/>
        </w:rPr>
        <w:t>90.88</w:t>
      </w:r>
      <w:r>
        <w:rPr>
          <w:rFonts w:hint="eastAsia" w:ascii="仿宋_GB2312" w:hAnsi="宋体" w:eastAsia="仿宋_GB2312" w:cs="仿宋_GB2312"/>
          <w:color w:val="000000"/>
          <w:kern w:val="0"/>
          <w:sz w:val="32"/>
          <w:szCs w:val="32"/>
        </w:rPr>
        <w:t>万元，与</w:t>
      </w:r>
      <w:r>
        <w:rPr>
          <w:rFonts w:ascii="仿宋_GB2312" w:hAnsi="宋体" w:eastAsia="仿宋_GB2312" w:cs="仿宋_GB2312"/>
          <w:color w:val="000000"/>
          <w:kern w:val="0"/>
          <w:sz w:val="32"/>
          <w:szCs w:val="32"/>
        </w:rPr>
        <w:t>2018</w:t>
      </w:r>
      <w:r>
        <w:rPr>
          <w:rFonts w:hint="eastAsia" w:ascii="仿宋_GB2312" w:hAnsi="宋体" w:eastAsia="仿宋_GB2312" w:cs="仿宋_GB2312"/>
          <w:color w:val="000000"/>
          <w:kern w:val="0"/>
          <w:sz w:val="32"/>
          <w:szCs w:val="32"/>
        </w:rPr>
        <w:t>年相比，收、支总计各减少</w:t>
      </w:r>
      <w:r>
        <w:rPr>
          <w:rFonts w:ascii="仿宋_GB2312" w:hAnsi="宋体" w:eastAsia="仿宋_GB2312" w:cs="仿宋_GB2312"/>
          <w:color w:val="000000"/>
          <w:kern w:val="0"/>
          <w:sz w:val="32"/>
          <w:szCs w:val="32"/>
        </w:rPr>
        <w:t>3.52</w:t>
      </w:r>
      <w:r>
        <w:rPr>
          <w:rFonts w:hint="eastAsia" w:ascii="仿宋_GB2312" w:hAnsi="宋体" w:eastAsia="仿宋_GB2312" w:cs="仿宋_GB2312"/>
          <w:color w:val="000000"/>
          <w:kern w:val="0"/>
          <w:sz w:val="32"/>
          <w:szCs w:val="32"/>
        </w:rPr>
        <w:t>万元，减少</w:t>
      </w:r>
      <w:r>
        <w:rPr>
          <w:rFonts w:ascii="仿宋_GB2312" w:hAnsi="宋体" w:eastAsia="仿宋_GB2312" w:cs="仿宋_GB2312"/>
          <w:color w:val="000000"/>
          <w:kern w:val="0"/>
          <w:sz w:val="32"/>
          <w:szCs w:val="32"/>
        </w:rPr>
        <w:t>3.73%</w:t>
      </w:r>
      <w:r>
        <w:rPr>
          <w:rFonts w:hint="eastAsia" w:ascii="仿宋_GB2312" w:hAnsi="宋体" w:eastAsia="仿宋_GB2312" w:cs="仿宋_GB2312"/>
          <w:color w:val="000000"/>
          <w:kern w:val="0"/>
          <w:sz w:val="32"/>
          <w:szCs w:val="32"/>
        </w:rPr>
        <w:t>。</w:t>
      </w:r>
      <w:r>
        <w:rPr>
          <w:rFonts w:hint="eastAsia" w:ascii="仿宋_GB2312" w:hAnsi="宋体" w:eastAsia="仿宋_GB2312" w:cs="仿宋_GB2312"/>
          <w:sz w:val="32"/>
          <w:szCs w:val="32"/>
        </w:rPr>
        <w:t>主要原因：人员减少</w:t>
      </w:r>
      <w:r>
        <w:rPr>
          <w:rFonts w:hint="eastAsia" w:ascii="仿宋_GB2312" w:hAnsi="宋体" w:eastAsia="仿宋_GB2312" w:cs="仿宋_GB2312"/>
          <w:color w:val="000000"/>
          <w:kern w:val="0"/>
          <w:sz w:val="32"/>
          <w:szCs w:val="32"/>
        </w:rPr>
        <w:t>，人员经费支出较上年有所减少。</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二、收入预算总体情况说明</w:t>
      </w:r>
    </w:p>
    <w:p>
      <w:pPr>
        <w:adjustRightInd w:val="0"/>
        <w:snapToGrid w:val="0"/>
        <w:spacing w:line="360" w:lineRule="auto"/>
        <w:ind w:firstLine="64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罗山县供销合作社本年收入合计</w:t>
      </w:r>
      <w:r>
        <w:rPr>
          <w:rFonts w:ascii="仿宋_GB2312" w:hAnsi="宋体" w:eastAsia="仿宋_GB2312" w:cs="仿宋_GB2312"/>
          <w:color w:val="000000"/>
          <w:kern w:val="0"/>
          <w:sz w:val="32"/>
          <w:szCs w:val="32"/>
        </w:rPr>
        <w:t>90.88</w:t>
      </w:r>
      <w:r>
        <w:rPr>
          <w:rFonts w:hint="eastAsia" w:ascii="仿宋_GB2312" w:hAnsi="宋体" w:eastAsia="仿宋_GB2312" w:cs="仿宋_GB2312"/>
          <w:color w:val="000000"/>
          <w:kern w:val="0"/>
          <w:sz w:val="32"/>
          <w:szCs w:val="32"/>
        </w:rPr>
        <w:t>万元，其中：一般公共预算收入</w:t>
      </w:r>
      <w:r>
        <w:rPr>
          <w:rFonts w:ascii="仿宋_GB2312" w:hAnsi="宋体" w:eastAsia="仿宋_GB2312" w:cs="仿宋_GB2312"/>
          <w:color w:val="000000"/>
          <w:kern w:val="0"/>
          <w:sz w:val="32"/>
          <w:szCs w:val="32"/>
        </w:rPr>
        <w:t>90.88</w:t>
      </w:r>
      <w:r>
        <w:rPr>
          <w:rFonts w:hint="eastAsia" w:ascii="仿宋_GB2312" w:hAnsi="宋体" w:eastAsia="仿宋_GB2312" w:cs="仿宋_GB2312"/>
          <w:color w:val="000000"/>
          <w:kern w:val="0"/>
          <w:sz w:val="32"/>
          <w:szCs w:val="32"/>
        </w:rPr>
        <w:t>万元，占</w:t>
      </w:r>
      <w:r>
        <w:rPr>
          <w:rFonts w:ascii="仿宋_GB2312" w:hAnsi="宋体" w:eastAsia="仿宋_GB2312" w:cs="仿宋_GB2312"/>
          <w:color w:val="000000"/>
          <w:kern w:val="0"/>
          <w:sz w:val="32"/>
          <w:szCs w:val="32"/>
        </w:rPr>
        <w:t>100%</w:t>
      </w:r>
      <w:r>
        <w:rPr>
          <w:rFonts w:hint="eastAsia" w:ascii="仿宋_GB2312" w:hAnsi="宋体" w:eastAsia="仿宋_GB2312" w:cs="仿宋_GB2312"/>
          <w:color w:val="000000"/>
          <w:kern w:val="0"/>
          <w:sz w:val="32"/>
          <w:szCs w:val="32"/>
        </w:rPr>
        <w:t>。</w:t>
      </w:r>
      <w:r>
        <w:rPr>
          <w:rFonts w:ascii="仿宋_GB2312" w:hAnsi="宋体" w:eastAsia="仿宋_GB2312" w:cs="仿宋_GB2312"/>
          <w:color w:val="000000"/>
          <w:kern w:val="0"/>
          <w:sz w:val="32"/>
          <w:szCs w:val="32"/>
        </w:rPr>
        <w:t xml:space="preserve"> </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三、支出预算总体情况说明</w:t>
      </w:r>
    </w:p>
    <w:p>
      <w:pPr>
        <w:adjustRightInd w:val="0"/>
        <w:snapToGrid w:val="0"/>
        <w:spacing w:line="360" w:lineRule="auto"/>
        <w:ind w:firstLine="640"/>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罗山县供销合作社本年支出合计</w:t>
      </w:r>
      <w:r>
        <w:rPr>
          <w:rFonts w:ascii="仿宋_GB2312" w:hAnsi="宋体" w:eastAsia="仿宋_GB2312" w:cs="仿宋_GB2312"/>
          <w:color w:val="000000"/>
          <w:kern w:val="0"/>
          <w:sz w:val="32"/>
          <w:szCs w:val="32"/>
        </w:rPr>
        <w:t>90.88</w:t>
      </w:r>
      <w:r>
        <w:rPr>
          <w:rFonts w:hint="eastAsia" w:ascii="仿宋_GB2312" w:hAnsi="宋体" w:eastAsia="仿宋_GB2312" w:cs="仿宋_GB2312"/>
          <w:color w:val="000000"/>
          <w:kern w:val="0"/>
          <w:sz w:val="32"/>
          <w:szCs w:val="32"/>
        </w:rPr>
        <w:t>万元，其中：基本支出</w:t>
      </w:r>
      <w:r>
        <w:rPr>
          <w:rFonts w:ascii="仿宋_GB2312" w:hAnsi="宋体" w:eastAsia="仿宋_GB2312" w:cs="仿宋_GB2312"/>
          <w:color w:val="000000"/>
          <w:kern w:val="0"/>
          <w:sz w:val="32"/>
          <w:szCs w:val="32"/>
        </w:rPr>
        <w:t>80.88</w:t>
      </w:r>
      <w:r>
        <w:rPr>
          <w:rFonts w:hint="eastAsia" w:ascii="仿宋_GB2312" w:hAnsi="宋体" w:eastAsia="仿宋_GB2312" w:cs="仿宋_GB2312"/>
          <w:color w:val="000000"/>
          <w:kern w:val="0"/>
          <w:sz w:val="32"/>
          <w:szCs w:val="32"/>
        </w:rPr>
        <w:t>万元，</w:t>
      </w:r>
      <w:r>
        <w:rPr>
          <w:rFonts w:hint="eastAsia" w:ascii="仿宋_GB2312" w:hAnsi="宋体" w:eastAsia="仿宋_GB2312" w:cs="仿宋_GB2312"/>
          <w:sz w:val="32"/>
          <w:szCs w:val="32"/>
        </w:rPr>
        <w:t>占</w:t>
      </w:r>
      <w:r>
        <w:rPr>
          <w:rFonts w:ascii="仿宋_GB2312" w:eastAsia="仿宋_GB2312" w:cs="仿宋_GB2312"/>
          <w:sz w:val="32"/>
          <w:szCs w:val="32"/>
        </w:rPr>
        <w:t>89</w:t>
      </w:r>
      <w:r>
        <w:rPr>
          <w:rFonts w:ascii="仿宋_GB2312" w:hAnsi="宋体" w:eastAsia="仿宋_GB2312" w:cs="仿宋_GB2312"/>
          <w:sz w:val="32"/>
          <w:szCs w:val="32"/>
        </w:rPr>
        <w:t>%</w:t>
      </w:r>
      <w:r>
        <w:rPr>
          <w:rFonts w:hint="eastAsia" w:ascii="仿宋_GB2312" w:hAnsi="宋体" w:eastAsia="仿宋_GB2312" w:cs="仿宋_GB2312"/>
          <w:sz w:val="32"/>
          <w:szCs w:val="32"/>
        </w:rPr>
        <w:t>，</w:t>
      </w:r>
      <w:r>
        <w:rPr>
          <w:rFonts w:hint="eastAsia" w:ascii="仿宋_GB2312" w:hAnsi="宋体" w:eastAsia="仿宋_GB2312" w:cs="Courier New"/>
          <w:sz w:val="32"/>
          <w:szCs w:val="32"/>
        </w:rPr>
        <w:t>项目支出</w:t>
      </w:r>
      <w:r>
        <w:rPr>
          <w:rFonts w:ascii="仿宋_GB2312" w:eastAsia="仿宋_GB2312"/>
          <w:sz w:val="32"/>
          <w:szCs w:val="32"/>
        </w:rPr>
        <w:t>10</w:t>
      </w:r>
      <w:r>
        <w:rPr>
          <w:rFonts w:hint="eastAsia" w:ascii="仿宋_GB2312" w:hAnsi="宋体" w:eastAsia="仿宋_GB2312" w:cs="Courier New"/>
          <w:sz w:val="32"/>
          <w:szCs w:val="32"/>
        </w:rPr>
        <w:t>万元，占</w:t>
      </w:r>
      <w:r>
        <w:rPr>
          <w:rFonts w:ascii="仿宋_GB2312" w:eastAsia="仿宋_GB2312"/>
          <w:sz w:val="32"/>
          <w:szCs w:val="32"/>
        </w:rPr>
        <w:t>11</w:t>
      </w:r>
      <w:r>
        <w:rPr>
          <w:rFonts w:ascii="仿宋_GB2312" w:hAnsi="宋体" w:eastAsia="仿宋_GB2312" w:cs="Courier New"/>
          <w:sz w:val="32"/>
          <w:szCs w:val="32"/>
        </w:rPr>
        <w:t>%</w:t>
      </w:r>
      <w:r>
        <w:rPr>
          <w:rFonts w:hint="eastAsia" w:ascii="仿宋_GB2312" w:hAnsi="宋体" w:eastAsia="仿宋_GB2312" w:cs="仿宋_GB2312"/>
          <w:sz w:val="32"/>
          <w:szCs w:val="32"/>
        </w:rPr>
        <w:t>。</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四、财政拨款收入支出预算总体情况说明</w:t>
      </w:r>
    </w:p>
    <w:p>
      <w:pPr>
        <w:spacing w:line="560" w:lineRule="exact"/>
        <w:ind w:firstLine="640" w:firstLineChars="200"/>
        <w:outlineLvl w:val="0"/>
        <w:rPr>
          <w:rFonts w:ascii="仿宋_GB2312" w:hAnsi="宋体" w:eastAsia="仿宋_GB2312" w:cs="Times New Roman"/>
          <w:color w:val="000000"/>
          <w:kern w:val="0"/>
          <w:sz w:val="32"/>
          <w:szCs w:val="32"/>
        </w:rPr>
      </w:pPr>
      <w:r>
        <w:rPr>
          <w:rFonts w:ascii="仿宋_GB2312" w:hAnsi="宋体" w:eastAsia="仿宋_GB2312" w:cs="仿宋_GB2312"/>
          <w:color w:val="000000"/>
          <w:kern w:val="0"/>
          <w:sz w:val="32"/>
          <w:szCs w:val="32"/>
        </w:rPr>
        <w:t>2019</w:t>
      </w:r>
      <w:r>
        <w:rPr>
          <w:rFonts w:hint="eastAsia" w:ascii="仿宋_GB2312" w:hAnsi="宋体" w:eastAsia="仿宋_GB2312" w:cs="仿宋_GB2312"/>
          <w:color w:val="000000"/>
          <w:kern w:val="0"/>
          <w:sz w:val="32"/>
          <w:szCs w:val="32"/>
        </w:rPr>
        <w:t>年财政拨款收支总预算</w:t>
      </w:r>
      <w:r>
        <w:rPr>
          <w:rFonts w:ascii="仿宋_GB2312" w:hAnsi="宋体" w:eastAsia="仿宋_GB2312" w:cs="仿宋_GB2312"/>
          <w:color w:val="000000"/>
          <w:kern w:val="0"/>
          <w:sz w:val="32"/>
          <w:szCs w:val="32"/>
        </w:rPr>
        <w:t>90.88</w:t>
      </w:r>
      <w:r>
        <w:rPr>
          <w:rFonts w:hint="eastAsia" w:ascii="仿宋_GB2312" w:hAnsi="宋体" w:eastAsia="仿宋_GB2312" w:cs="仿宋_GB2312"/>
          <w:color w:val="000000"/>
          <w:kern w:val="0"/>
          <w:sz w:val="32"/>
          <w:szCs w:val="32"/>
        </w:rPr>
        <w:t>万元。与</w:t>
      </w:r>
      <w:r>
        <w:rPr>
          <w:rFonts w:ascii="仿宋_GB2312" w:hAnsi="宋体" w:eastAsia="仿宋_GB2312" w:cs="仿宋_GB2312"/>
          <w:color w:val="000000"/>
          <w:kern w:val="0"/>
          <w:sz w:val="32"/>
          <w:szCs w:val="32"/>
        </w:rPr>
        <w:t xml:space="preserve"> 2018</w:t>
      </w:r>
      <w:r>
        <w:rPr>
          <w:rFonts w:hint="eastAsia" w:ascii="仿宋_GB2312" w:hAnsi="宋体" w:eastAsia="仿宋_GB2312" w:cs="仿宋_GB2312"/>
          <w:color w:val="000000"/>
          <w:kern w:val="0"/>
          <w:sz w:val="32"/>
          <w:szCs w:val="32"/>
        </w:rPr>
        <w:t>年相比，财政拨款收、支总计各减少</w:t>
      </w:r>
      <w:r>
        <w:rPr>
          <w:rFonts w:ascii="仿宋_GB2312" w:hAnsi="宋体" w:eastAsia="仿宋_GB2312" w:cs="仿宋_GB2312"/>
          <w:color w:val="000000"/>
          <w:kern w:val="0"/>
          <w:sz w:val="32"/>
          <w:szCs w:val="32"/>
        </w:rPr>
        <w:t>3.52</w:t>
      </w:r>
      <w:r>
        <w:rPr>
          <w:rFonts w:hint="eastAsia" w:ascii="仿宋_GB2312" w:hAnsi="宋体" w:eastAsia="仿宋_GB2312" w:cs="仿宋_GB2312"/>
          <w:color w:val="000000"/>
          <w:kern w:val="0"/>
          <w:sz w:val="32"/>
          <w:szCs w:val="32"/>
        </w:rPr>
        <w:t>万元，减少</w:t>
      </w:r>
      <w:r>
        <w:rPr>
          <w:rFonts w:ascii="仿宋_GB2312" w:hAnsi="宋体" w:eastAsia="仿宋_GB2312" w:cs="仿宋_GB2312"/>
          <w:color w:val="000000"/>
          <w:kern w:val="0"/>
          <w:sz w:val="32"/>
          <w:szCs w:val="32"/>
        </w:rPr>
        <w:t>3.73%</w:t>
      </w:r>
      <w:r>
        <w:rPr>
          <w:rFonts w:hint="eastAsia" w:ascii="仿宋_GB2312" w:hAnsi="宋体" w:eastAsia="仿宋_GB2312" w:cs="仿宋_GB2312"/>
          <w:color w:val="000000"/>
          <w:kern w:val="0"/>
          <w:sz w:val="32"/>
          <w:szCs w:val="32"/>
        </w:rPr>
        <w:t>。主要原因：人员减少，人员经费支出较上年有所减少。</w:t>
      </w:r>
    </w:p>
    <w:p>
      <w:pPr>
        <w:spacing w:line="560" w:lineRule="exact"/>
        <w:ind w:firstLine="640" w:firstLineChars="200"/>
        <w:outlineLvl w:val="0"/>
        <w:rPr>
          <w:rFonts w:ascii="仿宋_GB2312" w:eastAsia="仿宋_GB2312" w:cs="Times New Roman"/>
          <w:sz w:val="32"/>
          <w:szCs w:val="32"/>
        </w:rPr>
      </w:pPr>
      <w:r>
        <w:rPr>
          <w:rFonts w:hint="eastAsia" w:ascii="黑体" w:hAnsi="黑体" w:eastAsia="黑体" w:cs="黑体"/>
          <w:sz w:val="32"/>
          <w:szCs w:val="32"/>
        </w:rPr>
        <w:t>五、一般公共预算支出预算情况说明</w:t>
      </w:r>
    </w:p>
    <w:p>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罗山县供销合作社</w:t>
      </w:r>
      <w:r>
        <w:rPr>
          <w:rFonts w:ascii="仿宋_GB2312" w:hAnsi="宋体" w:eastAsia="仿宋_GB2312" w:cs="仿宋_GB2312"/>
          <w:sz w:val="32"/>
          <w:szCs w:val="32"/>
        </w:rPr>
        <w:t>2019</w:t>
      </w:r>
      <w:r>
        <w:rPr>
          <w:rFonts w:hint="eastAsia" w:ascii="仿宋_GB2312" w:hAnsi="宋体" w:eastAsia="仿宋_GB2312" w:cs="仿宋_GB2312"/>
          <w:sz w:val="32"/>
          <w:szCs w:val="32"/>
        </w:rPr>
        <w:t>年一般公共预算支出年初预算为</w:t>
      </w:r>
      <w:r>
        <w:rPr>
          <w:rFonts w:ascii="仿宋_GB2312" w:hAnsi="宋体" w:eastAsia="仿宋_GB2312" w:cs="仿宋_GB2312"/>
          <w:sz w:val="32"/>
          <w:szCs w:val="32"/>
        </w:rPr>
        <w:t>90.88</w:t>
      </w:r>
      <w:r>
        <w:rPr>
          <w:rFonts w:hint="eastAsia" w:ascii="仿宋_GB2312" w:hAnsi="宋体" w:eastAsia="仿宋_GB2312" w:cs="仿宋_GB2312"/>
          <w:sz w:val="32"/>
          <w:szCs w:val="32"/>
        </w:rPr>
        <w:t>万元。主要用于以下方面：事业运行支出</w:t>
      </w:r>
      <w:r>
        <w:rPr>
          <w:rFonts w:ascii="仿宋_GB2312" w:hAnsi="宋体" w:eastAsia="仿宋_GB2312" w:cs="仿宋_GB2312"/>
          <w:sz w:val="32"/>
          <w:szCs w:val="32"/>
        </w:rPr>
        <w:t>72.92</w:t>
      </w:r>
      <w:r>
        <w:rPr>
          <w:rFonts w:hint="eastAsia" w:ascii="仿宋_GB2312" w:hAnsi="宋体" w:eastAsia="仿宋_GB2312" w:cs="仿宋_GB2312"/>
          <w:sz w:val="32"/>
          <w:szCs w:val="32"/>
        </w:rPr>
        <w:t>万元，占</w:t>
      </w:r>
      <w:r>
        <w:rPr>
          <w:rFonts w:ascii="仿宋_GB2312" w:eastAsia="仿宋_GB2312" w:cs="仿宋_GB2312"/>
          <w:sz w:val="32"/>
          <w:szCs w:val="32"/>
        </w:rPr>
        <w:t>80.24</w:t>
      </w:r>
      <w:r>
        <w:rPr>
          <w:rFonts w:ascii="仿宋_GB2312" w:hAnsi="宋体" w:eastAsia="仿宋_GB2312" w:cs="仿宋_GB2312"/>
          <w:sz w:val="32"/>
          <w:szCs w:val="32"/>
        </w:rPr>
        <w:t>%</w:t>
      </w:r>
      <w:r>
        <w:rPr>
          <w:rFonts w:hint="eastAsia" w:ascii="仿宋_GB2312" w:hAnsi="宋体" w:eastAsia="仿宋_GB2312" w:cs="仿宋_GB2312"/>
          <w:sz w:val="32"/>
          <w:szCs w:val="32"/>
        </w:rPr>
        <w:t>；基本养老保险支出</w:t>
      </w:r>
      <w:r>
        <w:rPr>
          <w:rFonts w:ascii="仿宋_GB2312" w:hAnsi="宋体" w:eastAsia="仿宋_GB2312" w:cs="仿宋_GB2312"/>
          <w:sz w:val="32"/>
          <w:szCs w:val="32"/>
        </w:rPr>
        <w:t>8.98</w:t>
      </w:r>
      <w:r>
        <w:rPr>
          <w:rFonts w:hint="eastAsia" w:ascii="仿宋_GB2312" w:hAnsi="宋体" w:eastAsia="仿宋_GB2312" w:cs="仿宋_GB2312"/>
          <w:sz w:val="32"/>
          <w:szCs w:val="32"/>
        </w:rPr>
        <w:t>万元，占</w:t>
      </w:r>
      <w:r>
        <w:rPr>
          <w:rFonts w:ascii="仿宋_GB2312" w:hAnsi="宋体" w:eastAsia="仿宋_GB2312" w:cs="仿宋_GB2312"/>
          <w:sz w:val="32"/>
          <w:szCs w:val="32"/>
        </w:rPr>
        <w:t>9.88%</w:t>
      </w:r>
      <w:r>
        <w:rPr>
          <w:rFonts w:hint="eastAsia" w:ascii="仿宋_GB2312" w:hAnsi="宋体" w:eastAsia="仿宋_GB2312" w:cs="仿宋_GB2312"/>
          <w:sz w:val="32"/>
          <w:szCs w:val="32"/>
        </w:rPr>
        <w:t>；医疗保险支出</w:t>
      </w:r>
      <w:r>
        <w:rPr>
          <w:rFonts w:ascii="仿宋_GB2312" w:hAnsi="宋体" w:eastAsia="仿宋_GB2312" w:cs="仿宋_GB2312"/>
          <w:sz w:val="32"/>
          <w:szCs w:val="32"/>
        </w:rPr>
        <w:t>3.59</w:t>
      </w:r>
      <w:r>
        <w:rPr>
          <w:rFonts w:hint="eastAsia" w:ascii="仿宋_GB2312" w:hAnsi="宋体" w:eastAsia="仿宋_GB2312" w:cs="仿宋_GB2312"/>
          <w:sz w:val="32"/>
          <w:szCs w:val="32"/>
        </w:rPr>
        <w:t>万元，占</w:t>
      </w:r>
      <w:r>
        <w:rPr>
          <w:rFonts w:ascii="仿宋_GB2312" w:eastAsia="仿宋_GB2312" w:cs="仿宋_GB2312"/>
          <w:sz w:val="32"/>
          <w:szCs w:val="32"/>
        </w:rPr>
        <w:t>3.95</w:t>
      </w:r>
      <w:r>
        <w:rPr>
          <w:rFonts w:ascii="仿宋_GB2312" w:hAnsi="宋体" w:eastAsia="仿宋_GB2312" w:cs="仿宋_GB2312"/>
          <w:sz w:val="32"/>
          <w:szCs w:val="32"/>
        </w:rPr>
        <w:t>%</w:t>
      </w:r>
      <w:r>
        <w:rPr>
          <w:rFonts w:hint="eastAsia" w:ascii="仿宋_GB2312" w:hAnsi="宋体" w:eastAsia="仿宋_GB2312" w:cs="仿宋_GB2312"/>
          <w:sz w:val="32"/>
          <w:szCs w:val="32"/>
        </w:rPr>
        <w:t>；住房公积金支出</w:t>
      </w:r>
      <w:r>
        <w:rPr>
          <w:rFonts w:ascii="仿宋_GB2312" w:hAnsi="宋体" w:eastAsia="仿宋_GB2312" w:cs="仿宋_GB2312"/>
          <w:sz w:val="32"/>
          <w:szCs w:val="32"/>
        </w:rPr>
        <w:t>5.39</w:t>
      </w:r>
      <w:r>
        <w:rPr>
          <w:rFonts w:hint="eastAsia" w:ascii="仿宋_GB2312" w:hAnsi="宋体" w:eastAsia="仿宋_GB2312" w:cs="仿宋_GB2312"/>
          <w:sz w:val="32"/>
          <w:szCs w:val="32"/>
        </w:rPr>
        <w:t>万元，占</w:t>
      </w:r>
      <w:r>
        <w:rPr>
          <w:rFonts w:ascii="仿宋_GB2312" w:eastAsia="仿宋_GB2312" w:cs="仿宋_GB2312"/>
          <w:sz w:val="32"/>
          <w:szCs w:val="32"/>
        </w:rPr>
        <w:t>5.93</w:t>
      </w:r>
      <w:r>
        <w:rPr>
          <w:rFonts w:ascii="仿宋_GB2312" w:hAnsi="宋体" w:eastAsia="仿宋_GB2312" w:cs="仿宋_GB2312"/>
          <w:sz w:val="32"/>
          <w:szCs w:val="32"/>
        </w:rPr>
        <w:t>%</w:t>
      </w:r>
      <w:r>
        <w:rPr>
          <w:rFonts w:hint="eastAsia" w:ascii="仿宋_GB2312" w:hAnsi="宋体" w:eastAsia="仿宋_GB2312" w:cs="仿宋_GB2312"/>
          <w:sz w:val="32"/>
          <w:szCs w:val="32"/>
        </w:rPr>
        <w:t>。</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六、一般公共预算财政拨款基本支出情况说明</w:t>
      </w:r>
    </w:p>
    <w:p>
      <w:pPr>
        <w:pStyle w:val="4"/>
        <w:kinsoku w:val="0"/>
        <w:overflowPunct w:val="0"/>
        <w:snapToGrid w:val="0"/>
        <w:spacing w:line="360" w:lineRule="auto"/>
        <w:ind w:left="121" w:right="118" w:firstLine="640" w:firstLineChars="200"/>
        <w:jc w:val="both"/>
        <w:rPr>
          <w:rFonts w:hAnsi="宋体" w:cs="Times New Roman"/>
          <w:color w:val="000000"/>
        </w:rPr>
      </w:pPr>
      <w:r>
        <w:rPr>
          <w:rFonts w:hint="eastAsia" w:hAnsi="宋体"/>
          <w:color w:val="000000"/>
        </w:rPr>
        <w:t>罗山县供销合作社</w:t>
      </w:r>
      <w:r>
        <w:rPr>
          <w:rFonts w:hAnsi="宋体"/>
          <w:color w:val="000000"/>
        </w:rPr>
        <w:t>2019</w:t>
      </w:r>
      <w:r>
        <w:rPr>
          <w:rFonts w:hint="eastAsia" w:hAnsi="宋体"/>
          <w:color w:val="000000"/>
        </w:rPr>
        <w:t>年一般公共预算财政拨款基本支出</w:t>
      </w:r>
      <w:r>
        <w:rPr>
          <w:rFonts w:hAnsi="宋体"/>
          <w:color w:val="000000"/>
        </w:rPr>
        <w:t>90.88</w:t>
      </w:r>
      <w:r>
        <w:rPr>
          <w:rFonts w:hint="eastAsia" w:hAnsi="宋体"/>
          <w:color w:val="000000"/>
        </w:rPr>
        <w:t>万元，其中：人员经费</w:t>
      </w:r>
      <w:r>
        <w:rPr>
          <w:rFonts w:hAnsi="宋体"/>
          <w:color w:val="000000"/>
        </w:rPr>
        <w:t>64.28</w:t>
      </w:r>
      <w:r>
        <w:rPr>
          <w:rFonts w:hint="eastAsia" w:hAnsi="宋体"/>
          <w:color w:val="000000"/>
        </w:rPr>
        <w:t>万元，主要包括：基本工资、津贴补贴、奖金、社会保障缴费等；对个人和家庭的补助支出</w:t>
      </w:r>
      <w:r>
        <w:rPr>
          <w:rFonts w:hAnsi="宋体"/>
          <w:color w:val="000000"/>
        </w:rPr>
        <w:t>13.93</w:t>
      </w:r>
      <w:r>
        <w:rPr>
          <w:rFonts w:hint="eastAsia" w:hAnsi="宋体"/>
          <w:color w:val="000000"/>
        </w:rPr>
        <w:t>万元，主要用于：离休费、退休费、住房公积金等；商品和服务支出</w:t>
      </w:r>
      <w:r>
        <w:rPr>
          <w:rFonts w:hAnsi="宋体"/>
          <w:color w:val="000000"/>
        </w:rPr>
        <w:t>2.67</w:t>
      </w:r>
      <w:r>
        <w:rPr>
          <w:rFonts w:hint="eastAsia" w:hAnsi="宋体"/>
          <w:color w:val="000000"/>
        </w:rPr>
        <w:t>万元，主要包括：办公费、印刷费、咨询费、手续费、水费、电费、邮电费、取暖费、物业管理费、差旅费、因公出国（境）费、维修（护）费、租赁费、会议费、培训费、公务接待费、专用材料费、劳务费、委托业务费、工会经费、福利费、其他交通费用、税金及附加费用、其他商品和服务支出、办公设备购置、专用设备购置、大型修缮、信息网络及软件购置更新、其他资本性支出。项目支出</w:t>
      </w:r>
      <w:r>
        <w:rPr>
          <w:rFonts w:hAnsi="宋体"/>
          <w:color w:val="000000"/>
        </w:rPr>
        <w:t>10</w:t>
      </w:r>
      <w:r>
        <w:rPr>
          <w:rFonts w:hint="eastAsia" w:hAnsi="宋体"/>
          <w:color w:val="000000"/>
        </w:rPr>
        <w:t>万元</w:t>
      </w:r>
      <w:r>
        <w:rPr>
          <w:rFonts w:hint="eastAsia" w:hAnsi="宋体" w:cs="Courier New"/>
        </w:rPr>
        <w:t>，主要用于困难救助经费10万元。</w:t>
      </w:r>
    </w:p>
    <w:p>
      <w:pPr>
        <w:spacing w:line="360" w:lineRule="auto"/>
        <w:ind w:firstLine="640" w:firstLineChars="200"/>
        <w:outlineLvl w:val="0"/>
        <w:rPr>
          <w:rFonts w:ascii="黑体" w:hAnsi="Times New Roman" w:eastAsia="黑体" w:cs="Times New Roman"/>
          <w:kern w:val="0"/>
          <w:sz w:val="32"/>
          <w:szCs w:val="32"/>
        </w:rPr>
      </w:pPr>
      <w:r>
        <w:rPr>
          <w:rFonts w:hint="eastAsia" w:ascii="黑体" w:hAnsi="Times New Roman" w:eastAsia="黑体" w:cs="黑体"/>
          <w:kern w:val="0"/>
          <w:sz w:val="32"/>
          <w:szCs w:val="32"/>
        </w:rPr>
        <w:t>七、一般公共预算财政拨款“三公”经费支出情况说明</w:t>
      </w:r>
    </w:p>
    <w:p>
      <w:pPr>
        <w:pStyle w:val="4"/>
        <w:kinsoku w:val="0"/>
        <w:overflowPunct w:val="0"/>
        <w:snapToGrid w:val="0"/>
        <w:spacing w:line="360" w:lineRule="auto"/>
        <w:ind w:left="0" w:firstLine="640" w:firstLineChars="200"/>
        <w:jc w:val="both"/>
      </w:pPr>
      <w:r>
        <w:rPr>
          <w:rFonts w:hint="eastAsia"/>
        </w:rPr>
        <w:t>罗山县供销合作社</w:t>
      </w:r>
      <w:r>
        <w:t>2019</w:t>
      </w:r>
      <w:r>
        <w:rPr>
          <w:rFonts w:hint="eastAsia"/>
        </w:rPr>
        <w:t>年“三公”经费财政拨款支出预算为</w:t>
      </w:r>
      <w:r>
        <w:t>0</w:t>
      </w:r>
      <w:r>
        <w:rPr>
          <w:rFonts w:hint="eastAsia"/>
        </w:rPr>
        <w:t>万元，与</w:t>
      </w:r>
      <w:r>
        <w:t>2018</w:t>
      </w:r>
      <w:r>
        <w:rPr>
          <w:rFonts w:hint="eastAsia"/>
        </w:rPr>
        <w:t>年预算持平。主要原因响应党的号召节约开支。</w:t>
      </w:r>
      <w:r>
        <w:t xml:space="preserve"> </w:t>
      </w:r>
    </w:p>
    <w:p>
      <w:pPr>
        <w:pStyle w:val="4"/>
        <w:kinsoku w:val="0"/>
        <w:overflowPunct w:val="0"/>
        <w:snapToGrid w:val="0"/>
        <w:spacing w:line="360" w:lineRule="auto"/>
        <w:ind w:left="0" w:firstLine="558" w:firstLineChars="200"/>
        <w:jc w:val="both"/>
        <w:rPr>
          <w:rFonts w:hAnsi="宋体" w:cs="Times New Roman"/>
          <w:sz w:val="28"/>
          <w:szCs w:val="28"/>
        </w:rPr>
      </w:pPr>
      <w:r>
        <w:rPr>
          <w:rFonts w:hint="eastAsia" w:ascii="楷体_GB2312" w:eastAsia="楷体_GB2312" w:cs="楷体_GB2312"/>
          <w:b/>
          <w:bCs/>
          <w:spacing w:val="-1"/>
          <w:sz w:val="28"/>
          <w:szCs w:val="28"/>
        </w:rPr>
        <w:t>（一）因公出国（境）费</w:t>
      </w:r>
      <w:r>
        <w:rPr>
          <w:spacing w:val="-1"/>
          <w:sz w:val="28"/>
          <w:szCs w:val="28"/>
        </w:rPr>
        <w:t xml:space="preserve"> </w:t>
      </w:r>
    </w:p>
    <w:p>
      <w:pPr>
        <w:pStyle w:val="4"/>
        <w:kinsoku w:val="0"/>
        <w:overflowPunct w:val="0"/>
        <w:snapToGrid w:val="0"/>
        <w:spacing w:line="360" w:lineRule="auto"/>
        <w:ind w:left="0" w:firstLine="640" w:firstLineChars="200"/>
        <w:jc w:val="both"/>
        <w:rPr>
          <w:rFonts w:hAnsi="宋体" w:cs="Times New Roman"/>
          <w:color w:val="000000"/>
        </w:rPr>
      </w:pPr>
      <w:r>
        <w:rPr>
          <w:rFonts w:hint="eastAsia" w:hAnsi="宋体"/>
          <w:color w:val="000000"/>
        </w:rPr>
        <w:t>罗山县供销合作社</w:t>
      </w:r>
      <w:r>
        <w:rPr>
          <w:rFonts w:hAnsi="宋体"/>
          <w:color w:val="000000"/>
        </w:rPr>
        <w:t>2019</w:t>
      </w:r>
      <w:r>
        <w:rPr>
          <w:rFonts w:hint="eastAsia" w:hAnsi="宋体"/>
          <w:color w:val="000000"/>
        </w:rPr>
        <w:t>年没有因公出国（境）</w:t>
      </w:r>
      <w:r>
        <w:rPr>
          <w:rFonts w:hint="eastAsia" w:hAnsi="宋体"/>
          <w:color w:val="000000"/>
          <w:lang w:eastAsia="zh-CN"/>
        </w:rPr>
        <w:t>费</w:t>
      </w:r>
      <w:r>
        <w:rPr>
          <w:rFonts w:hint="eastAsia" w:hAnsi="宋体"/>
          <w:color w:val="000000"/>
          <w:lang w:val="en-US" w:eastAsia="zh-CN"/>
        </w:rPr>
        <w:t>0万元</w:t>
      </w:r>
      <w:r>
        <w:rPr>
          <w:rFonts w:hint="eastAsia" w:hAnsi="宋体"/>
          <w:color w:val="000000"/>
        </w:rPr>
        <w:t>。</w:t>
      </w:r>
    </w:p>
    <w:p>
      <w:pPr>
        <w:pStyle w:val="4"/>
        <w:kinsoku w:val="0"/>
        <w:overflowPunct w:val="0"/>
        <w:snapToGrid w:val="0"/>
        <w:spacing w:line="360" w:lineRule="auto"/>
        <w:ind w:left="0" w:firstLine="558" w:firstLineChars="200"/>
        <w:jc w:val="both"/>
        <w:rPr>
          <w:rFonts w:hAnsi="宋体"/>
          <w:color w:val="000000"/>
        </w:rPr>
      </w:pPr>
      <w:r>
        <w:rPr>
          <w:rFonts w:hint="eastAsia" w:ascii="楷体_GB2312" w:eastAsia="楷体_GB2312" w:cs="楷体_GB2312"/>
          <w:b/>
          <w:bCs/>
          <w:spacing w:val="-1"/>
          <w:sz w:val="28"/>
          <w:szCs w:val="28"/>
        </w:rPr>
        <w:t>（二）公务用车购置及运行费</w:t>
      </w:r>
      <w:r>
        <w:rPr>
          <w:sz w:val="28"/>
          <w:szCs w:val="28"/>
        </w:rPr>
        <w:t xml:space="preserve"> </w:t>
      </w:r>
    </w:p>
    <w:p>
      <w:pPr>
        <w:pStyle w:val="4"/>
        <w:kinsoku w:val="0"/>
        <w:overflowPunct w:val="0"/>
        <w:snapToGrid w:val="0"/>
        <w:spacing w:line="360" w:lineRule="auto"/>
        <w:ind w:left="0" w:firstLine="640" w:firstLineChars="200"/>
        <w:jc w:val="both"/>
        <w:rPr>
          <w:rFonts w:hint="eastAsia" w:hAnsi="宋体" w:eastAsia="仿宋_GB2312" w:cs="Times New Roman"/>
          <w:sz w:val="28"/>
          <w:szCs w:val="28"/>
          <w:lang w:eastAsia="zh-CN"/>
        </w:rPr>
      </w:pPr>
      <w:r>
        <w:rPr>
          <w:rFonts w:hint="eastAsia" w:hAnsi="宋体"/>
          <w:color w:val="000000"/>
        </w:rPr>
        <w:t>罗山县供销合作社没有公务用车，201</w:t>
      </w:r>
      <w:r>
        <w:rPr>
          <w:rFonts w:hAnsi="宋体"/>
          <w:color w:val="000000"/>
        </w:rPr>
        <w:t>9</w:t>
      </w:r>
      <w:r>
        <w:rPr>
          <w:rFonts w:hint="eastAsia" w:hAnsi="宋体"/>
          <w:color w:val="000000"/>
        </w:rPr>
        <w:t>年预算公务用车购置</w:t>
      </w:r>
      <w:r>
        <w:rPr>
          <w:rFonts w:hint="eastAsia" w:hAnsi="宋体"/>
          <w:color w:val="000000"/>
          <w:lang w:val="en-US" w:eastAsia="zh-CN"/>
        </w:rPr>
        <w:t>0万元</w:t>
      </w:r>
      <w:r>
        <w:rPr>
          <w:rFonts w:hint="eastAsia" w:hAnsi="宋体"/>
          <w:color w:val="000000"/>
        </w:rPr>
        <w:t>。</w:t>
      </w:r>
      <w:r>
        <w:rPr>
          <w:rFonts w:hint="eastAsia" w:hAnsi="宋体"/>
          <w:color w:val="000000"/>
          <w:lang w:eastAsia="zh-CN"/>
        </w:rPr>
        <w:t>公务用车运行维护费用</w:t>
      </w:r>
      <w:r>
        <w:rPr>
          <w:rFonts w:hint="eastAsia" w:hAnsi="宋体"/>
          <w:color w:val="000000"/>
          <w:lang w:val="en-US" w:eastAsia="zh-CN"/>
        </w:rPr>
        <w:t>0万元</w:t>
      </w:r>
      <w:r>
        <w:rPr>
          <w:rFonts w:hint="eastAsia" w:hAnsi="宋体"/>
          <w:color w:val="000000"/>
          <w:lang w:eastAsia="zh-CN"/>
        </w:rPr>
        <w:t>。</w:t>
      </w:r>
    </w:p>
    <w:p>
      <w:pPr>
        <w:pStyle w:val="4"/>
        <w:kinsoku w:val="0"/>
        <w:overflowPunct w:val="0"/>
        <w:snapToGrid w:val="0"/>
        <w:spacing w:line="360" w:lineRule="auto"/>
        <w:ind w:left="0" w:firstLine="558" w:firstLineChars="200"/>
        <w:jc w:val="both"/>
        <w:rPr>
          <w:rFonts w:hAnsi="宋体"/>
          <w:color w:val="000000"/>
        </w:rPr>
      </w:pPr>
      <w:r>
        <w:rPr>
          <w:rFonts w:hint="eastAsia" w:ascii="楷体_GB2312" w:eastAsia="楷体_GB2312" w:cs="楷体_GB2312"/>
          <w:b/>
          <w:bCs/>
          <w:spacing w:val="-1"/>
          <w:sz w:val="28"/>
          <w:szCs w:val="28"/>
        </w:rPr>
        <w:t>（三）公务接待费</w:t>
      </w:r>
    </w:p>
    <w:p>
      <w:pPr>
        <w:pStyle w:val="4"/>
        <w:kinsoku w:val="0"/>
        <w:overflowPunct w:val="0"/>
        <w:snapToGrid w:val="0"/>
        <w:spacing w:line="360" w:lineRule="auto"/>
        <w:ind w:left="0" w:firstLine="640" w:firstLineChars="200"/>
        <w:jc w:val="both"/>
        <w:rPr>
          <w:rFonts w:hAnsi="宋体" w:cs="Times New Roman"/>
          <w:color w:val="000000"/>
        </w:rPr>
      </w:pPr>
      <w:r>
        <w:rPr>
          <w:rFonts w:hint="eastAsia" w:hAnsi="宋体"/>
          <w:color w:val="000000"/>
        </w:rPr>
        <w:t>201</w:t>
      </w:r>
      <w:r>
        <w:rPr>
          <w:rFonts w:hAnsi="宋体"/>
          <w:color w:val="000000"/>
        </w:rPr>
        <w:t>9</w:t>
      </w:r>
      <w:r>
        <w:rPr>
          <w:rFonts w:hint="eastAsia" w:hAnsi="宋体"/>
          <w:color w:val="000000"/>
        </w:rPr>
        <w:t>年公务接待费</w:t>
      </w:r>
      <w:r>
        <w:rPr>
          <w:rFonts w:hint="eastAsia" w:hAnsi="宋体"/>
          <w:color w:val="000000"/>
          <w:lang w:val="en-US" w:eastAsia="zh-CN"/>
        </w:rPr>
        <w:t>0万元，预算数比2018减少0万元</w:t>
      </w:r>
      <w:bookmarkStart w:id="0" w:name="_GoBack"/>
      <w:bookmarkEnd w:id="0"/>
      <w:r>
        <w:rPr>
          <w:rFonts w:hint="eastAsia" w:hAnsi="宋体"/>
          <w:color w:val="000000"/>
        </w:rPr>
        <w:t>。</w:t>
      </w:r>
    </w:p>
    <w:p>
      <w:pPr>
        <w:spacing w:line="360" w:lineRule="auto"/>
        <w:ind w:firstLine="640" w:firstLineChars="200"/>
        <w:outlineLvl w:val="0"/>
        <w:rPr>
          <w:rFonts w:ascii="仿宋_GB2312" w:eastAsia="仿宋_GB2312" w:cs="Times New Roman"/>
          <w:sz w:val="32"/>
          <w:szCs w:val="32"/>
        </w:rPr>
      </w:pPr>
      <w:r>
        <w:rPr>
          <w:rFonts w:hint="eastAsia" w:ascii="黑体" w:hAnsi="Times New Roman" w:eastAsia="黑体" w:cs="黑体"/>
          <w:kern w:val="0"/>
          <w:sz w:val="32"/>
          <w:szCs w:val="32"/>
        </w:rPr>
        <w:t>八、政府性基金预算支出情况说明</w:t>
      </w:r>
    </w:p>
    <w:p>
      <w:pPr>
        <w:spacing w:line="360" w:lineRule="auto"/>
        <w:ind w:firstLine="640" w:firstLineChars="200"/>
        <w:rPr>
          <w:rFonts w:ascii="仿宋_GB2312" w:hAnsi="宋体" w:eastAsia="仿宋_GB2312" w:cs="仿宋_GB2312"/>
          <w:sz w:val="32"/>
          <w:szCs w:val="32"/>
        </w:rPr>
      </w:pPr>
      <w:r>
        <w:rPr>
          <w:rFonts w:hint="eastAsia" w:ascii="仿宋_GB2312" w:eastAsia="仿宋_GB2312" w:cs="仿宋_GB2312"/>
          <w:sz w:val="32"/>
          <w:szCs w:val="32"/>
        </w:rPr>
        <w:t>本单位</w:t>
      </w:r>
      <w:r>
        <w:rPr>
          <w:rFonts w:ascii="仿宋_GB2312" w:hAnsi="宋体" w:eastAsia="仿宋_GB2312" w:cs="仿宋_GB2312"/>
          <w:sz w:val="32"/>
          <w:szCs w:val="32"/>
        </w:rPr>
        <w:t>2019</w:t>
      </w:r>
      <w:r>
        <w:rPr>
          <w:rFonts w:hint="eastAsia" w:ascii="仿宋_GB2312" w:hAnsi="宋体" w:eastAsia="仿宋_GB2312" w:cs="仿宋_GB2312"/>
          <w:sz w:val="32"/>
          <w:szCs w:val="32"/>
        </w:rPr>
        <w:t>年没有使用政府性基金预算安排的支出。</w:t>
      </w:r>
    </w:p>
    <w:p>
      <w:pPr>
        <w:widowControl/>
        <w:ind w:firstLine="640" w:firstLineChars="200"/>
        <w:jc w:val="left"/>
        <w:rPr>
          <w:rFonts w:ascii="黑体" w:hAnsi="黑体" w:eastAsia="黑体" w:cs="黑体"/>
          <w:sz w:val="32"/>
          <w:szCs w:val="32"/>
        </w:rPr>
      </w:pPr>
      <w:r>
        <w:rPr>
          <w:rFonts w:hint="eastAsia" w:ascii="黑体" w:hAnsi="Times New Roman" w:eastAsia="黑体" w:cs="黑体"/>
          <w:kern w:val="0"/>
          <w:sz w:val="32"/>
          <w:szCs w:val="32"/>
        </w:rPr>
        <w:t>九、关于预算绩效情况</w:t>
      </w:r>
      <w:r>
        <w:rPr>
          <w:rFonts w:hint="eastAsia" w:ascii="黑体" w:hAnsi="黑体" w:eastAsia="黑体" w:cs="黑体"/>
          <w:sz w:val="32"/>
          <w:szCs w:val="32"/>
        </w:rPr>
        <w:t>说明</w:t>
      </w:r>
    </w:p>
    <w:p>
      <w:pPr>
        <w:widowControl/>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（一）绩效管理工作开展情况</w:t>
      </w:r>
    </w:p>
    <w:p>
      <w:pPr>
        <w:widowControl/>
        <w:ind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结合县财政预算绩效管理，出台相应的制度规定；初步设立了绩效管理的理念；同时也提高了财政资金的使用效益。</w:t>
      </w:r>
    </w:p>
    <w:p>
      <w:pPr>
        <w:widowControl/>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（二）重点项目绩效自评结果</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年未安排需要进行绩效自评的项目，没有开展重点项目预算的绩效目标管理工作。</w:t>
      </w:r>
    </w:p>
    <w:p>
      <w:pPr>
        <w:spacing w:line="360" w:lineRule="auto"/>
        <w:ind w:firstLine="640" w:firstLineChars="200"/>
        <w:rPr>
          <w:rFonts w:ascii="黑体" w:hAnsi="黑体" w:eastAsia="黑体"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十、其他重要事项的情况说明</w:t>
      </w:r>
    </w:p>
    <w:p>
      <w:pPr>
        <w:pStyle w:val="4"/>
        <w:kinsoku w:val="0"/>
        <w:overflowPunct w:val="0"/>
        <w:snapToGrid w:val="0"/>
        <w:spacing w:line="360" w:lineRule="auto"/>
        <w:ind w:left="0" w:firstLine="640" w:firstLineChars="200"/>
        <w:jc w:val="both"/>
        <w:rPr>
          <w:rFonts w:ascii="楷体_GB2312" w:eastAsia="楷体_GB2312" w:cs="Times New Roman"/>
          <w:b/>
          <w:bCs/>
          <w:sz w:val="28"/>
          <w:szCs w:val="28"/>
        </w:rPr>
      </w:pPr>
      <w:r>
        <w:rPr>
          <w:rFonts w:hint="eastAsia" w:ascii="楷体_GB2312" w:hAnsi="楷体_GB2312" w:eastAsia="楷体_GB2312" w:cs="楷体_GB2312"/>
          <w:kern w:val="2"/>
        </w:rPr>
        <w:t>（一）机关运行经费支出情况</w:t>
      </w:r>
    </w:p>
    <w:p>
      <w:pPr>
        <w:pStyle w:val="4"/>
        <w:kinsoku w:val="0"/>
        <w:overflowPunct w:val="0"/>
        <w:snapToGrid w:val="0"/>
        <w:spacing w:line="360" w:lineRule="auto"/>
        <w:ind w:left="0" w:firstLine="640" w:firstLineChars="200"/>
        <w:jc w:val="both"/>
        <w:rPr>
          <w:rFonts w:hAnsi="宋体" w:cs="Times New Roman"/>
          <w:color w:val="000000"/>
        </w:rPr>
      </w:pPr>
      <w:r>
        <w:rPr>
          <w:rFonts w:hint="eastAsia" w:hAnsi="宋体"/>
          <w:color w:val="000000"/>
        </w:rPr>
        <w:t>罗山县供销合作社</w:t>
      </w:r>
      <w:r>
        <w:rPr>
          <w:rFonts w:hAnsi="宋体"/>
          <w:color w:val="000000"/>
        </w:rPr>
        <w:t>2019</w:t>
      </w:r>
      <w:r>
        <w:rPr>
          <w:rFonts w:hint="eastAsia" w:hAnsi="宋体"/>
          <w:color w:val="000000"/>
        </w:rPr>
        <w:t>年机关运行经费支出主要用于保障机关机构正常运转及正常履职需要的办公费、水电费、差旅费等支出。</w:t>
      </w:r>
    </w:p>
    <w:p>
      <w:pPr>
        <w:pStyle w:val="4"/>
        <w:kinsoku w:val="0"/>
        <w:overflowPunct w:val="0"/>
        <w:snapToGrid w:val="0"/>
        <w:spacing w:line="360" w:lineRule="auto"/>
        <w:ind w:left="0" w:firstLine="640" w:firstLineChars="200"/>
        <w:jc w:val="both"/>
        <w:rPr>
          <w:rFonts w:ascii="楷体_GB2312" w:hAnsi="楷体_GB2312" w:eastAsia="楷体_GB2312" w:cs="楷体_GB2312"/>
          <w:kern w:val="2"/>
        </w:rPr>
      </w:pPr>
      <w:r>
        <w:rPr>
          <w:rFonts w:hint="eastAsia" w:ascii="楷体_GB2312" w:hAnsi="楷体_GB2312" w:eastAsia="楷体_GB2312" w:cs="楷体_GB2312"/>
          <w:kern w:val="2"/>
        </w:rPr>
        <w:t>（二）政府采购支出情况</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罗山县供销合作社</w:t>
      </w:r>
      <w:r>
        <w:rPr>
          <w:rFonts w:hAnsi="宋体"/>
          <w:color w:val="000000"/>
        </w:rPr>
        <w:t>2019</w:t>
      </w:r>
      <w:r>
        <w:rPr>
          <w:rFonts w:hint="eastAsia" w:hAnsi="宋体"/>
          <w:color w:val="000000"/>
        </w:rPr>
        <w:t>年政府采购预算支出总额0万元。</w:t>
      </w:r>
    </w:p>
    <w:p>
      <w:pPr>
        <w:widowControl/>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（三）国有资产占用情况说明</w:t>
      </w:r>
    </w:p>
    <w:p>
      <w:pPr>
        <w:pStyle w:val="4"/>
        <w:kinsoku w:val="0"/>
        <w:overflowPunct w:val="0"/>
        <w:snapToGrid w:val="0"/>
        <w:spacing w:line="360" w:lineRule="auto"/>
        <w:ind w:left="0" w:firstLine="640" w:firstLineChars="200"/>
        <w:jc w:val="both"/>
        <w:rPr>
          <w:rFonts w:ascii="楷体_GB2312" w:eastAsia="楷体_GB2312" w:cs="Times New Roman"/>
          <w:b/>
          <w:bCs/>
          <w:sz w:val="28"/>
          <w:szCs w:val="28"/>
        </w:rPr>
      </w:pPr>
      <w:r>
        <w:rPr>
          <w:rFonts w:hint="eastAsia" w:hAnsi="仿宋_GB2312"/>
        </w:rPr>
        <w:t>201</w:t>
      </w:r>
      <w:r>
        <w:rPr>
          <w:rFonts w:hAnsi="仿宋_GB2312"/>
        </w:rPr>
        <w:t>8</w:t>
      </w:r>
      <w:r>
        <w:rPr>
          <w:rFonts w:hint="eastAsia" w:hAnsi="仿宋_GB2312"/>
        </w:rPr>
        <w:t>年期末，我单位固定资产总额为</w:t>
      </w:r>
      <w:r>
        <w:rPr>
          <w:rFonts w:hAnsi="仿宋_GB2312"/>
        </w:rPr>
        <w:t>49880</w:t>
      </w:r>
      <w:r>
        <w:rPr>
          <w:rFonts w:hint="eastAsia" w:hAnsi="仿宋_GB2312"/>
        </w:rPr>
        <w:t>元，固定资产为办公家具及电脑设备等，没有配置公务车辆等其他国有资产。</w:t>
      </w:r>
    </w:p>
    <w:p>
      <w:pPr>
        <w:pStyle w:val="4"/>
        <w:kinsoku w:val="0"/>
        <w:overflowPunct w:val="0"/>
        <w:snapToGrid w:val="0"/>
        <w:spacing w:line="360" w:lineRule="auto"/>
        <w:ind w:left="0" w:firstLine="640" w:firstLineChars="200"/>
        <w:jc w:val="both"/>
        <w:rPr>
          <w:rFonts w:hAnsi="宋体" w:cs="Times New Roman"/>
          <w:color w:val="000000"/>
        </w:rPr>
      </w:pPr>
    </w:p>
    <w:p>
      <w:pPr>
        <w:adjustRightInd w:val="0"/>
        <w:snapToGrid w:val="0"/>
        <w:spacing w:line="360" w:lineRule="auto"/>
        <w:ind w:firstLine="640"/>
        <w:jc w:val="center"/>
        <w:rPr>
          <w:rFonts w:ascii="黑体" w:eastAsia="黑体" w:cs="Times New Roman"/>
          <w:spacing w:val="-32"/>
          <w:sz w:val="28"/>
          <w:szCs w:val="28"/>
        </w:rPr>
      </w:pPr>
      <w:r>
        <w:rPr>
          <w:rFonts w:hint="eastAsia" w:ascii="黑体" w:hAnsi="黑体" w:eastAsia="黑体" w:cs="黑体"/>
          <w:sz w:val="32"/>
          <w:szCs w:val="32"/>
        </w:rPr>
        <w:t>第三部分</w:t>
      </w:r>
      <w:r>
        <w:rPr>
          <w:rFonts w:ascii="黑体" w:hAnsi="黑体" w:eastAsia="黑体" w:cs="黑体"/>
          <w:sz w:val="32"/>
          <w:szCs w:val="32"/>
        </w:rPr>
        <w:t xml:space="preserve">  </w:t>
      </w:r>
      <w:r>
        <w:rPr>
          <w:rFonts w:hint="eastAsia" w:ascii="黑体" w:hAnsi="黑体" w:eastAsia="黑体" w:cs="黑体"/>
          <w:sz w:val="32"/>
          <w:szCs w:val="32"/>
        </w:rPr>
        <w:t>名词解释</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一、财政拨款收入：是指市县财政当年拨付的资金。</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二、事业收入：是指事业单位开展专业活动及辅助活动所取得的收入。</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三、其他收入：是指部门取得的除“财政拨款”、“事业收入”、“事业单位经营收入”等以外的收入。</w:t>
      </w:r>
      <w:r>
        <w:rPr>
          <w:rFonts w:hAnsi="宋体"/>
          <w:color w:val="000000"/>
        </w:rPr>
        <w:t xml:space="preserve"> </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四、用事业基金弥补收支差额：是指事业单位在当年的“财政拨款收入”、“事业收入”、“经营收入”和“其他收入”不足以安排当年支出的情况下，使用以前年度积累的事业基金（即事业单位以前各年度收支相抵后，按国家规定提取、用于弥补以后年度收</w:t>
      </w:r>
      <w:r>
        <w:rPr>
          <w:rFonts w:hAnsi="宋体"/>
          <w:color w:val="000000"/>
        </w:rPr>
        <w:t xml:space="preserve"> </w:t>
      </w:r>
      <w:r>
        <w:rPr>
          <w:rFonts w:hint="eastAsia" w:hAnsi="宋体"/>
          <w:color w:val="000000"/>
        </w:rPr>
        <w:t>支差额的基金）弥补当年收支缺口的资金。</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五、上年结转和结余：是指以前年度支出预算因客观条件变化未执行完毕、结转到本年度按有关规定继续使用的资金，既包括财政拨款结转和结余，也包括事业收入、经营收入、其他收入的结转和结余。</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六、基本支出：是指为保障机构正常运转、完成日常工作任务所必需的开支，其内容包括人员经费和日常公用经费两部分。</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七、项目支出：是指在基本支出之外，为完成特定的行政工作任务或事业发展目标所发生的支出。</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八、“三公”经费：是指纳入县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adjustRightInd w:val="0"/>
        <w:snapToGrid w:val="0"/>
        <w:spacing w:line="360" w:lineRule="auto"/>
        <w:ind w:firstLine="640" w:firstLineChars="20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九、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pPr>
        <w:adjustRightInd w:val="0"/>
        <w:snapToGrid w:val="0"/>
        <w:spacing w:line="360" w:lineRule="auto"/>
        <w:ind w:firstLine="640" w:firstLineChars="20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附件：罗山县供销合作社联合社</w:t>
      </w:r>
      <w:r>
        <w:rPr>
          <w:rFonts w:ascii="仿宋_GB2312" w:hAnsi="宋体" w:eastAsia="仿宋_GB2312" w:cs="仿宋_GB2312"/>
          <w:color w:val="000000"/>
          <w:kern w:val="0"/>
          <w:sz w:val="32"/>
          <w:szCs w:val="32"/>
        </w:rPr>
        <w:t>2019</w:t>
      </w:r>
      <w:r>
        <w:rPr>
          <w:rFonts w:hint="eastAsia" w:ascii="仿宋_GB2312" w:hAnsi="宋体" w:eastAsia="仿宋_GB2312" w:cs="仿宋_GB2312"/>
          <w:color w:val="000000"/>
          <w:kern w:val="0"/>
          <w:sz w:val="32"/>
          <w:szCs w:val="32"/>
        </w:rPr>
        <w:t>年度部门预算表</w:t>
      </w:r>
    </w:p>
    <w:p>
      <w:pPr>
        <w:adjustRightInd w:val="0"/>
        <w:snapToGrid w:val="0"/>
        <w:spacing w:line="360" w:lineRule="auto"/>
        <w:ind w:firstLine="640" w:firstLineChars="200"/>
        <w:rPr>
          <w:rFonts w:ascii="仿宋_GB2312" w:hAnsi="宋体" w:eastAsia="仿宋_GB2312" w:cs="Courier New"/>
          <w:sz w:val="32"/>
          <w:szCs w:val="32"/>
        </w:rPr>
      </w:pPr>
    </w:p>
    <w:p>
      <w:pPr>
        <w:adjustRightInd w:val="0"/>
        <w:snapToGrid w:val="0"/>
        <w:spacing w:line="360" w:lineRule="auto"/>
        <w:ind w:firstLine="640" w:firstLineChars="200"/>
        <w:rPr>
          <w:rFonts w:ascii="仿宋_GB2312" w:hAnsi="宋体" w:eastAsia="仿宋_GB2312" w:cs="Courier New"/>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文星标宋">
    <w:altName w:val="微软雅黑"/>
    <w:panose1 w:val="02010604000101010101"/>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Calibri" w:hAnsi="Calibri" w:eastAsia="宋体" w:cs="黑体"/>
        <w:kern w:val="2"/>
        <w:sz w:val="18"/>
        <w:szCs w:val="24"/>
        <w:lang w:val="en-US" w:eastAsia="zh-CN" w:bidi="ar-SA"/>
      </w:rPr>
      <w:pict>
        <v:shape id="_x0000_s2049" o:spid="_x0000_s2049"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8A95B3E"/>
    <w:rsid w:val="4C725FA7"/>
    <w:rsid w:val="6BBC56C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link w:val="15"/>
    <w:qFormat/>
    <w:uiPriority w:val="0"/>
    <w:pPr>
      <w:autoSpaceDE w:val="0"/>
      <w:autoSpaceDN w:val="0"/>
      <w:adjustRightInd w:val="0"/>
      <w:ind w:left="761"/>
      <w:jc w:val="left"/>
    </w:pPr>
    <w:rPr>
      <w:rFonts w:ascii="仿宋_GB2312" w:hAnsi="Times New Roman" w:eastAsia="仿宋_GB2312" w:cs="仿宋_GB2312"/>
      <w:kern w:val="0"/>
      <w:sz w:val="32"/>
      <w:szCs w:val="32"/>
    </w:rPr>
  </w:style>
  <w:style w:type="paragraph" w:styleId="5">
    <w:name w:val="Balloon Text"/>
    <w:basedOn w:val="1"/>
    <w:link w:val="16"/>
    <w:unhideWhenUsed/>
    <w:uiPriority w:val="99"/>
    <w:rPr>
      <w:rFonts w:ascii="Times New Roman" w:hAnsi="Times New Roman" w:eastAsia="宋体" w:cs="Times New Roman"/>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0"/>
    <w:rPr>
      <w:b/>
    </w:rPr>
  </w:style>
  <w:style w:type="paragraph" w:customStyle="1" w:styleId="11">
    <w:name w:val="List Paragraph"/>
    <w:basedOn w:val="1"/>
    <w:uiPriority w:val="99"/>
    <w:pPr>
      <w:ind w:firstLine="420" w:firstLineChars="200"/>
    </w:pPr>
  </w:style>
  <w:style w:type="character" w:customStyle="1" w:styleId="12">
    <w:name w:val="font31"/>
    <w:basedOn w:val="9"/>
    <w:qFormat/>
    <w:uiPriority w:val="0"/>
    <w:rPr>
      <w:rFonts w:ascii="Arial" w:hAnsi="Arial" w:cs="Arial"/>
      <w:color w:val="000000"/>
      <w:sz w:val="16"/>
      <w:szCs w:val="16"/>
      <w:u w:val="none"/>
    </w:rPr>
  </w:style>
  <w:style w:type="character" w:customStyle="1" w:styleId="13">
    <w:name w:val="font01"/>
    <w:basedOn w:val="9"/>
    <w:qFormat/>
    <w:uiPriority w:val="0"/>
    <w:rPr>
      <w:rFonts w:hint="default" w:ascii="Arial" w:hAnsi="Arial" w:cs="Arial"/>
      <w:color w:val="000000"/>
      <w:sz w:val="16"/>
      <w:szCs w:val="16"/>
      <w:u w:val="none"/>
    </w:rPr>
  </w:style>
  <w:style w:type="character" w:customStyle="1" w:styleId="14">
    <w:name w:val="font41"/>
    <w:basedOn w:val="9"/>
    <w:qFormat/>
    <w:uiPriority w:val="0"/>
    <w:rPr>
      <w:rFonts w:hint="eastAsia" w:ascii="宋体" w:hAnsi="宋体" w:eastAsia="宋体" w:cs="宋体"/>
      <w:color w:val="000000"/>
      <w:sz w:val="16"/>
      <w:szCs w:val="16"/>
      <w:u w:val="none"/>
    </w:rPr>
  </w:style>
  <w:style w:type="character" w:customStyle="1" w:styleId="15">
    <w:name w:val="正文文本 字符"/>
    <w:link w:val="4"/>
    <w:uiPriority w:val="0"/>
    <w:rPr>
      <w:rFonts w:ascii="仿宋_GB2312" w:eastAsia="仿宋_GB2312" w:cs="仿宋_GB2312"/>
      <w:sz w:val="32"/>
      <w:szCs w:val="32"/>
    </w:rPr>
  </w:style>
  <w:style w:type="character" w:customStyle="1" w:styleId="16">
    <w:name w:val="批注框文本 字符"/>
    <w:link w:val="5"/>
    <w:uiPriority w:val="99"/>
    <w:rPr>
      <w:kern w:val="2"/>
      <w:sz w:val="18"/>
      <w:szCs w:val="18"/>
    </w:rPr>
  </w:style>
  <w:style w:type="character" w:customStyle="1" w:styleId="17">
    <w:name w:val="批注框文本 字符1"/>
    <w:basedOn w:val="9"/>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563</Words>
  <Characters>3213</Characters>
  <Lines>26</Lines>
  <Paragraphs>7</Paragraphs>
  <TotalTime>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wsj</dc:creator>
  <cp:lastModifiedBy>lenovo</cp:lastModifiedBy>
  <cp:lastPrinted>2020-01-22T00:38:00Z</cp:lastPrinted>
  <dcterms:modified xsi:type="dcterms:W3CDTF">2021-05-29T02:40:22Z</dcterms:modified>
  <dc:title>罗山县供销合作社联合社2019年部门预算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8530A47BFCC74EF3BB2FFF78448D8B6D</vt:lpwstr>
  </property>
</Properties>
</file>