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6"/>
          <w:szCs w:val="36"/>
        </w:rPr>
      </w:pPr>
      <w:bookmarkStart w:id="0" w:name="发文标题"/>
    </w:p>
    <w:p>
      <w:pPr>
        <w:jc w:val="center"/>
        <w:rPr>
          <w:rFonts w:ascii="仿宋_GB2312" w:eastAsia="仿宋_GB2312"/>
          <w:sz w:val="32"/>
          <w:szCs w:val="32"/>
        </w:rPr>
      </w:pPr>
    </w:p>
    <w:p>
      <w:pPr>
        <w:rPr>
          <w:rFonts w:ascii="仿宋_GB2312" w:eastAsia="仿宋_GB2312"/>
          <w:sz w:val="32"/>
          <w:szCs w:val="32"/>
        </w:rPr>
      </w:pPr>
    </w:p>
    <w:p>
      <w:pPr>
        <w:jc w:val="center"/>
        <w:rPr>
          <w:rFonts w:ascii="仿宋_GB2312" w:eastAsia="仿宋_GB2312"/>
          <w:sz w:val="32"/>
          <w:szCs w:val="32"/>
        </w:rPr>
      </w:pPr>
    </w:p>
    <w:bookmarkEnd w:id="0"/>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县委巡察办</w:t>
      </w:r>
    </w:p>
    <w:p>
      <w:pPr>
        <w:jc w:val="center"/>
        <w:rPr>
          <w:rFonts w:hint="eastAsia" w:ascii="黑体" w:hAnsi="黑体" w:eastAsia="黑体" w:cs="黑体"/>
          <w:sz w:val="52"/>
          <w:szCs w:val="52"/>
        </w:rPr>
      </w:pPr>
      <w:r>
        <w:rPr>
          <w:rFonts w:hint="eastAsia" w:ascii="黑体" w:hAnsi="黑体" w:eastAsia="黑体" w:cs="黑体"/>
          <w:sz w:val="52"/>
          <w:szCs w:val="52"/>
          <w:lang w:eastAsia="zh-CN"/>
        </w:rPr>
        <w:t>2019</w:t>
      </w:r>
      <w:r>
        <w:rPr>
          <w:rFonts w:hint="eastAsia" w:ascii="黑体" w:hAnsi="黑体" w:eastAsia="黑体" w:cs="黑体"/>
          <w:sz w:val="52"/>
          <w:szCs w:val="52"/>
        </w:rPr>
        <w:t>年度部门决算</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footerReference r:id="rId3" w:type="default"/>
          <w:footerReference r:id="rId4" w:type="even"/>
          <w:pgSz w:w="11906" w:h="16838"/>
          <w:pgMar w:top="1440" w:right="1531" w:bottom="1440" w:left="1587" w:header="850" w:footer="992" w:gutter="0"/>
          <w:pgNumType w:fmt="numberInDash" w:start="1"/>
          <w:cols w:space="720" w:num="1"/>
          <w:docGrid w:type="lines" w:linePitch="317" w:charSpace="0"/>
        </w:sectPr>
      </w:pPr>
      <w:r>
        <w:rPr>
          <w:rFonts w:hint="eastAsia" w:ascii="黑体" w:hAnsi="黑体" w:eastAsia="黑体" w:cs="黑体"/>
          <w:sz w:val="32"/>
          <w:szCs w:val="32"/>
        </w:rPr>
        <w:t>二〇</w:t>
      </w:r>
      <w:r>
        <w:rPr>
          <w:rFonts w:hint="eastAsia" w:ascii="黑体" w:hAnsi="黑体" w:eastAsia="黑体" w:cs="黑体"/>
          <w:sz w:val="32"/>
          <w:szCs w:val="32"/>
          <w:lang w:eastAsia="zh-CN"/>
        </w:rPr>
        <w:t>二</w:t>
      </w:r>
      <w:r>
        <w:rPr>
          <w:rFonts w:hint="eastAsia" w:ascii="黑体" w:hAnsi="黑体" w:eastAsia="黑体" w:cs="黑体"/>
          <w:sz w:val="32"/>
          <w:szCs w:val="32"/>
        </w:rPr>
        <w:t>〇年</w:t>
      </w:r>
      <w:r>
        <w:rPr>
          <w:rFonts w:hint="eastAsia" w:ascii="黑体" w:hAnsi="黑体" w:eastAsia="黑体" w:cs="黑体"/>
          <w:sz w:val="32"/>
          <w:szCs w:val="32"/>
          <w:lang w:eastAsia="zh-CN"/>
        </w:rPr>
        <w:t>十</w:t>
      </w:r>
      <w:r>
        <w:rPr>
          <w:rFonts w:hint="eastAsia" w:ascii="黑体" w:hAnsi="黑体" w:eastAsia="黑体" w:cs="黑体"/>
          <w:sz w:val="32"/>
          <w:szCs w:val="32"/>
        </w:rPr>
        <w:t>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县委巡察办</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主要职责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部门决算单位构成</w:t>
      </w:r>
    </w:p>
    <w:p>
      <w:pPr>
        <w:jc w:val="left"/>
        <w:rPr>
          <w:rFonts w:hint="eastAsia" w:ascii="黑体" w:hAnsi="黑体" w:eastAsia="黑体" w:cs="黑体"/>
          <w:sz w:val="32"/>
          <w:szCs w:val="32"/>
        </w:rPr>
      </w:pPr>
      <w:r>
        <w:rPr>
          <w:rFonts w:hint="eastAsia" w:ascii="黑体" w:hAnsi="黑体" w:eastAsia="黑体" w:cs="黑体"/>
          <w:sz w:val="32"/>
          <w:szCs w:val="32"/>
        </w:rPr>
        <w:t>第二部分　　县委巡察办</w:t>
      </w:r>
      <w:r>
        <w:rPr>
          <w:rFonts w:hint="eastAsia" w:ascii="黑体" w:hAnsi="黑体" w:eastAsia="黑体" w:cs="黑体"/>
          <w:sz w:val="32"/>
          <w:szCs w:val="32"/>
          <w:lang w:eastAsia="zh-CN"/>
        </w:rPr>
        <w:t>2019</w:t>
      </w:r>
      <w:r>
        <w:rPr>
          <w:rFonts w:hint="eastAsia" w:ascii="黑体" w:hAnsi="黑体" w:eastAsia="黑体" w:cs="黑体"/>
          <w:sz w:val="32"/>
          <w:szCs w:val="32"/>
        </w:rPr>
        <w:t>年度部门决算情况说明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一、关于收入支出决算总体情况说明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二、关于收入决算情况说明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三、关于支出决算情况说明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四、关于财政拨款收入支出决算总体情况说明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五、关于一般公共预算财政拨款支出决算情况说明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六、关于一般公共预算财政拨款基本支出决算情况说明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七、关于一般公共预算财政拨款“三公”经费支出决算情况说明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八、关于预算绩效情况说明</w:t>
      </w:r>
    </w:p>
    <w:p>
      <w:pPr>
        <w:ind w:firstLine="640" w:firstLineChars="200"/>
        <w:jc w:val="left"/>
        <w:rPr>
          <w:rFonts w:hint="eastAsia" w:ascii="宋体" w:hAnsi="宋体" w:cs="宋体"/>
          <w:sz w:val="32"/>
          <w:szCs w:val="32"/>
        </w:rPr>
      </w:pPr>
      <w:r>
        <w:rPr>
          <w:rFonts w:hint="eastAsia" w:ascii="宋体" w:hAnsi="宋体" w:cs="宋体"/>
          <w:sz w:val="32"/>
          <w:szCs w:val="32"/>
        </w:rPr>
        <w:t>九、关于政府性基金预算财政拨款支出决算情况说明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十、机关运行经费支出情况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十一、</w:t>
      </w:r>
      <w:r>
        <w:rPr>
          <w:rFonts w:hint="eastAsia" w:ascii="宋体" w:hAnsi="宋体" w:eastAsia="宋体" w:cs="宋体"/>
          <w:color w:val="auto"/>
          <w:sz w:val="32"/>
          <w:szCs w:val="32"/>
          <w:highlight w:val="none"/>
        </w:rPr>
        <w:t>政府采购支出情况</w:t>
      </w:r>
      <w:r>
        <w:rPr>
          <w:rFonts w:hint="eastAsia" w:ascii="宋体" w:hAnsi="宋体" w:eastAsia="宋体" w:cs="宋体"/>
          <w:color w:val="auto"/>
          <w:sz w:val="32"/>
          <w:szCs w:val="32"/>
          <w:highlight w:val="none"/>
          <w:lang w:eastAsia="zh-CN"/>
        </w:rPr>
        <w:t>说明</w:t>
      </w:r>
    </w:p>
    <w:p>
      <w:pPr>
        <w:ind w:firstLine="640" w:firstLineChars="2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十二、国有资产占用情况说明</w:t>
      </w:r>
    </w:p>
    <w:p>
      <w:pPr>
        <w:jc w:val="left"/>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县委巡察办部门决算名词解释</w:t>
      </w:r>
    </w:p>
    <w:p>
      <w:pPr>
        <w:jc w:val="left"/>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部分　　</w:t>
      </w:r>
      <w:r>
        <w:rPr>
          <w:rFonts w:hint="eastAsia" w:ascii="黑体" w:hAnsi="黑体" w:eastAsia="黑体" w:cs="黑体"/>
          <w:color w:val="auto"/>
          <w:sz w:val="32"/>
          <w:szCs w:val="32"/>
          <w:highlight w:val="none"/>
          <w:lang w:eastAsia="zh-CN"/>
        </w:rPr>
        <w:t>2019年度</w:t>
      </w:r>
      <w:r>
        <w:rPr>
          <w:rFonts w:hint="eastAsia" w:ascii="黑体" w:hAnsi="黑体" w:eastAsia="黑体" w:cs="黑体"/>
          <w:color w:val="auto"/>
          <w:sz w:val="32"/>
          <w:szCs w:val="32"/>
          <w:highlight w:val="none"/>
        </w:rPr>
        <w:t>部门决算</w:t>
      </w:r>
      <w:r>
        <w:rPr>
          <w:rFonts w:hint="eastAsia" w:ascii="黑体" w:hAnsi="黑体" w:eastAsia="黑体" w:cs="黑体"/>
          <w:color w:val="auto"/>
          <w:sz w:val="32"/>
          <w:szCs w:val="32"/>
          <w:highlight w:val="none"/>
          <w:lang w:eastAsia="zh-CN"/>
        </w:rPr>
        <w:t>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一、收入支出决算总表</w:t>
      </w:r>
    </w:p>
    <w:p>
      <w:pPr>
        <w:ind w:firstLine="640" w:firstLineChars="200"/>
        <w:jc w:val="lef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二、收入决算表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三、支出决算表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四、财政拨款收入支出决算总表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五、一般公共预算财政拨款支出决算表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六、一般公共预算财政拨款基本支出决算表</w:t>
      </w:r>
    </w:p>
    <w:p>
      <w:pPr>
        <w:ind w:firstLine="640" w:firstLineChars="200"/>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七、一般公共预算财政拨款“三公”经费支出决算表</w:t>
      </w:r>
    </w:p>
    <w:p>
      <w:pPr>
        <w:ind w:firstLine="640" w:firstLineChars="200"/>
        <w:jc w:val="left"/>
        <w:rPr>
          <w:rFonts w:ascii="宋体" w:hAnsi="宋体" w:cs="宋体"/>
          <w:sz w:val="32"/>
          <w:szCs w:val="32"/>
        </w:rPr>
      </w:pPr>
      <w:r>
        <w:rPr>
          <w:rFonts w:hint="eastAsia" w:ascii="宋体" w:hAnsi="宋体" w:eastAsia="宋体" w:cs="宋体"/>
          <w:color w:val="auto"/>
          <w:sz w:val="32"/>
          <w:szCs w:val="32"/>
          <w:highlight w:val="none"/>
        </w:rPr>
        <w:t>八、政府性基金预算财政拨款收入支出决算表</w:t>
      </w:r>
    </w:p>
    <w:p>
      <w:pPr>
        <w:jc w:val="left"/>
        <w:rPr>
          <w:rFonts w:hint="eastAsia" w:ascii="黑体" w:hAnsi="黑体" w:eastAsia="黑体" w:cs="黑体"/>
          <w:sz w:val="32"/>
          <w:szCs w:val="32"/>
        </w:rPr>
        <w:sectPr>
          <w:footerReference r:id="rId5" w:type="default"/>
          <w:pgSz w:w="11906" w:h="16838"/>
          <w:pgMar w:top="1440" w:right="1531" w:bottom="1440" w:left="1587" w:header="850" w:footer="992" w:gutter="0"/>
          <w:pgNumType w:fmt="numberInDash"/>
          <w:cols w:space="720" w:num="1"/>
          <w:docGrid w:type="lines" w:linePitch="317" w:charSpace="0"/>
        </w:sect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jc w:val="left"/>
        <w:rPr>
          <w:rFonts w:hint="eastAsia" w:ascii="黑体" w:hAnsi="黑体" w:eastAsia="黑体" w:cs="黑体"/>
          <w:sz w:val="32"/>
          <w:szCs w:val="32"/>
        </w:rPr>
      </w:pPr>
      <w:r>
        <w:rPr>
          <w:rFonts w:hint="eastAsia" w:ascii="黑体" w:hAnsi="黑体" w:eastAsia="黑体" w:cs="黑体"/>
          <w:sz w:val="48"/>
          <w:szCs w:val="48"/>
        </w:rPr>
        <w:t>第一部分　　县委巡察办概况</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一、主要职责</w:t>
      </w:r>
    </w:p>
    <w:p>
      <w:pPr>
        <w:pStyle w:val="5"/>
        <w:shd w:val="clear" w:color="auto" w:fill="FFFFFF"/>
        <w:spacing w:before="180" w:beforeAutospacing="0" w:after="180" w:afterAutospacing="0"/>
        <w:ind w:firstLine="800" w:firstLineChars="250"/>
        <w:rPr>
          <w:rFonts w:hint="eastAsia" w:ascii="黑体" w:hAnsi="黑体" w:eastAsia="黑体"/>
          <w:color w:val="000000"/>
          <w:sz w:val="32"/>
          <w:szCs w:val="32"/>
        </w:rPr>
      </w:pPr>
      <w:r>
        <w:rPr>
          <w:rFonts w:hint="eastAsia" w:ascii="黑体" w:hAnsi="黑体" w:eastAsia="黑体"/>
          <w:color w:val="000000"/>
          <w:sz w:val="32"/>
          <w:szCs w:val="32"/>
        </w:rPr>
        <w:t>（一）向巡察工作领导小组报告工作情况，传达贯彻巡察工作领导小组的决策和部署；</w:t>
      </w:r>
    </w:p>
    <w:p>
      <w:pPr>
        <w:pStyle w:val="5"/>
        <w:shd w:val="clear" w:color="auto" w:fill="FFFFFF"/>
        <w:spacing w:before="180" w:beforeAutospacing="0" w:after="180" w:afterAutospacing="0"/>
        <w:rPr>
          <w:rFonts w:hint="eastAsia" w:ascii="黑体" w:hAnsi="黑体" w:eastAsia="黑体"/>
          <w:color w:val="000000"/>
          <w:sz w:val="32"/>
          <w:szCs w:val="32"/>
        </w:rPr>
      </w:pPr>
      <w:r>
        <w:rPr>
          <w:rFonts w:hint="eastAsia" w:ascii="黑体" w:hAnsi="黑体" w:eastAsia="黑体"/>
          <w:color w:val="000000"/>
          <w:sz w:val="32"/>
          <w:szCs w:val="32"/>
        </w:rPr>
        <w:t>　　（二）统筹、协调、指导巡察组开展工作；</w:t>
      </w:r>
    </w:p>
    <w:p>
      <w:pPr>
        <w:pStyle w:val="5"/>
        <w:shd w:val="clear" w:color="auto" w:fill="FFFFFF"/>
        <w:spacing w:before="180" w:beforeAutospacing="0" w:after="180" w:afterAutospacing="0"/>
        <w:rPr>
          <w:rFonts w:hint="eastAsia" w:ascii="黑体" w:hAnsi="黑体" w:eastAsia="黑体"/>
          <w:color w:val="000000"/>
          <w:sz w:val="32"/>
          <w:szCs w:val="32"/>
        </w:rPr>
      </w:pPr>
      <w:r>
        <w:rPr>
          <w:rFonts w:hint="eastAsia" w:ascii="黑体" w:hAnsi="黑体" w:eastAsia="黑体"/>
          <w:color w:val="000000"/>
          <w:sz w:val="32"/>
          <w:szCs w:val="32"/>
        </w:rPr>
        <w:t>　　（三）承担政策研究、制度建设等工作；</w:t>
      </w:r>
    </w:p>
    <w:p>
      <w:pPr>
        <w:pStyle w:val="5"/>
        <w:shd w:val="clear" w:color="auto" w:fill="FFFFFF"/>
        <w:spacing w:before="180" w:beforeAutospacing="0" w:after="180" w:afterAutospacing="0"/>
        <w:rPr>
          <w:rFonts w:hint="eastAsia" w:ascii="黑体" w:hAnsi="黑体" w:eastAsia="黑体"/>
          <w:color w:val="000000"/>
          <w:sz w:val="32"/>
          <w:szCs w:val="32"/>
        </w:rPr>
      </w:pPr>
      <w:r>
        <w:rPr>
          <w:rFonts w:hint="eastAsia" w:ascii="黑体" w:hAnsi="黑体" w:eastAsia="黑体"/>
          <w:color w:val="000000"/>
          <w:sz w:val="32"/>
          <w:szCs w:val="32"/>
        </w:rPr>
        <w:t>　　（四）对派出巡察组的党组织、巡察工作领导小组决定的事项进行督办；</w:t>
      </w:r>
    </w:p>
    <w:p>
      <w:pPr>
        <w:pStyle w:val="5"/>
        <w:shd w:val="clear" w:color="auto" w:fill="FFFFFF"/>
        <w:spacing w:before="180" w:beforeAutospacing="0" w:after="180" w:afterAutospacing="0"/>
        <w:rPr>
          <w:rFonts w:hint="eastAsia" w:ascii="黑体" w:hAnsi="黑体" w:eastAsia="黑体"/>
          <w:color w:val="000000"/>
          <w:sz w:val="32"/>
          <w:szCs w:val="32"/>
        </w:rPr>
      </w:pPr>
      <w:r>
        <w:rPr>
          <w:rFonts w:hint="eastAsia" w:ascii="黑体" w:hAnsi="黑体" w:eastAsia="黑体"/>
          <w:color w:val="000000"/>
          <w:sz w:val="32"/>
          <w:szCs w:val="32"/>
        </w:rPr>
        <w:t>　　（五）配合有关部门对巡察工作人员进行培训、考核、监督和管理；</w:t>
      </w:r>
    </w:p>
    <w:p>
      <w:pPr>
        <w:pStyle w:val="5"/>
        <w:shd w:val="clear" w:color="auto" w:fill="FFFFFF"/>
        <w:spacing w:before="180" w:beforeAutospacing="0" w:after="180" w:afterAutospacing="0"/>
        <w:rPr>
          <w:rFonts w:hint="eastAsia" w:ascii="黑体" w:hAnsi="黑体" w:eastAsia="黑体"/>
          <w:color w:val="000000"/>
          <w:sz w:val="32"/>
          <w:szCs w:val="32"/>
        </w:rPr>
      </w:pPr>
      <w:r>
        <w:rPr>
          <w:rFonts w:hint="eastAsia" w:ascii="黑体" w:hAnsi="黑体" w:eastAsia="黑体"/>
          <w:color w:val="000000"/>
          <w:sz w:val="32"/>
          <w:szCs w:val="32"/>
        </w:rPr>
        <w:t>　　（六）办理巡察工作领导小组交办的其他事项。</w:t>
      </w:r>
    </w:p>
    <w:p>
      <w:pPr>
        <w:widowControl/>
        <w:ind w:firstLine="640" w:firstLineChars="20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二、机构设置及部门决算单位构成</w:t>
      </w:r>
    </w:p>
    <w:p>
      <w:pPr>
        <w:ind w:firstLine="640" w:firstLineChars="200"/>
        <w:rPr>
          <w:rFonts w:hint="eastAsia" w:ascii="黑体" w:hAnsi="黑体" w:eastAsia="黑体"/>
          <w:color w:val="000000"/>
          <w:sz w:val="32"/>
          <w:szCs w:val="32"/>
          <w:shd w:val="clear" w:color="auto" w:fill="FFFFFF"/>
        </w:rPr>
      </w:pPr>
      <w:r>
        <w:rPr>
          <w:rFonts w:hint="eastAsia" w:ascii="黑体" w:hAnsi="黑体" w:eastAsia="黑体"/>
          <w:color w:val="000000"/>
          <w:sz w:val="32"/>
          <w:szCs w:val="32"/>
          <w:shd w:val="clear" w:color="auto" w:fill="FFFFFF"/>
        </w:rPr>
        <w:t>机构设置：县委巡察机构设立“一办四组”，即：县委巡察工作领导小组办公室和四个巡察组，其中县委巡察工作领导小组办公室为县委巡察工作领导小组日常办事机构；</w:t>
      </w:r>
    </w:p>
    <w:p>
      <w:pPr>
        <w:ind w:firstLine="480" w:firstLineChars="150"/>
        <w:jc w:val="left"/>
        <w:rPr>
          <w:rFonts w:ascii="黑体" w:hAnsi="黑体" w:eastAsia="黑体" w:cs="宋体"/>
          <w:sz w:val="32"/>
          <w:szCs w:val="32"/>
        </w:rPr>
      </w:pPr>
      <w:r>
        <w:rPr>
          <w:rFonts w:hint="eastAsia" w:ascii="黑体" w:hAnsi="黑体" w:eastAsia="黑体" w:cs="宋体"/>
          <w:sz w:val="32"/>
          <w:szCs w:val="32"/>
        </w:rPr>
        <w:t>部门决算单位构成：巡察机构本级。</w:t>
      </w:r>
    </w:p>
    <w:p>
      <w:pPr>
        <w:ind w:firstLine="640" w:firstLineChars="200"/>
        <w:rPr>
          <w:rFonts w:hint="eastAsia" w:ascii="仿宋" w:hAnsi="仿宋" w:eastAsia="仿宋"/>
          <w:sz w:val="32"/>
          <w:szCs w:val="32"/>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w:t>
      </w:r>
    </w:p>
    <w:p>
      <w:pPr>
        <w:jc w:val="center"/>
        <w:outlineLvl w:val="0"/>
        <w:rPr>
          <w:rFonts w:ascii="黑体" w:hAnsi="黑体" w:eastAsia="黑体" w:cs="黑体"/>
          <w:sz w:val="48"/>
          <w:szCs w:val="48"/>
        </w:rPr>
      </w:pPr>
      <w:r>
        <w:rPr>
          <w:rFonts w:hint="eastAsia" w:ascii="黑体" w:hAnsi="黑体" w:eastAsia="黑体" w:cs="黑体"/>
          <w:sz w:val="48"/>
          <w:szCs w:val="48"/>
        </w:rPr>
        <w:t>县委巡察办</w:t>
      </w:r>
    </w:p>
    <w:p>
      <w:pPr>
        <w:widowControl/>
        <w:jc w:val="center"/>
        <w:rPr>
          <w:rFonts w:hint="eastAsia" w:ascii="黑体" w:hAnsi="黑体" w:eastAsia="黑体" w:cs="黑体"/>
          <w:sz w:val="48"/>
          <w:szCs w:val="48"/>
        </w:rPr>
      </w:pPr>
      <w:r>
        <w:rPr>
          <w:rFonts w:hint="eastAsia" w:ascii="黑体" w:hAnsi="黑体" w:eastAsia="黑体" w:cs="黑体"/>
          <w:sz w:val="48"/>
          <w:szCs w:val="48"/>
          <w:lang w:eastAsia="zh-CN"/>
        </w:rPr>
        <w:t>2019</w:t>
      </w:r>
      <w:r>
        <w:rPr>
          <w:rFonts w:hint="eastAsia" w:ascii="黑体" w:hAnsi="黑体" w:eastAsia="黑体" w:cs="黑体"/>
          <w:sz w:val="48"/>
          <w:szCs w:val="48"/>
        </w:rPr>
        <w:t>年度部门决算情况说明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cols w:space="720" w:num="1"/>
          <w:docGrid w:type="lines" w:linePitch="312" w:charSpace="0"/>
        </w:sectPr>
      </w:pP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一、关于收入支出决算总体情况说明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年度收入总计</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%。收入变动的主要原因是：预算拨款增加，支出变动的主要原因：人员工资增加。</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二、关于收入决算情况说明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万元，占100%。与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%。收入变动的主要原因是：预算拨款增加，支出变动的主要原因：人员工资增加。</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三、关于支出决算情况说明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万元，占100%。与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%。收入变动的主要原因是：预算拨款增加，支出变动的主要原因：人员工资增加。</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四、关于财政拨款收入支出决算总体情况说明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年财政拨款收支总决算</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年相比，财政拨款收、支总计各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%变动的主要原因：预算拨款增加、人员工资增加。</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五、关于一般公共预算财政拨款支出决算情况说明</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（一）财政拨款支出决算总体情况。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万元，占支出合计的100%。与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年相比，一般公共预算财政拨款支出增加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%。变动的主要原因：人员工资增加。</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（二）财政拨款支出决算结构情况。</w:t>
      </w:r>
    </w:p>
    <w:p>
      <w:pPr>
        <w:widowControl/>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%。收入变动的主要原因是：预算拨款增加，支出变动的主要原因：人员工资增加。</w:t>
      </w:r>
    </w:p>
    <w:p>
      <w:pPr>
        <w:widowControl/>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（三）财政拨款支出决算具体情况。</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万元，完成年初预算的100%。其中：</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一般公共服务（类）财政事务（款）行政运行（项）。年初预算为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万元，完成年初预算的100%。</w:t>
      </w:r>
    </w:p>
    <w:p>
      <w:pPr>
        <w:widowControl/>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六、关于一般公共预算财政拨款基本支出决算情况说明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185.9836</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84.1451万元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13.6442万元</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机关事业单位基本养老保险缴费37.2288万元、其他社会保障缴费8.11万元、住房公积金11.0416万元，</w:t>
      </w:r>
      <w:r>
        <w:rPr>
          <w:rFonts w:hint="eastAsia" w:ascii="仿宋_GB2312" w:hAnsi="仿宋_GB2312" w:eastAsia="仿宋_GB2312" w:cs="仿宋_GB2312"/>
          <w:sz w:val="32"/>
          <w:szCs w:val="32"/>
          <w:lang w:eastAsia="zh-CN"/>
        </w:rPr>
        <w:t>生活补助经费</w:t>
      </w:r>
      <w:r>
        <w:rPr>
          <w:rFonts w:hint="eastAsia" w:ascii="仿宋_GB2312" w:hAnsi="仿宋_GB2312" w:eastAsia="仿宋_GB2312" w:cs="仿宋_GB2312"/>
          <w:sz w:val="32"/>
          <w:szCs w:val="32"/>
          <w:lang w:val="en-US" w:eastAsia="zh-CN"/>
        </w:rPr>
        <w:t>4.071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商品和服务支出费用</w:t>
      </w:r>
      <w:r>
        <w:rPr>
          <w:rFonts w:hint="eastAsia" w:ascii="仿宋_GB2312" w:hAnsi="仿宋_GB2312" w:eastAsia="仿宋_GB2312" w:cs="仿宋_GB2312"/>
          <w:sz w:val="32"/>
          <w:szCs w:val="32"/>
          <w:lang w:val="en-US" w:eastAsia="zh-CN"/>
        </w:rPr>
        <w:t>68.1170万元，</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val="en-US" w:eastAsia="zh-CN"/>
        </w:rPr>
        <w:t>11.5477万元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水费</w:t>
      </w:r>
      <w:r>
        <w:rPr>
          <w:rFonts w:hint="eastAsia" w:ascii="仿宋_GB2312" w:hAnsi="仿宋_GB2312" w:eastAsia="仿宋_GB2312" w:cs="仿宋_GB2312"/>
          <w:sz w:val="32"/>
          <w:szCs w:val="32"/>
          <w:lang w:val="en-US" w:eastAsia="zh-CN"/>
        </w:rPr>
        <w:t>0.108万元、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18.144万元</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6.1842万元、邮电费1.7316万元、培训费2.6279万元、工会经费4.39万元、福利费7.4133万元，其他商品和服务支出15.97万元</w:t>
      </w:r>
      <w:r>
        <w:rPr>
          <w:rFonts w:hint="eastAsia" w:ascii="仿宋_GB2312" w:hAnsi="仿宋_GB2312" w:eastAsia="仿宋_GB2312" w:cs="仿宋_GB2312"/>
          <w:sz w:val="32"/>
          <w:szCs w:val="32"/>
        </w:rPr>
        <w:t>等。与</w:t>
      </w:r>
      <w:r>
        <w:rPr>
          <w:rFonts w:hint="eastAsia" w:ascii="仿宋_GB2312" w:hAnsi="仿宋_GB2312" w:eastAsia="仿宋_GB2312" w:cs="仿宋_GB2312"/>
          <w:sz w:val="32"/>
          <w:szCs w:val="32"/>
          <w:lang w:eastAsia="zh-CN"/>
        </w:rPr>
        <w:t>2018</w:t>
      </w:r>
      <w:r>
        <w:rPr>
          <w:rFonts w:hint="eastAsia" w:ascii="仿宋_GB2312" w:hAnsi="仿宋_GB2312" w:eastAsia="仿宋_GB2312" w:cs="仿宋_GB2312"/>
          <w:sz w:val="32"/>
          <w:szCs w:val="32"/>
        </w:rPr>
        <w:t>年相比，一般公共预算财政拨款基本支出增加</w:t>
      </w:r>
      <w:r>
        <w:rPr>
          <w:rFonts w:hint="eastAsia" w:ascii="仿宋_GB2312" w:hAnsi="仿宋_GB2312" w:eastAsia="仿宋_GB2312" w:cs="仿宋_GB2312"/>
          <w:sz w:val="32"/>
          <w:szCs w:val="32"/>
          <w:lang w:val="en-US" w:eastAsia="zh-CN"/>
        </w:rPr>
        <w:t>54.4097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%。变动的主要原因：人员工资增加。</w:t>
      </w:r>
    </w:p>
    <w:p>
      <w:pPr>
        <w:widowControl/>
        <w:numPr>
          <w:ilvl w:val="0"/>
          <w:numId w:val="2"/>
        </w:numPr>
        <w:ind w:firstLine="640" w:firstLineChars="200"/>
        <w:jc w:val="left"/>
        <w:rPr>
          <w:rFonts w:hint="eastAsia" w:ascii="黑体" w:hAnsi="黑体" w:eastAsia="黑体" w:cs="黑体"/>
          <w:sz w:val="32"/>
          <w:szCs w:val="32"/>
        </w:rPr>
      </w:pPr>
      <w:r>
        <w:rPr>
          <w:rFonts w:hint="eastAsia" w:ascii="黑体" w:hAnsi="黑体" w:eastAsia="黑体" w:cs="黑体"/>
          <w:sz w:val="32"/>
          <w:szCs w:val="32"/>
        </w:rPr>
        <w:t>关于一般公共预算财政拨款“三公”经费支出决算情况说明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（一）“三公”经费财政拨款支出决算总体情况说明。</w:t>
      </w:r>
    </w:p>
    <w:p>
      <w:pPr>
        <w:widowControl/>
        <w:numPr>
          <w:ilvl w:val="0"/>
          <w:numId w:val="0"/>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2019年度“三公”经费财政拨款支出预算为</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color w:val="auto"/>
          <w:sz w:val="32"/>
          <w:szCs w:val="32"/>
          <w:highlight w:val="none"/>
          <w:lang w:val="en-US" w:eastAsia="zh-CN"/>
        </w:rPr>
        <w:t>万元，完成预算的100%。</w:t>
      </w:r>
      <w:r>
        <w:rPr>
          <w:rFonts w:hint="eastAsia" w:ascii="仿宋_GB2312" w:hAnsi="仿宋_GB2312" w:eastAsia="仿宋_GB2312" w:cs="仿宋_GB2312"/>
          <w:sz w:val="32"/>
          <w:szCs w:val="32"/>
        </w:rPr>
        <w:t>2019年度“三公”经费支出决算数与预算数不存在差异。</w:t>
      </w:r>
    </w:p>
    <w:p>
      <w:pPr>
        <w:widowControl/>
        <w:numPr>
          <w:ilvl w:val="0"/>
          <w:numId w:val="0"/>
        </w:num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相比2018</w:t>
      </w:r>
      <w:r>
        <w:rPr>
          <w:rFonts w:hint="eastAsia" w:ascii="仿宋_GB2312" w:hAnsi="仿宋_GB2312" w:eastAsia="仿宋_GB2312" w:cs="仿宋_GB2312"/>
          <w:b/>
          <w:bCs/>
          <w:color w:val="auto"/>
          <w:sz w:val="32"/>
          <w:szCs w:val="32"/>
          <w:highlight w:val="none"/>
          <w:lang w:val="en-US" w:eastAsia="zh-CN"/>
        </w:rPr>
        <w:t>公务用车运行支出</w:t>
      </w:r>
      <w:r>
        <w:rPr>
          <w:rFonts w:hint="eastAsia" w:ascii="仿宋_GB2312" w:hAnsi="仿宋_GB2312" w:eastAsia="仿宋_GB2312" w:cs="仿宋_GB2312"/>
          <w:color w:val="auto"/>
          <w:sz w:val="32"/>
          <w:szCs w:val="32"/>
          <w:highlight w:val="none"/>
          <w:lang w:val="en-US" w:eastAsia="zh-CN"/>
        </w:rPr>
        <w:t>5.1552万元，增加1.03万元。增加原因：巡察全覆盖任务要求对所辖村居开展巡察。</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（二）“三公”经费财政拨款支出决算具体情况说明。</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ab/>
      </w: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年初预算为0万元，支出决算为0万元，完成年初预算的100%。决算数与年初预算数不存在差异。</w:t>
      </w:r>
      <w:r>
        <w:rPr>
          <w:rFonts w:hint="eastAsia" w:ascii="仿宋" w:hAnsi="仿宋" w:eastAsia="仿宋" w:cs="仿宋"/>
          <w:sz w:val="32"/>
          <w:szCs w:val="32"/>
        </w:rPr>
        <w:t>年初预算为0万元，支出决算为0万元，完成年初预算的0%。决算数与年初预算数存在差异的主要原因是无。</w:t>
      </w:r>
      <w:r>
        <w:rPr>
          <w:rFonts w:hint="eastAsia" w:ascii="仿宋" w:hAnsi="仿宋" w:eastAsia="仿宋" w:cs="仿宋"/>
          <w:sz w:val="32"/>
          <w:szCs w:val="32"/>
          <w:u w:val="wave"/>
        </w:rPr>
        <w:t>全年因公出国（境）团组0个，累计0人次。</w:t>
      </w:r>
      <w:r>
        <w:rPr>
          <w:rFonts w:hint="eastAsia" w:ascii="仿宋" w:hAnsi="仿宋" w:eastAsia="仿宋" w:cs="仿宋"/>
          <w:sz w:val="32"/>
          <w:szCs w:val="32"/>
        </w:rPr>
        <w:t>开支内容包括：无。</w:t>
      </w:r>
    </w:p>
    <w:p>
      <w:pPr>
        <w:widowControl/>
        <w:spacing w:line="590" w:lineRule="exact"/>
        <w:ind w:firstLine="643" w:firstLineChars="200"/>
        <w:rPr>
          <w:rFonts w:hint="eastAsia" w:ascii="仿宋" w:hAnsi="仿宋" w:eastAsia="仿宋" w:cs="仿宋"/>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年</w:t>
      </w:r>
      <w:r>
        <w:rPr>
          <w:rFonts w:hint="eastAsia" w:ascii="仿宋_GB2312" w:hAnsi="仿宋_GB2312" w:eastAsia="仿宋_GB2312" w:cs="仿宋_GB2312"/>
          <w:sz w:val="32"/>
          <w:szCs w:val="32"/>
        </w:rPr>
        <w:t>初预算为</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sz w:val="32"/>
          <w:szCs w:val="32"/>
        </w:rPr>
        <w:t>万元，完成年初预算的100%。其中公务用车购置费年初预算为0万元，支出决算0万元，公务用车运行费年初预算为</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6.1842</w:t>
      </w:r>
      <w:r>
        <w:rPr>
          <w:rFonts w:hint="eastAsia" w:ascii="仿宋_GB2312" w:hAnsi="仿宋_GB2312" w:eastAsia="仿宋_GB2312" w:cs="仿宋_GB2312"/>
          <w:sz w:val="32"/>
          <w:szCs w:val="32"/>
        </w:rPr>
        <w:t>万元。2019年购置公务用车0辆，公务用车保有量为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辆。</w:t>
      </w:r>
    </w:p>
    <w:p>
      <w:pPr>
        <w:widowControl/>
        <w:spacing w:line="590" w:lineRule="exact"/>
        <w:ind w:firstLine="640" w:firstLineChars="200"/>
        <w:rPr>
          <w:rFonts w:hint="eastAsia" w:ascii="仿宋_GB2312" w:hAnsi="仿宋_GB2312" w:eastAsia="仿宋_GB2312" w:cs="仿宋_GB2312"/>
          <w:sz w:val="32"/>
          <w:szCs w:val="32"/>
        </w:rPr>
      </w:pPr>
    </w:p>
    <w:p>
      <w:pPr>
        <w:widowControl/>
        <w:spacing w:line="590" w:lineRule="atLeas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val="en-US" w:eastAsia="zh-CN"/>
        </w:rPr>
        <w:t>年</w:t>
      </w:r>
      <w:r>
        <w:rPr>
          <w:rFonts w:hint="eastAsia" w:ascii="仿宋_GB2312" w:hAnsi="仿宋_GB2312" w:eastAsia="仿宋_GB2312" w:cs="仿宋_GB2312"/>
          <w:sz w:val="32"/>
          <w:szCs w:val="32"/>
        </w:rPr>
        <w:t>初预算为0万元，支出决算为0万元，完成年初预算的100%。决算数与年初预算数不存在差异。其中：</w:t>
      </w:r>
    </w:p>
    <w:p>
      <w:pPr>
        <w:widowControl/>
        <w:spacing w:line="590" w:lineRule="exact"/>
        <w:ind w:firstLine="643" w:firstLineChars="200"/>
        <w:rPr>
          <w:rFonts w:hint="default" w:ascii="仿宋_GB2312" w:hAnsi="仿宋_GB2312" w:eastAsia="仿宋_GB2312" w:cs="仿宋_GB2312"/>
          <w:kern w:val="2"/>
          <w:sz w:val="32"/>
          <w:szCs w:val="32"/>
          <w:lang w:val="en-US" w:eastAsia="zh-CN"/>
        </w:rPr>
      </w:pPr>
      <w:r>
        <w:rPr>
          <w:rFonts w:hint="eastAsia" w:ascii="仿宋" w:hAnsi="仿宋" w:eastAsia="仿宋" w:cs="仿宋"/>
          <w:b/>
          <w:bCs/>
          <w:sz w:val="32"/>
          <w:szCs w:val="32"/>
        </w:rPr>
        <w:t>外宾接待支出</w:t>
      </w:r>
      <w:r>
        <w:rPr>
          <w:rFonts w:hint="eastAsia" w:ascii="仿宋" w:hAnsi="仿宋" w:eastAsia="仿宋" w:cs="仿宋"/>
          <w:sz w:val="32"/>
          <w:szCs w:val="32"/>
        </w:rPr>
        <w:t>0万元。主要用于无。2019年共接待国（境）外来访团组0个、来访外宾0人次（不包括陪同人员）。来访人员主要包括：无等。</w:t>
      </w:r>
    </w:p>
    <w:p>
      <w:pPr>
        <w:pStyle w:val="5"/>
        <w:spacing w:before="0" w:beforeAutospacing="0" w:line="400" w:lineRule="exact"/>
        <w:ind w:firstLine="643" w:firstLineChars="200"/>
        <w:rPr>
          <w:rFonts w:hint="eastAsia" w:ascii="仿宋_GB2312" w:hAnsi="仿宋_GB2312" w:eastAsia="仿宋_GB2312" w:cs="仿宋_GB2312"/>
          <w:b/>
          <w:bCs/>
          <w:sz w:val="32"/>
          <w:szCs w:val="32"/>
        </w:rPr>
      </w:pPr>
    </w:p>
    <w:p>
      <w:pPr>
        <w:pStyle w:val="5"/>
        <w:spacing w:before="0" w:beforeAutospacing="0" w:line="400" w:lineRule="exact"/>
        <w:ind w:firstLine="643" w:firstLineChars="200"/>
        <w:rPr>
          <w:rFonts w:hint="eastAsia" w:ascii="仿宋_GB2312" w:hAnsi="仿宋_GB2312" w:eastAsia="仿宋" w:cs="仿宋_GB2312"/>
          <w:sz w:val="32"/>
          <w:szCs w:val="32"/>
          <w:lang w:val="en-US" w:eastAsia="zh-CN"/>
        </w:rPr>
      </w:pPr>
      <w:r>
        <w:rPr>
          <w:rFonts w:hint="eastAsia" w:ascii="仿宋_GB2312" w:hAnsi="仿宋_GB2312" w:eastAsia="仿宋_GB2312" w:cs="仿宋_GB2312"/>
          <w:b/>
          <w:bCs/>
          <w:sz w:val="32"/>
          <w:szCs w:val="32"/>
        </w:rPr>
        <w:t>其他国内公务接待支出</w:t>
      </w:r>
      <w:r>
        <w:rPr>
          <w:rFonts w:hint="eastAsia" w:ascii="仿宋" w:hAnsi="仿宋" w:eastAsia="仿宋" w:cs="仿宋"/>
          <w:kern w:val="2"/>
          <w:sz w:val="32"/>
          <w:szCs w:val="32"/>
          <w:lang w:val="en-US" w:eastAsia="zh-CN" w:bidi="ar-SA"/>
        </w:rPr>
        <w:t>0万元。2019年共接待国内来访团组0个、来宾0人次（不包括陪同人员）。</w:t>
      </w:r>
    </w:p>
    <w:p>
      <w:pPr>
        <w:ind w:firstLine="640" w:firstLineChars="200"/>
        <w:jc w:val="left"/>
        <w:rPr>
          <w:rFonts w:hint="eastAsia" w:ascii="黑体" w:hAnsi="黑体" w:eastAsia="黑体" w:cs="宋体"/>
          <w:sz w:val="32"/>
          <w:szCs w:val="32"/>
        </w:rPr>
      </w:pPr>
      <w:r>
        <w:rPr>
          <w:rFonts w:hint="eastAsia" w:ascii="黑体" w:hAnsi="黑体" w:eastAsia="黑体" w:cs="黑体"/>
          <w:sz w:val="32"/>
          <w:szCs w:val="32"/>
        </w:rPr>
        <w:t>八、</w:t>
      </w:r>
      <w:r>
        <w:rPr>
          <w:rFonts w:hint="eastAsia" w:ascii="黑体" w:hAnsi="黑体" w:eastAsia="黑体" w:cs="宋体"/>
          <w:sz w:val="32"/>
          <w:szCs w:val="32"/>
        </w:rPr>
        <w:t>关于预算绩效情况说明</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2019年，根据《预算法》，认真贯彻落实上级有关文件精神，按照年初预算认真开展执行各项工作，取得较好的成绩。</w:t>
      </w:r>
    </w:p>
    <w:p>
      <w:pPr>
        <w:widowControl/>
        <w:ind w:firstLine="640" w:firstLineChars="200"/>
        <w:jc w:val="left"/>
        <w:rPr>
          <w:rFonts w:hint="eastAsia" w:ascii="黑体" w:hAnsi="黑体" w:eastAsia="黑体" w:cs="黑体"/>
          <w:sz w:val="32"/>
          <w:szCs w:val="32"/>
        </w:rPr>
      </w:pPr>
      <w:r>
        <w:rPr>
          <w:rFonts w:hint="eastAsia" w:ascii="仿宋_GB2312" w:hAnsi="仿宋_GB2312" w:eastAsia="仿宋_GB2312" w:cs="仿宋_GB2312"/>
          <w:sz w:val="32"/>
          <w:szCs w:val="32"/>
        </w:rPr>
        <w:t>县预算指标下达后，</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召开了</w:t>
      </w:r>
      <w:r>
        <w:rPr>
          <w:rFonts w:hint="eastAsia" w:ascii="仿宋_GB2312" w:hAnsi="仿宋_GB2312" w:eastAsia="仿宋_GB2312" w:cs="仿宋_GB2312"/>
          <w:sz w:val="32"/>
          <w:szCs w:val="32"/>
          <w:lang w:val="en-US" w:eastAsia="zh-CN"/>
        </w:rPr>
        <w:t>班子</w:t>
      </w:r>
      <w:r>
        <w:rPr>
          <w:rFonts w:hint="eastAsia" w:ascii="仿宋_GB2312" w:hAnsi="仿宋_GB2312" w:eastAsia="仿宋_GB2312" w:cs="仿宋_GB2312"/>
          <w:sz w:val="32"/>
          <w:szCs w:val="32"/>
        </w:rPr>
        <w:t>专题会议，对全年预算工作进行了全面部署。首先加强领导，提高认识，切实做好绩效管理工作。制定了一系列规章制度，明确责任目标，切实做好绩效管理工作。二是建立健全制度落实，使预算资金得到有控使用。</w:t>
      </w:r>
      <w:r>
        <w:rPr>
          <w:rFonts w:hint="eastAsia" w:ascii="仿宋_GB2312" w:hAnsi="仿宋_GB2312" w:eastAsia="仿宋_GB2312" w:cs="仿宋_GB2312"/>
          <w:sz w:val="32"/>
          <w:szCs w:val="32"/>
          <w:lang w:val="en-US" w:eastAsia="zh-CN"/>
        </w:rPr>
        <w:t>做到支出有计划，严格按预算支付。</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根据预算批复和本单位实际列支各项支出。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（二）项目绩效自评结果。</w:t>
      </w:r>
    </w:p>
    <w:p>
      <w:pPr>
        <w:widowControl/>
        <w:spacing w:line="590" w:lineRule="exact"/>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根据上级部门和本级政府工作安排开展各项工作，</w:t>
      </w:r>
      <w:r>
        <w:rPr>
          <w:rFonts w:hint="eastAsia" w:ascii="仿宋_GB2312" w:hAnsi="仿宋_GB2312" w:eastAsia="仿宋_GB2312" w:cs="仿宋_GB2312"/>
          <w:sz w:val="32"/>
          <w:szCs w:val="32"/>
        </w:rPr>
        <w:t>2019年度单位无项目绩效自评。</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spacing w:line="360" w:lineRule="auto"/>
        <w:ind w:firstLine="640" w:firstLineChars="200"/>
        <w:outlineLvl w:val="1"/>
        <w:rPr>
          <w:rFonts w:hint="eastAsia" w:ascii="黑体" w:hAnsi="黑体" w:eastAsia="黑体" w:cs="黑体"/>
          <w:sz w:val="32"/>
          <w:szCs w:val="32"/>
        </w:rPr>
      </w:pPr>
      <w:r>
        <w:rPr>
          <w:rFonts w:hint="eastAsia" w:ascii="仿宋_GB2312" w:hAnsi="仿宋_GB2312" w:eastAsia="仿宋_GB2312" w:cs="仿宋_GB2312"/>
          <w:sz w:val="32"/>
          <w:szCs w:val="32"/>
        </w:rPr>
        <w:t>2019年度单位无重点绩效评价。</w:t>
      </w:r>
    </w:p>
    <w:p>
      <w:pPr>
        <w:numPr>
          <w:ilvl w:val="0"/>
          <w:numId w:val="3"/>
        </w:numPr>
        <w:ind w:firstLine="640" w:firstLineChars="200"/>
        <w:jc w:val="left"/>
        <w:rPr>
          <w:rFonts w:hint="eastAsia" w:ascii="黑体" w:hAnsi="黑体" w:eastAsia="黑体" w:cs="宋体"/>
          <w:sz w:val="32"/>
          <w:szCs w:val="32"/>
        </w:rPr>
      </w:pPr>
      <w:r>
        <w:rPr>
          <w:rFonts w:hint="eastAsia" w:ascii="黑体" w:hAnsi="黑体" w:eastAsia="黑体" w:cs="宋体"/>
          <w:sz w:val="32"/>
          <w:szCs w:val="32"/>
        </w:rPr>
        <w:t>关于政府性基金预算财政拨款支出决算情况说明</w:t>
      </w:r>
    </w:p>
    <w:p>
      <w:pPr>
        <w:widowControl/>
        <w:spacing w:beforeLines="0" w:afterLines="0" w:line="590" w:lineRule="exact"/>
        <w:ind w:firstLine="960" w:firstLineChars="300"/>
        <w:jc w:val="left"/>
        <w:rPr>
          <w:rFonts w:hint="eastAsia" w:eastAsia="宋体"/>
          <w:sz w:val="32"/>
          <w:szCs w:val="32"/>
          <w:lang w:eastAsia="zh-CN"/>
        </w:rPr>
      </w:pPr>
      <w:r>
        <w:rPr>
          <w:rFonts w:hint="eastAsia"/>
          <w:sz w:val="32"/>
          <w:szCs w:val="32"/>
          <w:lang w:eastAsia="zh-CN"/>
        </w:rPr>
        <w:t>我部门</w:t>
      </w:r>
      <w:r>
        <w:rPr>
          <w:rFonts w:hint="eastAsia"/>
          <w:sz w:val="32"/>
          <w:szCs w:val="32"/>
          <w:lang w:val="en-US" w:eastAsia="zh-CN"/>
        </w:rPr>
        <w:t>2019年度</w:t>
      </w:r>
      <w:r>
        <w:rPr>
          <w:rFonts w:hint="eastAsia"/>
          <w:sz w:val="32"/>
          <w:szCs w:val="32"/>
          <w:lang w:eastAsia="zh-CN"/>
        </w:rPr>
        <w:t>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rPr>
        <w:t>十、</w:t>
      </w:r>
      <w:r>
        <w:rPr>
          <w:rFonts w:hint="eastAsia" w:ascii="黑体" w:hAnsi="黑体" w:eastAsia="黑体" w:cs="黑体"/>
          <w:color w:val="auto"/>
          <w:sz w:val="32"/>
          <w:szCs w:val="32"/>
          <w:highlight w:val="none"/>
          <w:lang w:val="en-US" w:eastAsia="zh-CN"/>
        </w:rPr>
        <w:t>机关运行经费支出情况说明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2019年度机关运行经费年初预算为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color w:val="auto"/>
          <w:sz w:val="32"/>
          <w:szCs w:val="32"/>
          <w:highlight w:val="none"/>
          <w:lang w:val="en-US" w:eastAsia="zh-CN"/>
        </w:rPr>
        <w:t>万元，支出决算为</w:t>
      </w:r>
      <w:r>
        <w:rPr>
          <w:rFonts w:hint="eastAsia" w:ascii="仿宋_GB2312" w:hAnsi="仿宋_GB2312" w:eastAsia="仿宋_GB2312" w:cs="仿宋_GB2312"/>
          <w:sz w:val="32"/>
          <w:szCs w:val="32"/>
          <w:lang w:val="en-US" w:eastAsia="zh-CN"/>
        </w:rPr>
        <w:t>257.5951</w:t>
      </w:r>
      <w:r>
        <w:rPr>
          <w:rFonts w:hint="eastAsia" w:ascii="仿宋_GB2312" w:hAnsi="仿宋_GB2312" w:eastAsia="仿宋_GB2312" w:cs="仿宋_GB2312"/>
          <w:color w:val="auto"/>
          <w:sz w:val="32"/>
          <w:szCs w:val="32"/>
          <w:highlight w:val="none"/>
          <w:lang w:val="en-US" w:eastAsia="zh-CN"/>
        </w:rPr>
        <w:t>万元，完成年初预算的100%。</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十一、政府采购支出情况说明</w:t>
      </w:r>
    </w:p>
    <w:p>
      <w:pPr>
        <w:widowControl/>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2019年度政府采购支出总额3.4944万元，其中：政府采购货物支出3.4944万元、政府采购工程支出0万元、政府采购服务支出0万元。授予中小企业合同金额0万元，其中：授予小微企业合同金额0万元。</w:t>
      </w:r>
    </w:p>
    <w:p>
      <w:pPr>
        <w:widowControl/>
        <w:ind w:firstLine="640" w:firstLineChars="200"/>
        <w:rPr>
          <w:rFonts w:hint="eastAsia" w:ascii="仿宋_GB2312" w:hAnsi="仿宋_GB2312" w:eastAsia="仿宋_GB2312" w:cs="仿宋_GB2312"/>
          <w:color w:val="auto"/>
          <w:sz w:val="32"/>
          <w:szCs w:val="32"/>
          <w:highlight w:val="none"/>
          <w:lang w:val="en-US" w:eastAsia="zh-CN"/>
        </w:rPr>
      </w:pPr>
    </w:p>
    <w:p>
      <w:pPr>
        <w:widowControl/>
        <w:ind w:firstLine="640" w:firstLineChars="200"/>
        <w:rPr>
          <w:rFonts w:hint="eastAsia" w:ascii="仿宋_GB2312" w:hAnsi="仿宋_GB2312" w:eastAsia="仿宋_GB2312" w:cs="仿宋_GB2312"/>
          <w:color w:val="auto"/>
          <w:sz w:val="32"/>
          <w:szCs w:val="32"/>
          <w:highlight w:val="none"/>
          <w:lang w:val="en-US" w:eastAsia="zh-CN"/>
        </w:rPr>
      </w:pPr>
    </w:p>
    <w:p>
      <w:pPr>
        <w:widowControl/>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十二、国有资产占用情况说明</w:t>
      </w:r>
    </w:p>
    <w:p>
      <w:pPr>
        <w:widowControl/>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年期末</w:t>
      </w:r>
      <w:r>
        <w:rPr>
          <w:rFonts w:hint="eastAsia" w:ascii="仿宋_GB2312" w:hAnsi="仿宋_GB2312" w:eastAsia="仿宋_GB2312" w:cs="仿宋_GB2312"/>
          <w:sz w:val="32"/>
          <w:szCs w:val="32"/>
          <w:lang w:eastAsia="zh-CN"/>
        </w:rPr>
        <w:t>，我单位共有车辆</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辆，其中：一般公务用车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辆、一般执法执勤用车</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辆、特种用途车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辆。单价50万元以上通用设备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套。</w:t>
      </w:r>
    </w:p>
    <w:p>
      <w:pPr>
        <w:widowControl/>
        <w:ind w:firstLine="640" w:firstLineChars="200"/>
        <w:rPr>
          <w:rFonts w:hint="eastAsia" w:ascii="仿宋_GB2312" w:hAnsi="仿宋_GB2312" w:eastAsia="仿宋_GB2312" w:cs="仿宋_GB2312"/>
          <w:sz w:val="32"/>
          <w:szCs w:val="32"/>
          <w:lang w:eastAsia="zh-CN"/>
        </w:rPr>
        <w:sectPr>
          <w:pgSz w:w="11906" w:h="16838"/>
          <w:pgMar w:top="1440" w:right="1800" w:bottom="1440" w:left="1800" w:header="720" w:footer="720" w:gutter="0"/>
          <w:cols w:space="720" w:num="1"/>
          <w:docGrid w:type="lines" w:linePitch="312" w:charSpace="0"/>
        </w:sect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left"/>
        <w:rPr>
          <w:rFonts w:ascii="黑体" w:hAnsi="黑体" w:eastAsia="黑体" w:cs="黑体"/>
          <w:sz w:val="32"/>
          <w:szCs w:val="32"/>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w:t>
      </w:r>
    </w:p>
    <w:p>
      <w:pPr>
        <w:jc w:val="center"/>
        <w:outlineLvl w:val="0"/>
        <w:rPr>
          <w:rFonts w:hint="eastAsia" w:ascii="黑体" w:hAnsi="黑体" w:eastAsia="黑体" w:cs="黑体"/>
          <w:sz w:val="48"/>
          <w:szCs w:val="48"/>
        </w:rPr>
      </w:pPr>
      <w:r>
        <w:rPr>
          <w:rFonts w:hint="eastAsia" w:ascii="黑体" w:hAnsi="黑体" w:eastAsia="黑体" w:cs="黑体"/>
          <w:sz w:val="48"/>
          <w:szCs w:val="48"/>
        </w:rPr>
        <w:t>县委巡察办</w:t>
      </w:r>
    </w:p>
    <w:p>
      <w:pPr>
        <w:jc w:val="center"/>
        <w:outlineLvl w:val="0"/>
        <w:rPr>
          <w:rFonts w:hint="eastAsia" w:ascii="黑体" w:hAnsi="黑体" w:eastAsia="黑体" w:cs="黑体"/>
          <w:sz w:val="48"/>
          <w:szCs w:val="48"/>
        </w:rPr>
      </w:pPr>
      <w:r>
        <w:rPr>
          <w:rFonts w:hint="eastAsia" w:ascii="黑体" w:hAnsi="黑体" w:eastAsia="黑体" w:cs="黑体"/>
          <w:sz w:val="48"/>
          <w:szCs w:val="48"/>
        </w:rPr>
        <w:t>决算名词解释</w:t>
      </w: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一、财政拨款收入：单位从同级政府财政部门取得的各类财政拨款。</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六、其他收入：单位取得的除“财政拨款收入”、“事业收入”、“上级补助收入”、“附属单位上缴收入”、“经营收入”等以外的收入。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sectPr>
          <w:pgSz w:w="11906" w:h="16838"/>
          <w:pgMar w:top="1928" w:right="1474" w:bottom="1701" w:left="1588" w:header="851" w:footer="992" w:gutter="0"/>
          <w:cols w:space="720" w:num="1"/>
          <w:docGrid w:type="lines" w:linePitch="312" w:charSpace="0"/>
        </w:sect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w:t>
      </w:r>
      <w:r>
        <w:rPr>
          <w:rFonts w:hint="eastAsia" w:ascii="黑体" w:hAnsi="黑体" w:eastAsia="黑体" w:cs="黑体"/>
          <w:color w:val="FF0000"/>
          <w:sz w:val="48"/>
          <w:szCs w:val="48"/>
        </w:rPr>
        <w:t>（Excel表格）</w:t>
      </w:r>
    </w:p>
    <w:p>
      <w:pPr>
        <w:jc w:val="center"/>
        <w:rPr>
          <w:rFonts w:hint="eastAsia" w:ascii="黑体" w:hAnsi="宋体" w:eastAsia="黑体" w:cs="宋体"/>
          <w:color w:val="000000"/>
          <w:kern w:val="0"/>
          <w:sz w:val="28"/>
          <w:szCs w:val="28"/>
        </w:rPr>
      </w:pPr>
      <w:r>
        <w:rPr>
          <w:rFonts w:hint="eastAsia" w:ascii="黑体" w:hAnsi="黑体" w:eastAsia="黑体" w:cs="黑体"/>
          <w:sz w:val="48"/>
          <w:szCs w:val="48"/>
        </w:rPr>
        <w:t>县委巡察办</w:t>
      </w:r>
      <w:r>
        <w:rPr>
          <w:rFonts w:hint="eastAsia" w:ascii="黑体" w:hAnsi="黑体" w:eastAsia="黑体" w:cs="黑体"/>
          <w:sz w:val="48"/>
          <w:szCs w:val="48"/>
          <w:lang w:eastAsia="zh-CN"/>
        </w:rPr>
        <w:t>2019</w:t>
      </w:r>
      <w:r>
        <w:rPr>
          <w:rFonts w:hint="eastAsia" w:ascii="黑体" w:hAnsi="黑体" w:eastAsia="黑体" w:cs="黑体"/>
          <w:sz w:val="48"/>
          <w:szCs w:val="48"/>
        </w:rPr>
        <w:t>年度部门决算表</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rPr>
        <w:t>说明：表中单元格数据为空时，表示该单元格数据为零；整张表数据为空时，表示部门该表中所有数据均为零，当年无表中相关收支。</w:t>
      </w: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4267" w:type="dxa"/>
        <w:tblInd w:w="0" w:type="dxa"/>
        <w:shd w:val="clear" w:color="auto" w:fill="auto"/>
        <w:tblLayout w:type="fixed"/>
        <w:tblCellMar>
          <w:top w:w="0" w:type="dxa"/>
          <w:left w:w="0" w:type="dxa"/>
          <w:bottom w:w="0" w:type="dxa"/>
          <w:right w:w="0" w:type="dxa"/>
        </w:tblCellMar>
      </w:tblPr>
      <w:tblGrid>
        <w:gridCol w:w="5798"/>
        <w:gridCol w:w="563"/>
        <w:gridCol w:w="1610"/>
        <w:gridCol w:w="3966"/>
        <w:gridCol w:w="563"/>
        <w:gridCol w:w="1767"/>
      </w:tblGrid>
      <w:tr>
        <w:tblPrEx>
          <w:tblLayout w:type="fixed"/>
          <w:tblCellMar>
            <w:top w:w="0" w:type="dxa"/>
            <w:left w:w="0" w:type="dxa"/>
            <w:bottom w:w="0" w:type="dxa"/>
            <w:right w:w="0" w:type="dxa"/>
          </w:tblCellMar>
        </w:tblPrEx>
        <w:trPr>
          <w:trHeight w:val="375" w:hRule="atLeast"/>
        </w:trPr>
        <w:tc>
          <w:tcPr>
            <w:tcW w:w="14267" w:type="dxa"/>
            <w:gridSpan w:val="6"/>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收入支出决算总表</w:t>
            </w: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5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6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7"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6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7"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公开01表</w:t>
            </w: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部门：中共罗山县委巡察工作领导小组办公室</w:t>
            </w:r>
          </w:p>
        </w:tc>
        <w:tc>
          <w:tcPr>
            <w:tcW w:w="56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10"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2019年度</w:t>
            </w:r>
          </w:p>
        </w:tc>
        <w:tc>
          <w:tcPr>
            <w:tcW w:w="3966"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7"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trPr>
        <w:tc>
          <w:tcPr>
            <w:tcW w:w="797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收入</w:t>
            </w:r>
          </w:p>
        </w:tc>
        <w:tc>
          <w:tcPr>
            <w:tcW w:w="6296"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w:t>
            </w: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三、上级补助收入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四、事业收入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五、经营收入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六、附属单位上缴收入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七、其他收入</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用事业基金弥补收支差额</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5798"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96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7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r>
      <w:tr>
        <w:tblPrEx>
          <w:shd w:val="clear" w:color="auto" w:fill="auto"/>
          <w:tblLayout w:type="fixed"/>
          <w:tblCellMar>
            <w:top w:w="0" w:type="dxa"/>
            <w:left w:w="0" w:type="dxa"/>
            <w:bottom w:w="0" w:type="dxa"/>
            <w:right w:w="0" w:type="dxa"/>
          </w:tblCellMar>
        </w:tblPrEx>
        <w:trPr>
          <w:trHeight w:val="300" w:hRule="atLeast"/>
        </w:trPr>
        <w:tc>
          <w:tcPr>
            <w:tcW w:w="14267" w:type="dxa"/>
            <w:gridSpan w:val="6"/>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注：本表反映部门本年度的总收支和年末结转结余情况。本表金额转换为万元时，因四舍五入可能存在尾差。</w:t>
            </w:r>
          </w:p>
        </w:tc>
      </w:tr>
    </w:tbl>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3988" w:type="dxa"/>
        <w:tblInd w:w="0" w:type="dxa"/>
        <w:shd w:val="clear" w:color="auto" w:fill="auto"/>
        <w:tblLayout w:type="fixed"/>
        <w:tblCellMar>
          <w:top w:w="0" w:type="dxa"/>
          <w:left w:w="0" w:type="dxa"/>
          <w:bottom w:w="0" w:type="dxa"/>
          <w:right w:w="0" w:type="dxa"/>
        </w:tblCellMar>
      </w:tblPr>
      <w:tblGrid>
        <w:gridCol w:w="4824"/>
        <w:gridCol w:w="39"/>
        <w:gridCol w:w="39"/>
        <w:gridCol w:w="2428"/>
        <w:gridCol w:w="1487"/>
        <w:gridCol w:w="1487"/>
        <w:gridCol w:w="523"/>
        <w:gridCol w:w="523"/>
        <w:gridCol w:w="523"/>
        <w:gridCol w:w="523"/>
        <w:gridCol w:w="1592"/>
      </w:tblGrid>
      <w:tr>
        <w:tblPrEx>
          <w:shd w:val="clear" w:color="auto" w:fill="auto"/>
          <w:tblLayout w:type="fixed"/>
          <w:tblCellMar>
            <w:top w:w="0" w:type="dxa"/>
            <w:left w:w="0" w:type="dxa"/>
            <w:bottom w:w="0" w:type="dxa"/>
            <w:right w:w="0" w:type="dxa"/>
          </w:tblCellMar>
        </w:tblPrEx>
        <w:trPr>
          <w:trHeight w:val="375" w:hRule="atLeast"/>
        </w:trPr>
        <w:tc>
          <w:tcPr>
            <w:tcW w:w="13988" w:type="dxa"/>
            <w:gridSpan w:val="11"/>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收入决算表</w:t>
            </w:r>
          </w:p>
        </w:tc>
      </w:tr>
      <w:tr>
        <w:tblPrEx>
          <w:shd w:val="clear" w:color="auto" w:fill="auto"/>
          <w:tblLayout w:type="fixed"/>
          <w:tblCellMar>
            <w:top w:w="0" w:type="dxa"/>
            <w:left w:w="0" w:type="dxa"/>
            <w:bottom w:w="0" w:type="dxa"/>
            <w:right w:w="0" w:type="dxa"/>
          </w:tblCellMar>
        </w:tblPrEx>
        <w:trPr>
          <w:trHeight w:val="300" w:hRule="atLeast"/>
        </w:trPr>
        <w:tc>
          <w:tcPr>
            <w:tcW w:w="482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2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92"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公开02表</w:t>
            </w:r>
          </w:p>
        </w:tc>
      </w:tr>
      <w:tr>
        <w:tblPrEx>
          <w:shd w:val="clear" w:color="auto" w:fill="auto"/>
          <w:tblLayout w:type="fixed"/>
          <w:tblCellMar>
            <w:top w:w="0" w:type="dxa"/>
            <w:left w:w="0" w:type="dxa"/>
            <w:bottom w:w="0" w:type="dxa"/>
            <w:right w:w="0" w:type="dxa"/>
          </w:tblCellMar>
        </w:tblPrEx>
        <w:trPr>
          <w:trHeight w:val="300" w:hRule="atLeast"/>
        </w:trPr>
        <w:tc>
          <w:tcPr>
            <w:tcW w:w="4824"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部门：中共罗山县委巡察工作领导小组办公室</w:t>
            </w:r>
          </w:p>
        </w:tc>
        <w:tc>
          <w:tcPr>
            <w:tcW w:w="39"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9"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42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487"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52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2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592"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00" w:hRule="atLeast"/>
        </w:trPr>
        <w:tc>
          <w:tcPr>
            <w:tcW w:w="73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14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本年收入合计</w:t>
            </w:r>
          </w:p>
        </w:tc>
        <w:tc>
          <w:tcPr>
            <w:tcW w:w="148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财政拨款收入</w:t>
            </w:r>
          </w:p>
        </w:tc>
        <w:tc>
          <w:tcPr>
            <w:tcW w:w="5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上级补助收入</w:t>
            </w:r>
          </w:p>
        </w:tc>
        <w:tc>
          <w:tcPr>
            <w:tcW w:w="5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事业收入</w:t>
            </w:r>
          </w:p>
        </w:tc>
        <w:tc>
          <w:tcPr>
            <w:tcW w:w="5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经营收入</w:t>
            </w:r>
          </w:p>
        </w:tc>
        <w:tc>
          <w:tcPr>
            <w:tcW w:w="52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附属单位上缴收入</w:t>
            </w:r>
          </w:p>
        </w:tc>
        <w:tc>
          <w:tcPr>
            <w:tcW w:w="159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其他收入</w:t>
            </w:r>
          </w:p>
        </w:tc>
      </w:tr>
      <w:tr>
        <w:tblPrEx>
          <w:tblLayout w:type="fixed"/>
          <w:tblCellMar>
            <w:top w:w="0" w:type="dxa"/>
            <w:left w:w="0" w:type="dxa"/>
            <w:bottom w:w="0" w:type="dxa"/>
            <w:right w:w="0" w:type="dxa"/>
          </w:tblCellMar>
        </w:tblPrEx>
        <w:trPr>
          <w:trHeight w:val="300" w:hRule="atLeast"/>
        </w:trPr>
        <w:tc>
          <w:tcPr>
            <w:tcW w:w="4902"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242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9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4902"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2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2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9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73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14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87"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2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52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52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2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59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r>
      <w:tr>
        <w:tblPrEx>
          <w:tblLayout w:type="fixed"/>
          <w:tblCellMar>
            <w:top w:w="0" w:type="dxa"/>
            <w:left w:w="0" w:type="dxa"/>
            <w:bottom w:w="0" w:type="dxa"/>
            <w:right w:w="0" w:type="dxa"/>
          </w:tblCellMar>
        </w:tblPrEx>
        <w:trPr>
          <w:trHeight w:val="300" w:hRule="atLeast"/>
        </w:trPr>
        <w:tc>
          <w:tcPr>
            <w:tcW w:w="733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4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14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9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24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14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14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4902"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20199</w:t>
            </w:r>
          </w:p>
        </w:tc>
        <w:tc>
          <w:tcPr>
            <w:tcW w:w="24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其他一般公共服务支出</w:t>
            </w:r>
          </w:p>
        </w:tc>
        <w:tc>
          <w:tcPr>
            <w:tcW w:w="14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148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59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300" w:hRule="atLeast"/>
        </w:trPr>
        <w:tc>
          <w:tcPr>
            <w:tcW w:w="49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242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w:t>
            </w:r>
          </w:p>
        </w:tc>
        <w:tc>
          <w:tcPr>
            <w:tcW w:w="14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148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9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注：本表反映部门本年度取得的各项收入情况。本表金额转换为万元时，因四舍五入可能存在尾差。</w:t>
            </w:r>
          </w:p>
        </w:tc>
      </w:tr>
      <w:tr>
        <w:tblPrEx>
          <w:shd w:val="clear" w:color="auto" w:fill="auto"/>
          <w:tblLayout w:type="fixed"/>
          <w:tblCellMar>
            <w:top w:w="0" w:type="dxa"/>
            <w:left w:w="0" w:type="dxa"/>
            <w:bottom w:w="0" w:type="dxa"/>
            <w:right w:w="0" w:type="dxa"/>
          </w:tblCellMar>
        </w:tblPrEx>
        <w:trPr>
          <w:trHeight w:val="300" w:hRule="atLeast"/>
        </w:trPr>
        <w:tc>
          <w:tcPr>
            <w:tcW w:w="13988" w:type="dxa"/>
            <w:gridSpan w:val="11"/>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p>
        </w:tc>
      </w:tr>
    </w:tbl>
    <w:tbl>
      <w:tblPr>
        <w:tblStyle w:val="6"/>
        <w:tblpPr w:leftFromText="180" w:rightFromText="180" w:vertAnchor="text" w:horzAnchor="page" w:tblpX="440" w:tblpY="1328"/>
        <w:tblOverlap w:val="never"/>
        <w:tblW w:w="15959" w:type="dxa"/>
        <w:tblInd w:w="0" w:type="dxa"/>
        <w:shd w:val="clear" w:color="auto" w:fill="auto"/>
        <w:tblLayout w:type="fixed"/>
        <w:tblCellMar>
          <w:top w:w="0" w:type="dxa"/>
          <w:left w:w="0" w:type="dxa"/>
          <w:bottom w:w="0" w:type="dxa"/>
          <w:right w:w="0" w:type="dxa"/>
        </w:tblCellMar>
      </w:tblPr>
      <w:tblGrid>
        <w:gridCol w:w="4955"/>
        <w:gridCol w:w="240"/>
        <w:gridCol w:w="168"/>
        <w:gridCol w:w="2738"/>
        <w:gridCol w:w="1505"/>
        <w:gridCol w:w="1505"/>
        <w:gridCol w:w="1114"/>
        <w:gridCol w:w="1114"/>
        <w:gridCol w:w="1114"/>
        <w:gridCol w:w="1506"/>
      </w:tblGrid>
      <w:tr>
        <w:tblPrEx>
          <w:shd w:val="clear" w:color="auto" w:fill="auto"/>
          <w:tblLayout w:type="fixed"/>
          <w:tblCellMar>
            <w:top w:w="0" w:type="dxa"/>
            <w:left w:w="0" w:type="dxa"/>
            <w:bottom w:w="0" w:type="dxa"/>
            <w:right w:w="0" w:type="dxa"/>
          </w:tblCellMar>
        </w:tblPrEx>
        <w:trPr>
          <w:trHeight w:val="598" w:hRule="atLeast"/>
        </w:trPr>
        <w:tc>
          <w:tcPr>
            <w:tcW w:w="15959" w:type="dxa"/>
            <w:gridSpan w:val="10"/>
            <w:tcBorders>
              <w:top w:val="nil"/>
              <w:left w:val="nil"/>
              <w:bottom w:val="nil"/>
              <w:right w:val="single" w:color="808080" w:sz="4" w:space="0"/>
            </w:tcBorders>
            <w:shd w:val="clear" w:color="auto" w:fill="FFFFFF"/>
            <w:noWrap/>
            <w:tcMar>
              <w:top w:w="15" w:type="dxa"/>
              <w:left w:w="15" w:type="dxa"/>
              <w:right w:w="15" w:type="dxa"/>
            </w:tcMar>
            <w:vAlign w:val="center"/>
          </w:tcPr>
          <w:p>
            <w:pPr>
              <w:widowControl/>
              <w:jc w:val="center"/>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lang w:val="en-US" w:eastAsia="zh-CN"/>
              </w:rPr>
              <w:t>支出决算表</w:t>
            </w:r>
          </w:p>
        </w:tc>
      </w:tr>
      <w:tr>
        <w:tblPrEx>
          <w:tblLayout w:type="fixed"/>
          <w:tblCellMar>
            <w:top w:w="0" w:type="dxa"/>
            <w:left w:w="0" w:type="dxa"/>
            <w:bottom w:w="0" w:type="dxa"/>
            <w:right w:w="0" w:type="dxa"/>
          </w:tblCellMar>
        </w:tblPrEx>
        <w:trPr>
          <w:trHeight w:val="324" w:hRule="atLeast"/>
        </w:trPr>
        <w:tc>
          <w:tcPr>
            <w:tcW w:w="4955"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68"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2738"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505"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505"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114"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114"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114" w:type="dxa"/>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p>
        </w:tc>
        <w:tc>
          <w:tcPr>
            <w:tcW w:w="1506" w:type="dxa"/>
            <w:tcBorders>
              <w:top w:val="nil"/>
              <w:left w:val="nil"/>
              <w:bottom w:val="nil"/>
              <w:right w:val="single" w:color="80808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rPr>
            </w:pPr>
            <w:r>
              <w:rPr>
                <w:rFonts w:hint="eastAsia" w:ascii="黑体" w:hAnsi="宋体" w:eastAsia="黑体" w:cs="宋体"/>
                <w:color w:val="000000"/>
                <w:kern w:val="0"/>
                <w:sz w:val="28"/>
                <w:szCs w:val="28"/>
                <w:lang w:val="en-US" w:eastAsia="zh-CN"/>
              </w:rPr>
              <w:t>公开03表</w:t>
            </w:r>
          </w:p>
        </w:tc>
      </w:tr>
      <w:tr>
        <w:tblPrEx>
          <w:shd w:val="clear" w:color="auto" w:fill="auto"/>
          <w:tblLayout w:type="fixed"/>
          <w:tblCellMar>
            <w:top w:w="0" w:type="dxa"/>
            <w:left w:w="0" w:type="dxa"/>
            <w:bottom w:w="0" w:type="dxa"/>
            <w:right w:w="0" w:type="dxa"/>
          </w:tblCellMar>
        </w:tblPrEx>
        <w:trPr>
          <w:trHeight w:val="408" w:hRule="atLeast"/>
        </w:trPr>
        <w:tc>
          <w:tcPr>
            <w:tcW w:w="4955"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部门：中共罗山县委巡察工作领导小组办公室</w:t>
            </w:r>
          </w:p>
        </w:tc>
        <w:tc>
          <w:tcPr>
            <w:tcW w:w="240"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68"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2738"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2019年度</w:t>
            </w:r>
          </w:p>
        </w:tc>
        <w:tc>
          <w:tcPr>
            <w:tcW w:w="1505"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808080" w:sz="4" w:space="0"/>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金额单位：元</w:t>
            </w:r>
          </w:p>
        </w:tc>
      </w:tr>
      <w:tr>
        <w:tblPrEx>
          <w:shd w:val="clear" w:color="auto" w:fill="auto"/>
          <w:tblLayout w:type="fixed"/>
          <w:tblCellMar>
            <w:top w:w="0" w:type="dxa"/>
            <w:left w:w="0" w:type="dxa"/>
            <w:bottom w:w="0" w:type="dxa"/>
            <w:right w:w="0" w:type="dxa"/>
          </w:tblCellMar>
        </w:tblPrEx>
        <w:trPr>
          <w:trHeight w:val="608" w:hRule="atLeast"/>
        </w:trPr>
        <w:tc>
          <w:tcPr>
            <w:tcW w:w="810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项目</w:t>
            </w:r>
          </w:p>
        </w:tc>
        <w:tc>
          <w:tcPr>
            <w:tcW w:w="15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本年支出合计</w:t>
            </w:r>
          </w:p>
        </w:tc>
        <w:tc>
          <w:tcPr>
            <w:tcW w:w="150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基本支出</w:t>
            </w:r>
          </w:p>
        </w:tc>
        <w:tc>
          <w:tcPr>
            <w:tcW w:w="11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项目支出</w:t>
            </w:r>
          </w:p>
        </w:tc>
        <w:tc>
          <w:tcPr>
            <w:tcW w:w="11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上缴上级支出</w:t>
            </w:r>
          </w:p>
        </w:tc>
        <w:tc>
          <w:tcPr>
            <w:tcW w:w="111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经营支出</w:t>
            </w:r>
          </w:p>
        </w:tc>
        <w:tc>
          <w:tcPr>
            <w:tcW w:w="15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对附属单位补助支出</w:t>
            </w:r>
          </w:p>
        </w:tc>
      </w:tr>
      <w:tr>
        <w:tblPrEx>
          <w:tblLayout w:type="fixed"/>
          <w:tblCellMar>
            <w:top w:w="0" w:type="dxa"/>
            <w:left w:w="0" w:type="dxa"/>
            <w:bottom w:w="0" w:type="dxa"/>
            <w:right w:w="0" w:type="dxa"/>
          </w:tblCellMar>
        </w:tblPrEx>
        <w:trPr>
          <w:trHeight w:val="316" w:hRule="atLeast"/>
        </w:trPr>
        <w:tc>
          <w:tcPr>
            <w:tcW w:w="5363"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功能分类科目编码</w:t>
            </w:r>
          </w:p>
        </w:tc>
        <w:tc>
          <w:tcPr>
            <w:tcW w:w="2738"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科目名称</w:t>
            </w: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tblLayout w:type="fixed"/>
          <w:tblCellMar>
            <w:top w:w="0" w:type="dxa"/>
            <w:left w:w="0" w:type="dxa"/>
            <w:bottom w:w="0" w:type="dxa"/>
            <w:right w:w="0" w:type="dxa"/>
          </w:tblCellMar>
        </w:tblPrEx>
        <w:trPr>
          <w:trHeight w:val="316" w:hRule="atLeast"/>
        </w:trPr>
        <w:tc>
          <w:tcPr>
            <w:tcW w:w="536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27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tblLayout w:type="fixed"/>
          <w:tblCellMar>
            <w:top w:w="0" w:type="dxa"/>
            <w:left w:w="0" w:type="dxa"/>
            <w:bottom w:w="0" w:type="dxa"/>
            <w:right w:w="0" w:type="dxa"/>
          </w:tblCellMar>
        </w:tblPrEx>
        <w:trPr>
          <w:trHeight w:val="316" w:hRule="atLeast"/>
        </w:trPr>
        <w:tc>
          <w:tcPr>
            <w:tcW w:w="5363"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2738"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shd w:val="clear" w:color="auto" w:fill="auto"/>
          <w:tblLayout w:type="fixed"/>
          <w:tblCellMar>
            <w:top w:w="0" w:type="dxa"/>
            <w:left w:w="0" w:type="dxa"/>
            <w:bottom w:w="0" w:type="dxa"/>
            <w:right w:w="0" w:type="dxa"/>
          </w:tblCellMar>
        </w:tblPrEx>
        <w:trPr>
          <w:trHeight w:val="608" w:hRule="atLeast"/>
        </w:trPr>
        <w:tc>
          <w:tcPr>
            <w:tcW w:w="810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栏次</w:t>
            </w:r>
          </w:p>
        </w:tc>
        <w:tc>
          <w:tcPr>
            <w:tcW w:w="15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1</w:t>
            </w:r>
          </w:p>
        </w:tc>
        <w:tc>
          <w:tcPr>
            <w:tcW w:w="150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w:t>
            </w:r>
          </w:p>
        </w:tc>
        <w:tc>
          <w:tcPr>
            <w:tcW w:w="11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3</w:t>
            </w:r>
          </w:p>
        </w:tc>
        <w:tc>
          <w:tcPr>
            <w:tcW w:w="11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4</w:t>
            </w:r>
          </w:p>
        </w:tc>
        <w:tc>
          <w:tcPr>
            <w:tcW w:w="111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5</w:t>
            </w:r>
          </w:p>
        </w:tc>
        <w:tc>
          <w:tcPr>
            <w:tcW w:w="150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6</w:t>
            </w:r>
          </w:p>
        </w:tc>
      </w:tr>
      <w:tr>
        <w:tblPrEx>
          <w:tblLayout w:type="fixed"/>
          <w:tblCellMar>
            <w:top w:w="0" w:type="dxa"/>
            <w:left w:w="0" w:type="dxa"/>
            <w:bottom w:w="0" w:type="dxa"/>
            <w:right w:w="0" w:type="dxa"/>
          </w:tblCellMar>
        </w:tblPrEx>
        <w:trPr>
          <w:trHeight w:val="608" w:hRule="atLeast"/>
        </w:trPr>
        <w:tc>
          <w:tcPr>
            <w:tcW w:w="810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合计</w:t>
            </w:r>
          </w:p>
        </w:tc>
        <w:tc>
          <w:tcPr>
            <w:tcW w:w="15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5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tblLayout w:type="fixed"/>
          <w:tblCellMar>
            <w:top w:w="0" w:type="dxa"/>
            <w:left w:w="0" w:type="dxa"/>
            <w:bottom w:w="0" w:type="dxa"/>
            <w:right w:w="0" w:type="dxa"/>
          </w:tblCellMar>
        </w:tblPrEx>
        <w:trPr>
          <w:trHeight w:val="608" w:hRule="atLeast"/>
        </w:trPr>
        <w:tc>
          <w:tcPr>
            <w:tcW w:w="53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201</w:t>
            </w:r>
          </w:p>
        </w:tc>
        <w:tc>
          <w:tcPr>
            <w:tcW w:w="2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一般公共服务支出</w:t>
            </w:r>
          </w:p>
        </w:tc>
        <w:tc>
          <w:tcPr>
            <w:tcW w:w="15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5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tblLayout w:type="fixed"/>
          <w:tblCellMar>
            <w:top w:w="0" w:type="dxa"/>
            <w:left w:w="0" w:type="dxa"/>
            <w:bottom w:w="0" w:type="dxa"/>
            <w:right w:w="0" w:type="dxa"/>
          </w:tblCellMar>
        </w:tblPrEx>
        <w:trPr>
          <w:trHeight w:val="608" w:hRule="atLeast"/>
        </w:trPr>
        <w:tc>
          <w:tcPr>
            <w:tcW w:w="5363"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20199</w:t>
            </w:r>
          </w:p>
        </w:tc>
        <w:tc>
          <w:tcPr>
            <w:tcW w:w="27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其他一般公共服务支出</w:t>
            </w:r>
          </w:p>
        </w:tc>
        <w:tc>
          <w:tcPr>
            <w:tcW w:w="15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50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shd w:val="clear" w:color="auto" w:fill="auto"/>
          <w:tblLayout w:type="fixed"/>
          <w:tblCellMar>
            <w:top w:w="0" w:type="dxa"/>
            <w:left w:w="0" w:type="dxa"/>
            <w:bottom w:w="0" w:type="dxa"/>
            <w:right w:w="0" w:type="dxa"/>
          </w:tblCellMar>
        </w:tblPrEx>
        <w:trPr>
          <w:trHeight w:val="608" w:hRule="atLeast"/>
        </w:trPr>
        <w:tc>
          <w:tcPr>
            <w:tcW w:w="5363"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2019999</w:t>
            </w:r>
          </w:p>
        </w:tc>
        <w:tc>
          <w:tcPr>
            <w:tcW w:w="2738"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 xml:space="preserve">  其他一般公共服务支出</w:t>
            </w:r>
          </w:p>
        </w:tc>
        <w:tc>
          <w:tcPr>
            <w:tcW w:w="15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50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r>
              <w:rPr>
                <w:rFonts w:hint="eastAsia" w:ascii="黑体" w:hAnsi="宋体" w:eastAsia="黑体" w:cs="宋体"/>
                <w:color w:val="000000"/>
                <w:kern w:val="0"/>
                <w:sz w:val="15"/>
                <w:szCs w:val="15"/>
                <w:lang w:val="en-US" w:eastAsia="zh-CN"/>
              </w:rPr>
              <w:t>2,575,950.77</w:t>
            </w: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11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c>
          <w:tcPr>
            <w:tcW w:w="15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15"/>
                <w:szCs w:val="15"/>
              </w:rPr>
            </w:pPr>
          </w:p>
        </w:tc>
      </w:tr>
      <w:tr>
        <w:tblPrEx>
          <w:tblLayout w:type="fixed"/>
          <w:tblCellMar>
            <w:top w:w="0" w:type="dxa"/>
            <w:left w:w="0" w:type="dxa"/>
            <w:bottom w:w="0" w:type="dxa"/>
            <w:right w:w="0" w:type="dxa"/>
          </w:tblCellMar>
        </w:tblPrEx>
        <w:trPr>
          <w:trHeight w:val="608" w:hRule="atLeast"/>
        </w:trPr>
        <w:tc>
          <w:tcPr>
            <w:tcW w:w="15959" w:type="dxa"/>
            <w:gridSpan w:val="10"/>
            <w:tcBorders>
              <w:top w:val="nil"/>
              <w:left w:val="nil"/>
              <w:bottom w:val="nil"/>
              <w:right w:val="nil"/>
            </w:tcBorders>
            <w:shd w:val="clear" w:color="auto" w:fill="FFFFFF"/>
            <w:noWrap/>
            <w:tcMar>
              <w:top w:w="15" w:type="dxa"/>
              <w:left w:w="15" w:type="dxa"/>
              <w:right w:w="15" w:type="dxa"/>
            </w:tcMar>
            <w:vAlign w:val="center"/>
          </w:tcPr>
          <w:p>
            <w:pPr>
              <w:widowControl/>
              <w:jc w:val="left"/>
              <w:rPr>
                <w:rFonts w:hint="eastAsia" w:ascii="黑体" w:hAnsi="宋体" w:eastAsia="黑体" w:cs="宋体"/>
                <w:color w:val="000000"/>
                <w:kern w:val="0"/>
                <w:sz w:val="28"/>
                <w:szCs w:val="28"/>
                <w:lang w:val="en-US" w:eastAsia="zh-CN"/>
              </w:rPr>
            </w:pPr>
            <w:r>
              <w:rPr>
                <w:rFonts w:hint="eastAsia" w:ascii="黑体" w:hAnsi="宋体" w:eastAsia="黑体" w:cs="宋体"/>
                <w:color w:val="000000"/>
                <w:kern w:val="0"/>
                <w:sz w:val="28"/>
                <w:szCs w:val="28"/>
                <w:lang w:val="en-US" w:eastAsia="zh-CN"/>
              </w:rPr>
              <w:t>注：本表反映部门本年度各项支出情况。本表金额转换为万元时，因四舍五入可能存在尾差。</w:t>
            </w:r>
          </w:p>
          <w:p>
            <w:pPr>
              <w:widowControl/>
              <w:jc w:val="left"/>
              <w:rPr>
                <w:rFonts w:hint="eastAsia" w:ascii="黑体" w:hAnsi="宋体" w:eastAsia="黑体" w:cs="宋体"/>
                <w:color w:val="000000"/>
                <w:kern w:val="0"/>
                <w:sz w:val="28"/>
                <w:szCs w:val="28"/>
                <w:lang w:val="en-US" w:eastAsia="zh-CN"/>
              </w:rPr>
            </w:pPr>
          </w:p>
        </w:tc>
      </w:tr>
      <w:tr>
        <w:tblPrEx>
          <w:shd w:val="clear" w:color="auto" w:fill="auto"/>
          <w:tblLayout w:type="fixed"/>
          <w:tblCellMar>
            <w:top w:w="0" w:type="dxa"/>
            <w:left w:w="0" w:type="dxa"/>
            <w:bottom w:w="0" w:type="dxa"/>
            <w:right w:w="0" w:type="dxa"/>
          </w:tblCellMar>
        </w:tblPrEx>
        <w:trPr>
          <w:trHeight w:val="608" w:hRule="atLeast"/>
        </w:trPr>
        <w:tc>
          <w:tcPr>
            <w:tcW w:w="15959" w:type="dxa"/>
            <w:gridSpan w:val="10"/>
            <w:tcBorders>
              <w:top w:val="nil"/>
              <w:left w:val="nil"/>
              <w:bottom w:val="nil"/>
              <w:right w:val="nil"/>
            </w:tcBorders>
            <w:shd w:val="clear" w:color="auto" w:fill="FFFFFF"/>
            <w:noWrap/>
            <w:tcMar>
              <w:top w:w="15" w:type="dxa"/>
              <w:left w:w="15" w:type="dxa"/>
              <w:right w:w="15" w:type="dxa"/>
            </w:tcMar>
            <w:vAlign w:val="center"/>
          </w:tcPr>
          <w:tbl>
            <w:tblPr>
              <w:tblStyle w:val="6"/>
              <w:tblW w:w="15934" w:type="dxa"/>
              <w:tblInd w:w="-20" w:type="dxa"/>
              <w:shd w:val="clear" w:color="auto" w:fill="auto"/>
              <w:tblLayout w:type="fixed"/>
              <w:tblCellMar>
                <w:top w:w="0" w:type="dxa"/>
                <w:left w:w="0" w:type="dxa"/>
                <w:bottom w:w="0" w:type="dxa"/>
                <w:right w:w="0" w:type="dxa"/>
              </w:tblCellMar>
            </w:tblPr>
            <w:tblGrid>
              <w:gridCol w:w="5"/>
              <w:gridCol w:w="4425"/>
              <w:gridCol w:w="5"/>
              <w:gridCol w:w="564"/>
              <w:gridCol w:w="5"/>
              <w:gridCol w:w="1672"/>
              <w:gridCol w:w="5"/>
              <w:gridCol w:w="3648"/>
              <w:gridCol w:w="5"/>
              <w:gridCol w:w="564"/>
              <w:gridCol w:w="5"/>
              <w:gridCol w:w="1677"/>
              <w:gridCol w:w="834"/>
              <w:gridCol w:w="843"/>
              <w:gridCol w:w="834"/>
              <w:gridCol w:w="838"/>
              <w:gridCol w:w="5"/>
            </w:tblGrid>
            <w:tr>
              <w:tblPrEx>
                <w:shd w:val="clear" w:color="auto" w:fill="auto"/>
                <w:tblLayout w:type="fixed"/>
                <w:tblCellMar>
                  <w:top w:w="0" w:type="dxa"/>
                  <w:left w:w="0" w:type="dxa"/>
                  <w:bottom w:w="0" w:type="dxa"/>
                  <w:right w:w="0" w:type="dxa"/>
                </w:tblCellMar>
              </w:tblPrEx>
              <w:trPr>
                <w:gridBefore w:val="1"/>
                <w:wBefore w:w="5" w:type="dxa"/>
                <w:trHeight w:val="375" w:hRule="atLeast"/>
              </w:trPr>
              <w:tc>
                <w:tcPr>
                  <w:tcW w:w="4430"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53" w:type="dxa"/>
                  <w:gridSpan w:val="2"/>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财政拨款收入支出决算总表</w:t>
                  </w:r>
                </w:p>
              </w:tc>
              <w:tc>
                <w:tcPr>
                  <w:tcW w:w="569"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3"/>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Layout w:type="fixed"/>
                <w:tblCellMar>
                  <w:top w:w="0" w:type="dxa"/>
                  <w:left w:w="0" w:type="dxa"/>
                  <w:bottom w:w="0" w:type="dxa"/>
                  <w:right w:w="0" w:type="dxa"/>
                </w:tblCellMar>
              </w:tblPrEx>
              <w:trPr>
                <w:gridBefore w:val="1"/>
                <w:wBefore w:w="5" w:type="dxa"/>
                <w:trHeight w:val="300" w:hRule="atLeast"/>
              </w:trPr>
              <w:tc>
                <w:tcPr>
                  <w:tcW w:w="4430"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53"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69"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3"/>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公开04表</w:t>
                  </w:r>
                </w:p>
              </w:tc>
            </w:tr>
            <w:tr>
              <w:tblPrEx>
                <w:shd w:val="clear" w:color="auto" w:fill="auto"/>
                <w:tblLayout w:type="fixed"/>
                <w:tblCellMar>
                  <w:top w:w="0" w:type="dxa"/>
                  <w:left w:w="0" w:type="dxa"/>
                  <w:bottom w:w="0" w:type="dxa"/>
                  <w:right w:w="0" w:type="dxa"/>
                </w:tblCellMar>
              </w:tblPrEx>
              <w:trPr>
                <w:gridBefore w:val="1"/>
                <w:wBefore w:w="5" w:type="dxa"/>
                <w:trHeight w:val="300" w:hRule="atLeast"/>
              </w:trPr>
              <w:tc>
                <w:tcPr>
                  <w:tcW w:w="4430"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部门：中共罗山县委巡察工作领导小组办公室</w:t>
                  </w:r>
                </w:p>
              </w:tc>
              <w:tc>
                <w:tcPr>
                  <w:tcW w:w="569"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653"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569"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677" w:type="dxa"/>
                  <w:gridSpan w:val="3"/>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gridAfter w:val="1"/>
                <w:wAfter w:w="5" w:type="dxa"/>
                <w:trHeight w:val="300" w:hRule="atLeast"/>
              </w:trPr>
              <w:tc>
                <w:tcPr>
                  <w:tcW w:w="6676" w:type="dxa"/>
                  <w:gridSpan w:val="6"/>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收     入</w:t>
                  </w:r>
                </w:p>
              </w:tc>
              <w:tc>
                <w:tcPr>
                  <w:tcW w:w="9253" w:type="dxa"/>
                  <w:gridSpan w:val="10"/>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     出</w:t>
                  </w:r>
                </w:p>
              </w:tc>
            </w:tr>
            <w:tr>
              <w:tblPrEx>
                <w:tblLayout w:type="fixed"/>
                <w:tblCellMar>
                  <w:top w:w="0" w:type="dxa"/>
                  <w:left w:w="0" w:type="dxa"/>
                  <w:bottom w:w="0" w:type="dxa"/>
                  <w:right w:w="0" w:type="dxa"/>
                </w:tblCellMar>
              </w:tblPrEx>
              <w:trPr>
                <w:gridAfter w:val="1"/>
                <w:wAfter w:w="5" w:type="dxa"/>
                <w:trHeight w:val="285" w:hRule="atLeast"/>
              </w:trPr>
              <w:tc>
                <w:tcPr>
                  <w:tcW w:w="4430" w:type="dxa"/>
                  <w:gridSpan w:val="2"/>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677"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p>
              </w:tc>
              <w:tc>
                <w:tcPr>
                  <w:tcW w:w="3653"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569"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516" w:type="dxa"/>
                  <w:gridSpan w:val="3"/>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77" w:type="dxa"/>
                  <w:gridSpan w:val="2"/>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一般公共预算财政拨款</w:t>
                  </w:r>
                </w:p>
              </w:tc>
              <w:tc>
                <w:tcPr>
                  <w:tcW w:w="83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政府性基金预算财政拨款</w:t>
                  </w:r>
                </w:p>
              </w:tc>
            </w:tr>
            <w:tr>
              <w:tblPrEx>
                <w:tblLayout w:type="fixed"/>
                <w:tblCellMar>
                  <w:top w:w="0" w:type="dxa"/>
                  <w:left w:w="0" w:type="dxa"/>
                  <w:bottom w:w="0" w:type="dxa"/>
                  <w:right w:w="0" w:type="dxa"/>
                </w:tblCellMar>
              </w:tblPrEx>
              <w:trPr>
                <w:gridAfter w:val="1"/>
                <w:wAfter w:w="5" w:type="dxa"/>
                <w:trHeight w:val="600" w:hRule="atLeast"/>
              </w:trPr>
              <w:tc>
                <w:tcPr>
                  <w:tcW w:w="4430" w:type="dxa"/>
                  <w:gridSpan w:val="2"/>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569"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53"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pPr>
                    <w:jc w:val="both"/>
                    <w:rPr>
                      <w:rFonts w:hint="eastAsia" w:ascii="宋体" w:hAnsi="宋体" w:eastAsia="宋体" w:cs="宋体"/>
                      <w:i w:val="0"/>
                      <w:color w:val="000000"/>
                      <w:sz w:val="20"/>
                      <w:szCs w:val="20"/>
                      <w:u w:val="none"/>
                    </w:rPr>
                  </w:pPr>
                </w:p>
              </w:tc>
              <w:tc>
                <w:tcPr>
                  <w:tcW w:w="569"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6" w:type="dxa"/>
                  <w:gridSpan w:val="3"/>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gridSpan w:val="2"/>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16"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7"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83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十四、资源勘探信息等支出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二十一、灾害防治及应急管理支出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二十二、其他支出</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年初财政拨款结转和结余</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年末财政拨款结转和结余</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After w:val="1"/>
                <w:wAfter w:w="5" w:type="dxa"/>
                <w:trHeight w:val="300" w:hRule="atLeast"/>
              </w:trPr>
              <w:tc>
                <w:tcPr>
                  <w:tcW w:w="4430"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3653"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569" w:type="dxa"/>
                  <w:gridSpan w:val="2"/>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2516" w:type="dxa"/>
                  <w:gridSpan w:val="3"/>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1677" w:type="dxa"/>
                  <w:gridSpan w:val="2"/>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83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gridBefore w:val="1"/>
                <w:wBefore w:w="5" w:type="dxa"/>
                <w:trHeight w:val="540" w:hRule="atLeast"/>
              </w:trPr>
              <w:tc>
                <w:tcPr>
                  <w:tcW w:w="15929" w:type="dxa"/>
                  <w:gridSpan w:val="16"/>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注：本表反映部门本年度一般公共预算财政拨款和政府性基金预算财政拨款的总收支和年末结转结余情况。本表金额转换为万元时，因四舍五入可能存在尾差。</w:t>
                  </w:r>
                </w:p>
              </w:tc>
            </w:tr>
            <w:tr>
              <w:tblPrEx>
                <w:shd w:val="clear" w:color="auto" w:fill="auto"/>
                <w:tblLayout w:type="fixed"/>
                <w:tblCellMar>
                  <w:top w:w="0" w:type="dxa"/>
                  <w:left w:w="0" w:type="dxa"/>
                  <w:bottom w:w="0" w:type="dxa"/>
                  <w:right w:w="0" w:type="dxa"/>
                </w:tblCellMar>
              </w:tblPrEx>
              <w:trPr>
                <w:gridBefore w:val="1"/>
                <w:wBefore w:w="5" w:type="dxa"/>
                <w:trHeight w:val="540" w:hRule="atLeast"/>
              </w:trPr>
              <w:tc>
                <w:tcPr>
                  <w:tcW w:w="15929" w:type="dxa"/>
                  <w:gridSpan w:val="16"/>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bl>
          <w:p>
            <w:pPr>
              <w:widowControl/>
              <w:jc w:val="left"/>
              <w:rPr>
                <w:rFonts w:hint="eastAsia" w:ascii="黑体" w:hAnsi="宋体" w:eastAsia="黑体" w:cs="宋体"/>
                <w:color w:val="000000"/>
                <w:kern w:val="0"/>
                <w:sz w:val="28"/>
                <w:szCs w:val="28"/>
                <w:lang w:val="en-US" w:eastAsia="zh-CN"/>
              </w:rPr>
            </w:pPr>
          </w:p>
        </w:tc>
      </w:tr>
    </w:tbl>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5122" w:type="dxa"/>
        <w:tblInd w:w="0" w:type="dxa"/>
        <w:shd w:val="clear" w:color="auto" w:fill="auto"/>
        <w:tblLayout w:type="fixed"/>
        <w:tblCellMar>
          <w:top w:w="0" w:type="dxa"/>
          <w:left w:w="0" w:type="dxa"/>
          <w:bottom w:w="0" w:type="dxa"/>
          <w:right w:w="0" w:type="dxa"/>
        </w:tblCellMar>
      </w:tblPr>
      <w:tblGrid>
        <w:gridCol w:w="4252"/>
        <w:gridCol w:w="317"/>
        <w:gridCol w:w="317"/>
        <w:gridCol w:w="3765"/>
        <w:gridCol w:w="2157"/>
        <w:gridCol w:w="2157"/>
        <w:gridCol w:w="2157"/>
      </w:tblGrid>
      <w:tr>
        <w:tblPrEx>
          <w:tblLayout w:type="fixed"/>
          <w:tblCellMar>
            <w:top w:w="0" w:type="dxa"/>
            <w:left w:w="0" w:type="dxa"/>
            <w:bottom w:w="0" w:type="dxa"/>
            <w:right w:w="0" w:type="dxa"/>
          </w:tblCellMar>
        </w:tblPrEx>
        <w:trPr>
          <w:trHeight w:val="375" w:hRule="atLeast"/>
        </w:trPr>
        <w:tc>
          <w:tcPr>
            <w:tcW w:w="425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65"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一般公共预算财政拨款支出决算表</w:t>
            </w:r>
          </w:p>
        </w:tc>
        <w:tc>
          <w:tcPr>
            <w:tcW w:w="21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nil"/>
              <w:right w:val="single" w:color="80808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Layout w:type="fixed"/>
          <w:tblCellMar>
            <w:top w:w="0" w:type="dxa"/>
            <w:left w:w="0" w:type="dxa"/>
            <w:bottom w:w="0" w:type="dxa"/>
            <w:right w:w="0" w:type="dxa"/>
          </w:tblCellMar>
        </w:tblPrEx>
        <w:trPr>
          <w:trHeight w:val="300" w:hRule="atLeast"/>
        </w:trPr>
        <w:tc>
          <w:tcPr>
            <w:tcW w:w="4252"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65"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公开05表</w:t>
            </w:r>
          </w:p>
        </w:tc>
      </w:tr>
      <w:tr>
        <w:tblPrEx>
          <w:tblLayout w:type="fixed"/>
          <w:tblCellMar>
            <w:top w:w="0" w:type="dxa"/>
            <w:left w:w="0" w:type="dxa"/>
            <w:bottom w:w="0" w:type="dxa"/>
            <w:right w:w="0" w:type="dxa"/>
          </w:tblCellMar>
        </w:tblPrEx>
        <w:trPr>
          <w:trHeight w:val="300" w:hRule="atLeast"/>
        </w:trPr>
        <w:tc>
          <w:tcPr>
            <w:tcW w:w="4252"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部门：中共罗山县委巡察工作领导小组办公室</w:t>
            </w:r>
          </w:p>
        </w:tc>
        <w:tc>
          <w:tcPr>
            <w:tcW w:w="31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765" w:type="dxa"/>
            <w:tcBorders>
              <w:top w:val="nil"/>
              <w:left w:val="nil"/>
              <w:bottom w:val="single" w:color="808080" w:sz="4" w:space="0"/>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c>
          <w:tcPr>
            <w:tcW w:w="215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157"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shd w:val="clear" w:color="auto" w:fill="auto"/>
          <w:tblLayout w:type="fixed"/>
          <w:tblCellMar>
            <w:top w:w="0" w:type="dxa"/>
            <w:left w:w="0" w:type="dxa"/>
            <w:bottom w:w="0" w:type="dxa"/>
            <w:right w:w="0" w:type="dxa"/>
          </w:tblCellMar>
        </w:tblPrEx>
        <w:trPr>
          <w:trHeight w:val="300" w:hRule="atLeast"/>
        </w:trPr>
        <w:tc>
          <w:tcPr>
            <w:tcW w:w="865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w:t>
            </w:r>
          </w:p>
        </w:tc>
        <w:tc>
          <w:tcPr>
            <w:tcW w:w="6471"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本年支出</w:t>
            </w:r>
          </w:p>
        </w:tc>
      </w:tr>
      <w:tr>
        <w:tblPrEx>
          <w:shd w:val="clear" w:color="auto" w:fill="auto"/>
          <w:tblLayout w:type="fixed"/>
          <w:tblCellMar>
            <w:top w:w="0" w:type="dxa"/>
            <w:left w:w="0" w:type="dxa"/>
            <w:bottom w:w="0" w:type="dxa"/>
            <w:right w:w="0" w:type="dxa"/>
          </w:tblCellMar>
        </w:tblPrEx>
        <w:trPr>
          <w:trHeight w:val="300" w:hRule="atLeast"/>
        </w:trPr>
        <w:tc>
          <w:tcPr>
            <w:tcW w:w="4886"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功能分类科目编码</w:t>
            </w:r>
          </w:p>
        </w:tc>
        <w:tc>
          <w:tcPr>
            <w:tcW w:w="3765"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21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21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基本支出</w:t>
            </w:r>
          </w:p>
        </w:tc>
        <w:tc>
          <w:tcPr>
            <w:tcW w:w="215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项目支出</w:t>
            </w:r>
          </w:p>
        </w:tc>
      </w:tr>
      <w:tr>
        <w:tblPrEx>
          <w:tblLayout w:type="fixed"/>
          <w:tblCellMar>
            <w:top w:w="0" w:type="dxa"/>
            <w:left w:w="0" w:type="dxa"/>
            <w:bottom w:w="0" w:type="dxa"/>
            <w:right w:w="0" w:type="dxa"/>
          </w:tblCellMar>
        </w:tblPrEx>
        <w:trPr>
          <w:trHeight w:val="270" w:hRule="atLeast"/>
        </w:trPr>
        <w:tc>
          <w:tcPr>
            <w:tcW w:w="488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6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4886"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765"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5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865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栏次</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shd w:val="clear" w:color="auto" w:fill="auto"/>
          <w:tblLayout w:type="fixed"/>
          <w:tblCellMar>
            <w:top w:w="0" w:type="dxa"/>
            <w:left w:w="0" w:type="dxa"/>
            <w:bottom w:w="0" w:type="dxa"/>
            <w:right w:w="0" w:type="dxa"/>
          </w:tblCellMar>
        </w:tblPrEx>
        <w:trPr>
          <w:trHeight w:val="300" w:hRule="atLeast"/>
        </w:trPr>
        <w:tc>
          <w:tcPr>
            <w:tcW w:w="8651"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488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w:t>
            </w:r>
          </w:p>
        </w:tc>
        <w:tc>
          <w:tcPr>
            <w:tcW w:w="37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一般公共服务支出</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86"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20199</w:t>
            </w:r>
          </w:p>
        </w:tc>
        <w:tc>
          <w:tcPr>
            <w:tcW w:w="37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其他一般公共服务支出</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right"/>
              <w:rPr>
                <w:rFonts w:hint="eastAsia" w:ascii="宋体" w:hAnsi="宋体" w:eastAsia="宋体" w:cs="宋体"/>
                <w:b/>
                <w:i w:val="0"/>
                <w:color w:val="000000"/>
                <w:sz w:val="20"/>
                <w:szCs w:val="20"/>
                <w:u w:val="none"/>
              </w:rPr>
            </w:pPr>
          </w:p>
        </w:tc>
      </w:tr>
      <w:tr>
        <w:tblPrEx>
          <w:tblLayout w:type="fixed"/>
          <w:tblCellMar>
            <w:top w:w="0" w:type="dxa"/>
            <w:left w:w="0" w:type="dxa"/>
            <w:bottom w:w="0" w:type="dxa"/>
            <w:right w:w="0" w:type="dxa"/>
          </w:tblCellMar>
        </w:tblPrEx>
        <w:trPr>
          <w:trHeight w:val="300" w:hRule="atLeast"/>
        </w:trPr>
        <w:tc>
          <w:tcPr>
            <w:tcW w:w="4886"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2019999</w:t>
            </w:r>
          </w:p>
        </w:tc>
        <w:tc>
          <w:tcPr>
            <w:tcW w:w="3765"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其他一般公共服务支出</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2,575,950.77</w:t>
            </w:r>
          </w:p>
        </w:tc>
        <w:tc>
          <w:tcPr>
            <w:tcW w:w="215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00" w:hRule="atLeast"/>
        </w:trPr>
        <w:tc>
          <w:tcPr>
            <w:tcW w:w="15122" w:type="dxa"/>
            <w:gridSpan w:val="7"/>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注：本表反映部门本年度一般公共预算财政拨款支出情况。本表金额转换为万元时，因四舍五入可能存在尾差。</w:t>
            </w:r>
          </w:p>
        </w:tc>
      </w:tr>
    </w:tbl>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5140" w:type="dxa"/>
        <w:tblInd w:w="0" w:type="dxa"/>
        <w:shd w:val="clear" w:color="auto" w:fill="auto"/>
        <w:tblLayout w:type="fixed"/>
        <w:tblCellMar>
          <w:top w:w="0" w:type="dxa"/>
          <w:left w:w="0" w:type="dxa"/>
          <w:bottom w:w="0" w:type="dxa"/>
          <w:right w:w="0" w:type="dxa"/>
        </w:tblCellMar>
      </w:tblPr>
      <w:tblGrid>
        <w:gridCol w:w="784"/>
        <w:gridCol w:w="3250"/>
        <w:gridCol w:w="1763"/>
        <w:gridCol w:w="833"/>
        <w:gridCol w:w="1790"/>
        <w:gridCol w:w="1056"/>
        <w:gridCol w:w="811"/>
        <w:gridCol w:w="3509"/>
        <w:gridCol w:w="1344"/>
      </w:tblGrid>
      <w:tr>
        <w:tblPrEx>
          <w:shd w:val="clear" w:color="auto" w:fill="auto"/>
          <w:tblLayout w:type="fixed"/>
          <w:tblCellMar>
            <w:top w:w="0" w:type="dxa"/>
            <w:left w:w="0" w:type="dxa"/>
            <w:bottom w:w="0" w:type="dxa"/>
            <w:right w:w="0" w:type="dxa"/>
          </w:tblCellMar>
        </w:tblPrEx>
        <w:trPr>
          <w:trHeight w:val="90" w:hRule="atLeast"/>
        </w:trPr>
        <w:tc>
          <w:tcPr>
            <w:tcW w:w="15140" w:type="dxa"/>
            <w:gridSpan w:val="9"/>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30"/>
                <w:szCs w:val="30"/>
                <w:u w:val="none"/>
                <w:lang w:val="en-US" w:eastAsia="zh-CN" w:bidi="ar"/>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84"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25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6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33"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9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56"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1"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509"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344"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Layout w:type="fixed"/>
          <w:tblCellMar>
            <w:top w:w="0" w:type="dxa"/>
            <w:left w:w="0" w:type="dxa"/>
            <w:bottom w:w="0" w:type="dxa"/>
            <w:right w:w="0" w:type="dxa"/>
          </w:tblCellMar>
        </w:tblPrEx>
        <w:trPr>
          <w:trHeight w:val="90" w:hRule="atLeast"/>
        </w:trPr>
        <w:tc>
          <w:tcPr>
            <w:tcW w:w="5797" w:type="dxa"/>
            <w:gridSpan w:val="3"/>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部门：中共罗山县委巡察工作领导小组办公室</w:t>
            </w:r>
          </w:p>
        </w:tc>
        <w:tc>
          <w:tcPr>
            <w:tcW w:w="833"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790"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56"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11"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853" w:type="dxa"/>
            <w:gridSpan w:val="2"/>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金额单位：元</w:t>
            </w:r>
          </w:p>
        </w:tc>
      </w:tr>
      <w:tr>
        <w:tblPrEx>
          <w:shd w:val="clear" w:color="auto" w:fill="auto"/>
          <w:tblLayout w:type="fixed"/>
          <w:tblCellMar>
            <w:top w:w="0" w:type="dxa"/>
            <w:left w:w="0" w:type="dxa"/>
            <w:bottom w:w="0" w:type="dxa"/>
            <w:right w:w="0" w:type="dxa"/>
          </w:tblCellMar>
        </w:tblPrEx>
        <w:trPr>
          <w:trHeight w:val="90" w:hRule="atLeast"/>
        </w:trPr>
        <w:tc>
          <w:tcPr>
            <w:tcW w:w="579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w:t>
            </w:r>
          </w:p>
        </w:tc>
        <w:tc>
          <w:tcPr>
            <w:tcW w:w="9343"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25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7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179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05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c>
          <w:tcPr>
            <w:tcW w:w="81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科目编码</w:t>
            </w:r>
          </w:p>
        </w:tc>
        <w:tc>
          <w:tcPr>
            <w:tcW w:w="350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科目名称</w:t>
            </w:r>
          </w:p>
        </w:tc>
        <w:tc>
          <w:tcPr>
            <w:tcW w:w="134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5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79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5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1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50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4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1,819,126.83</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681,169.94</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基本工资</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841,451.00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115,477.00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津贴补贴</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136,442.00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印刷费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奖金</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277,399.00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咨询费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34,944.00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伙食补助费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手续费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绩效工资</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水费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1,079.00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34,944.00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372,288.24</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职业年金缴费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邮电费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17,316.00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职工基本医疗保险缴费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77,407.14</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取暖费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公务员医疗补助缴费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物业管理费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其他社会保障缴费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3,723.73</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差旅费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181,444.00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110,415.72</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因公出国（境）费用</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维修（护）费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租赁费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40,710.00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会议费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离休费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培训费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26,279.00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退休费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公务接待费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退职（役）费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专用材料费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抚恤金</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被装购置费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生活补助</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40,710.00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专用燃料费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救济费</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劳务费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医疗费补助</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委托业务费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39906</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赠与</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助学金</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工会经费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43,900.00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奖励金</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福利费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74,133.00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个人农业生产补贴</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公务用车运行维护费</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61,841.94</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其他对个人和家庭的补助</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其他交通费用</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159,700.00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税金及附加费用</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0" w:hRule="atLeast"/>
        </w:trPr>
        <w:tc>
          <w:tcPr>
            <w:tcW w:w="784"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25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179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其他商品和服务支出</w:t>
            </w:r>
          </w:p>
        </w:tc>
        <w:tc>
          <w:tcPr>
            <w:tcW w:w="10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81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350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90" w:hRule="atLeast"/>
        </w:trPr>
        <w:tc>
          <w:tcPr>
            <w:tcW w:w="4034"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17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1,859,836.83</w:t>
            </w:r>
          </w:p>
        </w:tc>
        <w:tc>
          <w:tcPr>
            <w:tcW w:w="7999"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134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716,113.94</w:t>
            </w:r>
          </w:p>
        </w:tc>
      </w:tr>
      <w:tr>
        <w:tblPrEx>
          <w:shd w:val="clear" w:color="auto" w:fill="auto"/>
          <w:tblLayout w:type="fixed"/>
          <w:tblCellMar>
            <w:top w:w="0" w:type="dxa"/>
            <w:left w:w="0" w:type="dxa"/>
            <w:bottom w:w="0" w:type="dxa"/>
            <w:right w:w="0" w:type="dxa"/>
          </w:tblCellMar>
        </w:tblPrEx>
        <w:trPr>
          <w:trHeight w:val="90" w:hRule="atLeast"/>
        </w:trPr>
        <w:tc>
          <w:tcPr>
            <w:tcW w:w="15140" w:type="dxa"/>
            <w:gridSpan w:val="9"/>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注：本表反映部门本年度一般公共预算财政拨款基本支出明细情况。本表金额转换为万元时，因四舍五入可能存在尾差。</w:t>
            </w:r>
          </w:p>
        </w:tc>
      </w:tr>
    </w:tbl>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5820" w:type="dxa"/>
        <w:tblInd w:w="0" w:type="dxa"/>
        <w:shd w:val="clear" w:color="auto" w:fill="auto"/>
        <w:tblLayout w:type="fixed"/>
        <w:tblCellMar>
          <w:top w:w="0" w:type="dxa"/>
          <w:left w:w="0" w:type="dxa"/>
          <w:bottom w:w="0" w:type="dxa"/>
          <w:right w:w="0" w:type="dxa"/>
        </w:tblCellMar>
      </w:tblPr>
      <w:tblGrid>
        <w:gridCol w:w="990"/>
        <w:gridCol w:w="3648"/>
        <w:gridCol w:w="1118"/>
        <w:gridCol w:w="1118"/>
        <w:gridCol w:w="1118"/>
        <w:gridCol w:w="1118"/>
        <w:gridCol w:w="1118"/>
        <w:gridCol w:w="1118"/>
        <w:gridCol w:w="1118"/>
        <w:gridCol w:w="1118"/>
        <w:gridCol w:w="1118"/>
        <w:gridCol w:w="1120"/>
      </w:tblGrid>
      <w:tr>
        <w:tblPrEx>
          <w:shd w:val="clear" w:color="auto" w:fill="auto"/>
          <w:tblLayout w:type="fixed"/>
          <w:tblCellMar>
            <w:top w:w="0" w:type="dxa"/>
            <w:left w:w="0" w:type="dxa"/>
            <w:bottom w:w="0" w:type="dxa"/>
            <w:right w:w="0" w:type="dxa"/>
          </w:tblCellMar>
        </w:tblPrEx>
        <w:trPr>
          <w:trHeight w:val="620" w:hRule="atLeast"/>
        </w:trPr>
        <w:tc>
          <w:tcPr>
            <w:tcW w:w="15820" w:type="dxa"/>
            <w:gridSpan w:val="12"/>
            <w:tcBorders>
              <w:top w:val="nil"/>
              <w:left w:val="nil"/>
              <w:bottom w:val="nil"/>
              <w:right w:val="single" w:color="80808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r>
              <w:rPr>
                <w:rFonts w:hint="eastAsia" w:ascii="黑体" w:hAnsi="宋体" w:eastAsia="黑体" w:cs="黑体"/>
                <w:i w:val="0"/>
                <w:color w:val="000000"/>
                <w:kern w:val="0"/>
                <w:sz w:val="44"/>
                <w:szCs w:val="44"/>
                <w:u w:val="none"/>
                <w:lang w:val="en-US" w:eastAsia="zh-CN" w:bidi="ar"/>
              </w:rPr>
              <w:t>一般公共预算财政拨款“三公”经费支出决算表</w:t>
            </w:r>
          </w:p>
        </w:tc>
      </w:tr>
      <w:tr>
        <w:tblPrEx>
          <w:tblLayout w:type="fixed"/>
          <w:tblCellMar>
            <w:top w:w="0" w:type="dxa"/>
            <w:left w:w="0" w:type="dxa"/>
            <w:bottom w:w="0" w:type="dxa"/>
            <w:right w:w="0" w:type="dxa"/>
          </w:tblCellMar>
        </w:tblPrEx>
        <w:trPr>
          <w:trHeight w:val="318" w:hRule="atLeast"/>
        </w:trPr>
        <w:tc>
          <w:tcPr>
            <w:tcW w:w="4638"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预算代码：105</w:t>
            </w: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default" w:ascii="宋体" w:hAnsi="宋体" w:eastAsia="宋体" w:cs="宋体"/>
                <w:i w:val="0"/>
                <w:color w:val="000000"/>
                <w:sz w:val="18"/>
                <w:szCs w:val="18"/>
                <w:u w:val="none"/>
                <w:lang w:val="en-US" w:eastAsia="zh-CN"/>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0" w:type="dxa"/>
            <w:tcBorders>
              <w:top w:val="nil"/>
              <w:left w:val="nil"/>
              <w:bottom w:val="nil"/>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公开07表</w:t>
            </w:r>
          </w:p>
        </w:tc>
      </w:tr>
      <w:tr>
        <w:tblPrEx>
          <w:tblLayout w:type="fixed"/>
          <w:tblCellMar>
            <w:top w:w="0" w:type="dxa"/>
            <w:left w:w="0" w:type="dxa"/>
            <w:bottom w:w="0" w:type="dxa"/>
            <w:right w:w="0" w:type="dxa"/>
          </w:tblCellMar>
        </w:tblPrEx>
        <w:trPr>
          <w:trHeight w:val="318" w:hRule="atLeast"/>
        </w:trPr>
        <w:tc>
          <w:tcPr>
            <w:tcW w:w="4638" w:type="dxa"/>
            <w:gridSpan w:val="2"/>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部门：中共罗山县委巡察工作领导小组办公室</w:t>
            </w: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8" w:type="dxa"/>
            <w:tcBorders>
              <w:top w:val="nil"/>
              <w:left w:val="nil"/>
              <w:bottom w:val="single" w:color="80808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0" w:type="dxa"/>
            <w:tcBorders>
              <w:top w:val="nil"/>
              <w:left w:val="nil"/>
              <w:bottom w:val="single" w:color="808080" w:sz="4" w:space="0"/>
              <w:right w:val="single" w:color="80808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金额单位：元</w:t>
            </w:r>
          </w:p>
        </w:tc>
      </w:tr>
      <w:tr>
        <w:tblPrEx>
          <w:tblLayout w:type="fixed"/>
          <w:tblCellMar>
            <w:top w:w="0" w:type="dxa"/>
            <w:left w:w="0" w:type="dxa"/>
            <w:bottom w:w="0" w:type="dxa"/>
            <w:right w:w="0" w:type="dxa"/>
          </w:tblCellMar>
        </w:tblPrEx>
        <w:trPr>
          <w:trHeight w:val="327" w:hRule="atLeast"/>
        </w:trPr>
        <w:tc>
          <w:tcPr>
            <w:tcW w:w="9110"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预算数</w:t>
            </w:r>
          </w:p>
        </w:tc>
        <w:tc>
          <w:tcPr>
            <w:tcW w:w="6710"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决算数</w:t>
            </w:r>
          </w:p>
        </w:tc>
      </w:tr>
      <w:tr>
        <w:tblPrEx>
          <w:shd w:val="clear" w:color="auto" w:fill="auto"/>
          <w:tblLayout w:type="fixed"/>
          <w:tblCellMar>
            <w:top w:w="0" w:type="dxa"/>
            <w:left w:w="0" w:type="dxa"/>
            <w:bottom w:w="0" w:type="dxa"/>
            <w:right w:w="0" w:type="dxa"/>
          </w:tblCellMar>
        </w:tblPrEx>
        <w:trPr>
          <w:trHeight w:val="327" w:hRule="atLeast"/>
        </w:trPr>
        <w:tc>
          <w:tcPr>
            <w:tcW w:w="990"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364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5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1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1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w:t>
            </w:r>
          </w:p>
        </w:tc>
        <w:tc>
          <w:tcPr>
            <w:tcW w:w="3354"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公务用车购置及运行费</w:t>
            </w:r>
          </w:p>
        </w:tc>
        <w:tc>
          <w:tcPr>
            <w:tcW w:w="112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r>
      <w:tr>
        <w:tblPrEx>
          <w:tblLayout w:type="fixed"/>
          <w:tblCellMar>
            <w:top w:w="0" w:type="dxa"/>
            <w:left w:w="0" w:type="dxa"/>
            <w:bottom w:w="0" w:type="dxa"/>
            <w:right w:w="0" w:type="dxa"/>
          </w:tblCellMar>
        </w:tblPrEx>
        <w:trPr>
          <w:trHeight w:val="630" w:hRule="atLeast"/>
        </w:trPr>
        <w:tc>
          <w:tcPr>
            <w:tcW w:w="990"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64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公务用车购置费</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公务用车运行费</w:t>
            </w:r>
          </w:p>
        </w:tc>
        <w:tc>
          <w:tcPr>
            <w:tcW w:w="112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Layout w:type="fixed"/>
          <w:tblCellMar>
            <w:top w:w="0" w:type="dxa"/>
            <w:left w:w="0" w:type="dxa"/>
            <w:bottom w:w="0" w:type="dxa"/>
            <w:right w:w="0" w:type="dxa"/>
          </w:tblCellMar>
        </w:tblPrEx>
        <w:trPr>
          <w:trHeight w:val="327" w:hRule="atLeast"/>
        </w:trPr>
        <w:tc>
          <w:tcPr>
            <w:tcW w:w="990"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64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11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12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r>
      <w:tr>
        <w:tblPrEx>
          <w:shd w:val="clear" w:color="auto" w:fill="auto"/>
          <w:tblLayout w:type="fixed"/>
          <w:tblCellMar>
            <w:top w:w="0" w:type="dxa"/>
            <w:left w:w="0" w:type="dxa"/>
            <w:bottom w:w="0" w:type="dxa"/>
            <w:right w:w="0" w:type="dxa"/>
          </w:tblCellMar>
        </w:tblPrEx>
        <w:trPr>
          <w:trHeight w:val="327" w:hRule="atLeast"/>
        </w:trPr>
        <w:tc>
          <w:tcPr>
            <w:tcW w:w="990" w:type="dxa"/>
            <w:tcBorders>
              <w:top w:val="nil"/>
              <w:left w:val="single" w:color="000000" w:sz="4" w:space="0"/>
              <w:bottom w:val="single" w:color="000000" w:sz="4" w:space="0"/>
              <w:right w:val="single" w:color="000000" w:sz="4" w:space="0"/>
            </w:tcBorders>
            <w:shd w:val="clear" w:color="auto" w:fill="00FF00"/>
            <w:noWrap/>
            <w:tcMar>
              <w:top w:w="15" w:type="dxa"/>
              <w:left w:w="15" w:type="dxa"/>
              <w:right w:w="15" w:type="dxa"/>
            </w:tcMar>
            <w:vAlign w:val="center"/>
          </w:tcPr>
          <w:p>
            <w:pPr>
              <w:tabs>
                <w:tab w:val="left" w:pos="311"/>
              </w:tabs>
              <w:jc w:val="lef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eastAsia="zh-CN"/>
              </w:rPr>
              <w:tab/>
            </w:r>
            <w:r>
              <w:rPr>
                <w:rFonts w:hint="eastAsia" w:ascii="宋体" w:hAnsi="宋体" w:cs="宋体"/>
                <w:i w:val="0"/>
                <w:color w:val="000000"/>
                <w:sz w:val="20"/>
                <w:szCs w:val="20"/>
                <w:u w:val="none"/>
                <w:lang w:val="en-US" w:eastAsia="zh-CN"/>
              </w:rPr>
              <w:t>75000</w:t>
            </w:r>
            <w:bookmarkStart w:id="1" w:name="_GoBack"/>
            <w:bookmarkEnd w:id="1"/>
          </w:p>
        </w:tc>
        <w:tc>
          <w:tcPr>
            <w:tcW w:w="364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75000</w:t>
            </w:r>
          </w:p>
        </w:tc>
        <w:tc>
          <w:tcPr>
            <w:tcW w:w="1118" w:type="dxa"/>
            <w:tcBorders>
              <w:top w:val="nil"/>
              <w:left w:val="nil"/>
              <w:bottom w:val="single" w:color="000000" w:sz="4" w:space="0"/>
              <w:right w:val="single" w:color="000000" w:sz="4" w:space="0"/>
            </w:tcBorders>
            <w:shd w:val="clear" w:color="auto" w:fill="00FF00"/>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75000</w:t>
            </w: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61,841.94</w:t>
            </w: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61,841.94</w:t>
            </w: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1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61,841.94</w:t>
            </w:r>
          </w:p>
        </w:tc>
        <w:tc>
          <w:tcPr>
            <w:tcW w:w="112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Layout w:type="fixed"/>
          <w:tblCellMar>
            <w:top w:w="0" w:type="dxa"/>
            <w:left w:w="0" w:type="dxa"/>
            <w:bottom w:w="0" w:type="dxa"/>
            <w:right w:w="0" w:type="dxa"/>
          </w:tblCellMar>
        </w:tblPrEx>
        <w:trPr>
          <w:trHeight w:val="630" w:hRule="atLeast"/>
        </w:trPr>
        <w:tc>
          <w:tcPr>
            <w:tcW w:w="15820" w:type="dxa"/>
            <w:gridSpan w:val="12"/>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p>
      <w:pPr>
        <w:widowControl/>
        <w:jc w:val="left"/>
        <w:rPr>
          <w:rFonts w:hint="eastAsia" w:ascii="黑体" w:hAnsi="宋体" w:eastAsia="黑体" w:cs="宋体"/>
          <w:color w:val="000000"/>
          <w:kern w:val="0"/>
          <w:sz w:val="28"/>
          <w:szCs w:val="28"/>
        </w:rPr>
      </w:pPr>
    </w:p>
    <w:tbl>
      <w:tblPr>
        <w:tblStyle w:val="6"/>
        <w:tblW w:w="13983" w:type="dxa"/>
        <w:tblInd w:w="0" w:type="dxa"/>
        <w:tblLayout w:type="fixed"/>
        <w:tblCellMar>
          <w:top w:w="15" w:type="dxa"/>
          <w:left w:w="15" w:type="dxa"/>
          <w:bottom w:w="15" w:type="dxa"/>
          <w:right w:w="15" w:type="dxa"/>
        </w:tblCellMar>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tblPrEx>
          <w:tblLayout w:type="fixed"/>
          <w:tblCellMar>
            <w:top w:w="15" w:type="dxa"/>
            <w:left w:w="15" w:type="dxa"/>
            <w:bottom w:w="15" w:type="dxa"/>
            <w:right w:w="15" w:type="dxa"/>
          </w:tblCellMar>
        </w:tblPrEx>
        <w:trPr>
          <w:trHeight w:val="540" w:hRule="atLeast"/>
        </w:trPr>
        <w:tc>
          <w:tcPr>
            <w:tcW w:w="13983" w:type="dxa"/>
            <w:gridSpan w:val="27"/>
            <w:shd w:val="clear" w:color="auto" w:fill="FFFFFF"/>
            <w:noWrap w:val="0"/>
            <w:vAlign w:val="center"/>
          </w:tcPr>
          <w:p>
            <w:pPr>
              <w:widowControl/>
              <w:jc w:val="center"/>
              <w:textAlignment w:val="center"/>
              <w:rPr>
                <w:rFonts w:hint="eastAsia" w:ascii="宋体" w:hAnsi="宋体" w:cs="宋体"/>
                <w:color w:val="000000"/>
                <w:sz w:val="44"/>
                <w:szCs w:val="44"/>
              </w:rPr>
            </w:pPr>
            <w:r>
              <w:rPr>
                <w:rFonts w:hint="eastAsia" w:ascii="宋体" w:hAnsi="宋体" w:cs="宋体"/>
                <w:color w:val="000000"/>
                <w:kern w:val="0"/>
                <w:sz w:val="44"/>
                <w:szCs w:val="44"/>
                <w:lang w:bidi="ar"/>
              </w:rPr>
              <w:t>政府性基金预算财政拨款收入支出决算表</w:t>
            </w:r>
          </w:p>
        </w:tc>
      </w:tr>
      <w:tr>
        <w:tblPrEx>
          <w:tblLayout w:type="fixed"/>
          <w:tblCellMar>
            <w:top w:w="15" w:type="dxa"/>
            <w:left w:w="15" w:type="dxa"/>
            <w:bottom w:w="15" w:type="dxa"/>
            <w:right w:w="15" w:type="dxa"/>
          </w:tblCellMar>
        </w:tblPrEx>
        <w:trPr>
          <w:trHeight w:val="285" w:hRule="atLeast"/>
        </w:trPr>
        <w:tc>
          <w:tcPr>
            <w:tcW w:w="251" w:type="dxa"/>
            <w:noWrap w:val="0"/>
            <w:vAlign w:val="bottom"/>
          </w:tcPr>
          <w:p>
            <w:pPr>
              <w:rPr>
                <w:rFonts w:hint="eastAsia" w:ascii="Arial" w:hAnsi="Arial" w:cs="Arial"/>
                <w:color w:val="000000"/>
                <w:sz w:val="20"/>
                <w:szCs w:val="20"/>
              </w:rPr>
            </w:pPr>
          </w:p>
        </w:tc>
        <w:tc>
          <w:tcPr>
            <w:tcW w:w="599" w:type="dxa"/>
            <w:gridSpan w:val="3"/>
            <w:noWrap w:val="0"/>
            <w:vAlign w:val="bottom"/>
          </w:tcPr>
          <w:p>
            <w:pPr>
              <w:rPr>
                <w:rFonts w:ascii="Arial" w:hAnsi="Arial" w:cs="Arial"/>
                <w:color w:val="000000"/>
                <w:sz w:val="20"/>
                <w:szCs w:val="20"/>
              </w:rPr>
            </w:pPr>
          </w:p>
        </w:tc>
        <w:tc>
          <w:tcPr>
            <w:tcW w:w="601" w:type="dxa"/>
            <w:gridSpan w:val="2"/>
            <w:noWrap w:val="0"/>
            <w:vAlign w:val="bottom"/>
          </w:tcPr>
          <w:p>
            <w:pPr>
              <w:rPr>
                <w:rFonts w:ascii="Arial" w:hAnsi="Arial" w:cs="Arial"/>
                <w:color w:val="000000"/>
                <w:sz w:val="20"/>
                <w:szCs w:val="20"/>
              </w:rPr>
            </w:pPr>
          </w:p>
        </w:tc>
        <w:tc>
          <w:tcPr>
            <w:tcW w:w="2420" w:type="dxa"/>
            <w:noWrap w:val="0"/>
            <w:vAlign w:val="bottom"/>
          </w:tcPr>
          <w:p>
            <w:pPr>
              <w:rPr>
                <w:rFonts w:ascii="Arial" w:hAnsi="Arial" w:cs="Arial"/>
                <w:color w:val="000000"/>
                <w:sz w:val="20"/>
                <w:szCs w:val="20"/>
              </w:rPr>
            </w:pP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Layout w:type="fixed"/>
          <w:tblCellMar>
            <w:top w:w="15" w:type="dxa"/>
            <w:left w:w="15" w:type="dxa"/>
            <w:bottom w:w="15" w:type="dxa"/>
            <w:right w:w="15" w:type="dxa"/>
          </w:tblCellMar>
        </w:tblPrEx>
        <w:trPr>
          <w:trHeight w:val="285" w:hRule="atLeast"/>
        </w:trPr>
        <w:tc>
          <w:tcPr>
            <w:tcW w:w="3871" w:type="dxa"/>
            <w:gridSpan w:val="7"/>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部门：县委巡察办</w:t>
            </w:r>
          </w:p>
        </w:tc>
        <w:tc>
          <w:tcPr>
            <w:tcW w:w="1043" w:type="dxa"/>
            <w:gridSpan w:val="2"/>
            <w:noWrap w:val="0"/>
            <w:vAlign w:val="bottom"/>
          </w:tcPr>
          <w:p>
            <w:pPr>
              <w:rPr>
                <w:rFonts w:ascii="Arial" w:hAnsi="Arial" w:cs="Arial"/>
                <w:color w:val="000000"/>
                <w:sz w:val="20"/>
                <w:szCs w:val="20"/>
              </w:rPr>
            </w:pPr>
          </w:p>
        </w:tc>
        <w:tc>
          <w:tcPr>
            <w:tcW w:w="602" w:type="dxa"/>
            <w:gridSpan w:val="2"/>
            <w:noWrap w:val="0"/>
            <w:vAlign w:val="bottom"/>
          </w:tcPr>
          <w:p>
            <w:pPr>
              <w:rPr>
                <w:rFonts w:ascii="Arial" w:hAnsi="Arial" w:cs="Arial"/>
                <w:color w:val="000000"/>
                <w:sz w:val="20"/>
                <w:szCs w:val="20"/>
              </w:rPr>
            </w:pPr>
          </w:p>
        </w:tc>
        <w:tc>
          <w:tcPr>
            <w:tcW w:w="686" w:type="dxa"/>
            <w:noWrap w:val="0"/>
            <w:vAlign w:val="bottom"/>
          </w:tcPr>
          <w:p>
            <w:pPr>
              <w:rPr>
                <w:rFonts w:ascii="Arial" w:hAnsi="Arial" w:cs="Arial"/>
                <w:color w:val="000000"/>
                <w:sz w:val="20"/>
                <w:szCs w:val="20"/>
              </w:rPr>
            </w:pPr>
          </w:p>
        </w:tc>
        <w:tc>
          <w:tcPr>
            <w:tcW w:w="959" w:type="dxa"/>
            <w:gridSpan w:val="2"/>
            <w:noWrap w:val="0"/>
            <w:vAlign w:val="bottom"/>
          </w:tcPr>
          <w:p>
            <w:pPr>
              <w:rPr>
                <w:rFonts w:ascii="Arial" w:hAnsi="Arial" w:cs="Arial"/>
                <w:color w:val="000000"/>
                <w:sz w:val="20"/>
                <w:szCs w:val="20"/>
              </w:rPr>
            </w:pPr>
          </w:p>
        </w:tc>
        <w:tc>
          <w:tcPr>
            <w:tcW w:w="1116" w:type="dxa"/>
            <w:gridSpan w:val="2"/>
            <w:noWrap w:val="0"/>
            <w:vAlign w:val="bottom"/>
          </w:tcPr>
          <w:p>
            <w:pPr>
              <w:rPr>
                <w:rFonts w:ascii="Arial" w:hAnsi="Arial" w:cs="Arial"/>
                <w:color w:val="000000"/>
                <w:sz w:val="20"/>
                <w:szCs w:val="20"/>
              </w:rPr>
            </w:pPr>
          </w:p>
        </w:tc>
        <w:tc>
          <w:tcPr>
            <w:tcW w:w="256" w:type="dxa"/>
            <w:noWrap w:val="0"/>
            <w:vAlign w:val="bottom"/>
          </w:tcPr>
          <w:p>
            <w:pPr>
              <w:rPr>
                <w:rFonts w:ascii="Arial" w:hAnsi="Arial" w:cs="Arial"/>
                <w:color w:val="000000"/>
                <w:sz w:val="20"/>
                <w:szCs w:val="20"/>
              </w:rPr>
            </w:pPr>
          </w:p>
        </w:tc>
        <w:tc>
          <w:tcPr>
            <w:tcW w:w="1390" w:type="dxa"/>
            <w:gridSpan w:val="2"/>
            <w:noWrap w:val="0"/>
            <w:vAlign w:val="bottom"/>
          </w:tcPr>
          <w:p>
            <w:pPr>
              <w:rPr>
                <w:rFonts w:ascii="Arial" w:hAnsi="Arial" w:cs="Arial"/>
                <w:color w:val="000000"/>
                <w:sz w:val="20"/>
                <w:szCs w:val="20"/>
              </w:rPr>
            </w:pPr>
          </w:p>
        </w:tc>
        <w:tc>
          <w:tcPr>
            <w:tcW w:w="603" w:type="dxa"/>
            <w:gridSpan w:val="2"/>
            <w:noWrap w:val="0"/>
            <w:vAlign w:val="bottom"/>
          </w:tcPr>
          <w:p>
            <w:pPr>
              <w:rPr>
                <w:rFonts w:ascii="Arial" w:hAnsi="Arial" w:cs="Arial"/>
                <w:color w:val="000000"/>
                <w:sz w:val="20"/>
                <w:szCs w:val="20"/>
              </w:rPr>
            </w:pPr>
          </w:p>
        </w:tc>
        <w:tc>
          <w:tcPr>
            <w:tcW w:w="338" w:type="dxa"/>
            <w:noWrap w:val="0"/>
            <w:vAlign w:val="bottom"/>
          </w:tcPr>
          <w:p>
            <w:pPr>
              <w:rPr>
                <w:rFonts w:ascii="Arial" w:hAnsi="Arial" w:cs="Arial"/>
                <w:color w:val="000000"/>
                <w:sz w:val="20"/>
                <w:szCs w:val="20"/>
              </w:rPr>
            </w:pPr>
          </w:p>
        </w:tc>
        <w:tc>
          <w:tcPr>
            <w:tcW w:w="1307" w:type="dxa"/>
            <w:gridSpan w:val="2"/>
            <w:noWrap w:val="0"/>
            <w:vAlign w:val="bottom"/>
          </w:tcPr>
          <w:p>
            <w:pPr>
              <w:rPr>
                <w:rFonts w:ascii="Arial" w:hAnsi="Arial" w:cs="Arial"/>
                <w:color w:val="000000"/>
                <w:sz w:val="20"/>
                <w:szCs w:val="20"/>
              </w:rPr>
            </w:pPr>
          </w:p>
        </w:tc>
        <w:tc>
          <w:tcPr>
            <w:tcW w:w="1812" w:type="dxa"/>
            <w:gridSpan w:val="3"/>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Layout w:type="fixed"/>
          <w:tblCellMar>
            <w:top w:w="15" w:type="dxa"/>
            <w:left w:w="15" w:type="dxa"/>
            <w:bottom w:w="15" w:type="dxa"/>
            <w:right w:w="15" w:type="dxa"/>
          </w:tblCellMar>
        </w:tblPrEx>
        <w:trPr>
          <w:trHeight w:val="300" w:hRule="atLeast"/>
        </w:trPr>
        <w:tc>
          <w:tcPr>
            <w:tcW w:w="933" w:type="dxa"/>
            <w:gridSpan w:val="5"/>
            <w:vMerge w:val="restar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科目编码</w:t>
            </w:r>
          </w:p>
        </w:tc>
        <w:tc>
          <w:tcPr>
            <w:tcW w:w="2938" w:type="dxa"/>
            <w:gridSpan w:val="2"/>
            <w:vMerge w:val="restart"/>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年初结转和结余</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本年收入</w:t>
            </w:r>
          </w:p>
        </w:tc>
        <w:tc>
          <w:tcPr>
            <w:tcW w:w="2331"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本年支出</w:t>
            </w:r>
          </w:p>
        </w:tc>
        <w:tc>
          <w:tcPr>
            <w:tcW w:w="3119" w:type="dxa"/>
            <w:gridSpan w:val="5"/>
            <w:tcBorders>
              <w:top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年末结转和结余</w:t>
            </w:r>
          </w:p>
        </w:tc>
      </w:tr>
      <w:tr>
        <w:tblPrEx>
          <w:tblLayout w:type="fixed"/>
          <w:tblCellMar>
            <w:top w:w="15" w:type="dxa"/>
            <w:left w:w="15" w:type="dxa"/>
            <w:bottom w:w="15" w:type="dxa"/>
            <w:right w:w="15" w:type="dxa"/>
          </w:tblCellMar>
        </w:tblPrEx>
        <w:trPr>
          <w:trHeight w:val="300"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w:t>
            </w:r>
          </w:p>
        </w:tc>
        <w:tc>
          <w:tcPr>
            <w:tcW w:w="777"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w:t>
            </w: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6" w:type="dxa"/>
            <w:gridSpan w:val="2"/>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基本支出结转</w:t>
            </w:r>
          </w:p>
        </w:tc>
        <w:tc>
          <w:tcPr>
            <w:tcW w:w="156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项目支出结转和结余</w:t>
            </w:r>
          </w:p>
        </w:tc>
      </w:tr>
      <w:tr>
        <w:tblPrEx>
          <w:tblLayout w:type="fixed"/>
          <w:tblCellMar>
            <w:top w:w="15" w:type="dxa"/>
            <w:left w:w="15" w:type="dxa"/>
            <w:bottom w:w="15" w:type="dxa"/>
            <w:right w:w="15" w:type="dxa"/>
          </w:tblCellMar>
        </w:tblPrEx>
        <w:trPr>
          <w:trHeight w:val="312"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项目支出结转</w:t>
            </w:r>
          </w:p>
        </w:tc>
        <w:tc>
          <w:tcPr>
            <w:tcW w:w="789" w:type="dxa"/>
            <w:vMerge w:val="restart"/>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项目支出结余</w:t>
            </w:r>
          </w:p>
        </w:tc>
      </w:tr>
      <w:tr>
        <w:tblPrEx>
          <w:tblLayout w:type="fixed"/>
          <w:tblCellMar>
            <w:top w:w="15" w:type="dxa"/>
            <w:left w:w="15" w:type="dxa"/>
            <w:bottom w:w="15" w:type="dxa"/>
            <w:right w:w="15" w:type="dxa"/>
          </w:tblCellMar>
        </w:tblPrEx>
        <w:trPr>
          <w:trHeight w:val="615" w:hRule="atLeast"/>
        </w:trPr>
        <w:tc>
          <w:tcPr>
            <w:tcW w:w="933" w:type="dxa"/>
            <w:gridSpan w:val="5"/>
            <w:vMerge w:val="continue"/>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6"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7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78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311" w:type="dxa"/>
            <w:gridSpan w:val="2"/>
            <w:vMerge w:val="restart"/>
            <w:tcBorders>
              <w:left w:val="single" w:color="000000" w:sz="4" w:space="0"/>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类</w:t>
            </w:r>
          </w:p>
        </w:tc>
        <w:tc>
          <w:tcPr>
            <w:tcW w:w="311" w:type="dxa"/>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款</w:t>
            </w:r>
          </w:p>
        </w:tc>
        <w:tc>
          <w:tcPr>
            <w:tcW w:w="311" w:type="dxa"/>
            <w:gridSpan w:val="2"/>
            <w:vMerge w:val="restart"/>
            <w:tcBorders>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项</w:t>
            </w: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栏次</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2</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3</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4</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5</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6</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7</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8</w:t>
            </w:r>
          </w:p>
        </w:tc>
        <w:tc>
          <w:tcPr>
            <w:tcW w:w="777"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9</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10</w:t>
            </w:r>
          </w:p>
        </w:tc>
        <w:tc>
          <w:tcPr>
            <w:tcW w:w="776"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11</w:t>
            </w:r>
          </w:p>
        </w:tc>
        <w:tc>
          <w:tcPr>
            <w:tcW w:w="777"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12</w:t>
            </w:r>
          </w:p>
        </w:tc>
        <w:tc>
          <w:tcPr>
            <w:tcW w:w="789" w:type="dxa"/>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13</w:t>
            </w:r>
          </w:p>
        </w:tc>
      </w:tr>
      <w:tr>
        <w:tblPrEx>
          <w:tblLayout w:type="fixed"/>
          <w:tblCellMar>
            <w:top w:w="15" w:type="dxa"/>
            <w:left w:w="15" w:type="dxa"/>
            <w:bottom w:w="15" w:type="dxa"/>
            <w:right w:w="15" w:type="dxa"/>
          </w:tblCellMar>
        </w:tblPrEx>
        <w:trPr>
          <w:trHeight w:val="300" w:hRule="atLeast"/>
        </w:trPr>
        <w:tc>
          <w:tcPr>
            <w:tcW w:w="311" w:type="dxa"/>
            <w:gridSpan w:val="2"/>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311" w:type="dxa"/>
            <w:gridSpan w:val="2"/>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FFFFFF" w:fill="FFFFFF"/>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合计</w:t>
            </w: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b/>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933" w:type="dxa"/>
            <w:gridSpan w:val="5"/>
            <w:tcBorders>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2938" w:type="dxa"/>
            <w:gridSpan w:val="2"/>
            <w:tcBorders>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6" w:type="dxa"/>
            <w:gridSpan w:val="2"/>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77"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c>
          <w:tcPr>
            <w:tcW w:w="789" w:type="dxa"/>
            <w:tcBorders>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2"/>
              </w:rPr>
            </w:pPr>
          </w:p>
        </w:tc>
      </w:tr>
      <w:tr>
        <w:tblPrEx>
          <w:tblLayout w:type="fixed"/>
          <w:tblCellMar>
            <w:top w:w="15" w:type="dxa"/>
            <w:left w:w="15" w:type="dxa"/>
            <w:bottom w:w="15" w:type="dxa"/>
            <w:right w:w="15" w:type="dxa"/>
          </w:tblCellMar>
        </w:tblPrEx>
        <w:trPr>
          <w:trHeight w:val="300" w:hRule="atLeast"/>
        </w:trPr>
        <w:tc>
          <w:tcPr>
            <w:tcW w:w="13983" w:type="dxa"/>
            <w:gridSpan w:val="27"/>
            <w:shd w:val="clear" w:color="auto" w:fill="FFFFFF"/>
            <w:noWrap w:val="0"/>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注：本表反映部门本年度政府性基金预算财政拨款收入支出及结转和结余情况。</w:t>
            </w:r>
          </w:p>
          <w:p>
            <w:pPr>
              <w:widowControl/>
              <w:jc w:val="left"/>
              <w:textAlignment w:val="center"/>
              <w:rPr>
                <w:rFonts w:hint="eastAsia" w:ascii="宋体" w:hAnsi="宋体" w:cs="宋体"/>
                <w:color w:val="000000"/>
                <w:sz w:val="22"/>
              </w:r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tc>
      </w:tr>
    </w:tbl>
    <w:p>
      <w:pPr>
        <w:widowControl/>
        <w:jc w:val="left"/>
        <w:rPr>
          <w:rFonts w:hint="eastAsia" w:ascii="黑体" w:hAnsi="宋体" w:eastAsia="黑体" w:cs="宋体"/>
          <w:color w:val="000000"/>
          <w:kern w:val="0"/>
          <w:sz w:val="28"/>
          <w:szCs w:val="28"/>
        </w:rPr>
        <w:sectPr>
          <w:pgSz w:w="16838" w:h="11906" w:orient="landscape"/>
          <w:pgMar w:top="1179" w:right="873" w:bottom="1134" w:left="873" w:header="720" w:footer="720" w:gutter="0"/>
          <w:cols w:space="720" w:num="1"/>
          <w:docGrid w:type="lines" w:linePitch="312" w:charSpace="0"/>
        </w:sectPr>
      </w:pPr>
    </w:p>
    <w:p>
      <w:pPr>
        <w:widowControl/>
        <w:jc w:val="left"/>
        <w:rPr>
          <w:rFonts w:hint="eastAsia"/>
          <w:sz w:val="10"/>
          <w:szCs w:val="10"/>
        </w:rPr>
      </w:pPr>
    </w:p>
    <w:p>
      <w:pPr>
        <w:widowControl/>
        <w:jc w:val="left"/>
        <w:rPr>
          <w:rFonts w:hint="eastAsia"/>
          <w:sz w:val="10"/>
          <w:szCs w:val="10"/>
        </w:rPr>
      </w:pPr>
    </w:p>
    <w:p>
      <w:pPr>
        <w:widowControl/>
        <w:jc w:val="left"/>
        <w:rPr>
          <w:rFonts w:hint="eastAsia"/>
          <w:sz w:val="10"/>
          <w:szCs w:val="10"/>
        </w:rPr>
      </w:pPr>
    </w:p>
    <w:p>
      <w:pPr>
        <w:widowControl/>
        <w:jc w:val="left"/>
        <w:rPr>
          <w:rFonts w:hint="eastAsia"/>
          <w:sz w:val="10"/>
          <w:szCs w:val="10"/>
        </w:rPr>
      </w:pPr>
    </w:p>
    <w:p>
      <w:pPr>
        <w:widowControl/>
        <w:jc w:val="left"/>
        <w:rPr>
          <w:rFonts w:hint="eastAsia"/>
          <w:sz w:val="10"/>
          <w:szCs w:val="10"/>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252"/>
        <w:tab w:val="clear" w:pos="4153"/>
        <w:tab w:val="clear" w:pos="8306"/>
      </w:tabs>
      <w:rPr>
        <w:rFonts w:hint="eastAsia"/>
        <w:lang w:eastAsia="zh-C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DDC9E8"/>
    <w:multiLevelType w:val="singleLevel"/>
    <w:tmpl w:val="DCDDC9E8"/>
    <w:lvl w:ilvl="0" w:tentative="0">
      <w:start w:val="7"/>
      <w:numFmt w:val="chineseCounting"/>
      <w:suff w:val="nothing"/>
      <w:lvlText w:val="%1、"/>
      <w:lvlJc w:val="left"/>
      <w:rPr>
        <w:rFonts w:hint="eastAsia"/>
      </w:rPr>
    </w:lvl>
  </w:abstractNum>
  <w:abstractNum w:abstractNumId="1">
    <w:nsid w:val="EDCA6C1F"/>
    <w:multiLevelType w:val="singleLevel"/>
    <w:tmpl w:val="EDCA6C1F"/>
    <w:lvl w:ilvl="0" w:tentative="0">
      <w:start w:val="9"/>
      <w:numFmt w:val="chineseCounting"/>
      <w:suff w:val="nothing"/>
      <w:lvlText w:val="%1、"/>
      <w:lvlJc w:val="left"/>
      <w:rPr>
        <w:rFonts w:hint="eastAsia"/>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A1ED6"/>
    <w:rsid w:val="07C446D2"/>
    <w:rsid w:val="098A1ED6"/>
    <w:rsid w:val="0C6E0526"/>
    <w:rsid w:val="0E6652DA"/>
    <w:rsid w:val="0EE337A0"/>
    <w:rsid w:val="18CA5FD8"/>
    <w:rsid w:val="196629C4"/>
    <w:rsid w:val="2B3C4B66"/>
    <w:rsid w:val="347C5B4B"/>
    <w:rsid w:val="359F1C54"/>
    <w:rsid w:val="47B94368"/>
    <w:rsid w:val="5A2218FE"/>
    <w:rsid w:val="5D5C3C28"/>
    <w:rsid w:val="5EB119E2"/>
    <w:rsid w:val="67424B7A"/>
    <w:rsid w:val="6FFC1A3A"/>
    <w:rsid w:val="79B22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nhideWhenUsed/>
    <w:uiPriority w:val="99"/>
    <w:pPr>
      <w:snapToGrid w:val="0"/>
      <w:jc w:val="left"/>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footnote reference"/>
    <w:basedOn w:val="7"/>
    <w:unhideWhenUsed/>
    <w:qFormat/>
    <w:uiPriority w:val="99"/>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2020-10-10T07:24:00Z</dcterms:created>
  <dc:creator>Administrator</dc:creator>
  <cp:lastModifiedBy>Administrator</cp:lastModifiedBy>
  <dcterms:modified xsi:type="dcterms:W3CDTF">2021-06-09T07:43:48Z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