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jc w:val="center"/>
        <w:textAlignment w:val="baseline"/>
        <w:rPr>
          <w:rStyle w:val="11"/>
          <w:rFonts w:ascii="黑体" w:hAnsi="黑体" w:eastAsia="黑体"/>
          <w:color w:val="000000"/>
          <w:kern w:val="2"/>
          <w:sz w:val="52"/>
          <w:szCs w:val="52"/>
          <w:lang w:val="en-US" w:eastAsia="zh-CN" w:bidi="ar-SA"/>
        </w:rPr>
      </w:pPr>
      <w:r>
        <w:rPr>
          <w:rStyle w:val="11"/>
          <w:rFonts w:ascii="黑体" w:hAnsi="黑体" w:eastAsia="黑体"/>
          <w:color w:val="000000"/>
          <w:kern w:val="2"/>
          <w:sz w:val="52"/>
          <w:szCs w:val="52"/>
          <w:lang w:val="en-US" w:eastAsia="zh-CN" w:bidi="ar-SA"/>
        </w:rPr>
        <w:t>2018年度</w:t>
      </w:r>
    </w:p>
    <w:p>
      <w:pPr>
        <w:jc w:val="center"/>
        <w:textAlignment w:val="baseline"/>
        <w:rPr>
          <w:rStyle w:val="11"/>
          <w:rFonts w:ascii="黑体" w:hAnsi="黑体" w:eastAsia="黑体"/>
          <w:color w:val="000000"/>
          <w:kern w:val="2"/>
          <w:sz w:val="52"/>
          <w:szCs w:val="52"/>
          <w:lang w:val="en-US" w:eastAsia="zh-CN" w:bidi="ar-SA"/>
        </w:rPr>
      </w:pPr>
      <w:r>
        <w:rPr>
          <w:rStyle w:val="11"/>
          <w:rFonts w:ascii="黑体" w:hAnsi="黑体" w:eastAsia="黑体"/>
          <w:color w:val="000000"/>
          <w:kern w:val="2"/>
          <w:sz w:val="52"/>
          <w:szCs w:val="52"/>
          <w:lang w:val="en-US" w:eastAsia="zh-CN" w:bidi="ar-SA"/>
        </w:rPr>
        <w:t>董寨管理局部门决算</w:t>
      </w:r>
    </w:p>
    <w:p>
      <w:pPr>
        <w:jc w:val="center"/>
        <w:textAlignment w:val="baseline"/>
        <w:rPr>
          <w:rStyle w:val="11"/>
          <w:rFonts w:ascii="黑体" w:hAnsi="黑体" w:eastAsia="黑体"/>
          <w:color w:val="000000"/>
          <w:kern w:val="2"/>
          <w:sz w:val="52"/>
          <w:szCs w:val="52"/>
          <w:lang w:val="en-US" w:eastAsia="zh-CN" w:bidi="ar-SA"/>
        </w:rPr>
      </w:pPr>
    </w:p>
    <w:p>
      <w:pPr>
        <w:jc w:val="center"/>
        <w:textAlignment w:val="baseline"/>
        <w:rPr>
          <w:rStyle w:val="11"/>
          <w:rFonts w:ascii="黑体" w:hAnsi="黑体" w:eastAsia="黑体"/>
          <w:color w:val="000000"/>
          <w:kern w:val="2"/>
          <w:sz w:val="52"/>
          <w:szCs w:val="52"/>
          <w:lang w:val="en-US" w:eastAsia="zh-CN" w:bidi="ar-SA"/>
        </w:rPr>
      </w:pPr>
    </w:p>
    <w:p>
      <w:pPr>
        <w:jc w:val="center"/>
        <w:textAlignment w:val="baseline"/>
        <w:rPr>
          <w:rStyle w:val="11"/>
          <w:rFonts w:ascii="黑体" w:hAnsi="黑体" w:eastAsia="黑体"/>
          <w:color w:val="000000"/>
          <w:kern w:val="2"/>
          <w:sz w:val="52"/>
          <w:szCs w:val="52"/>
          <w:lang w:val="en-US" w:eastAsia="zh-CN" w:bidi="ar-SA"/>
        </w:rPr>
      </w:pPr>
    </w:p>
    <w:p>
      <w:pPr>
        <w:jc w:val="center"/>
        <w:textAlignment w:val="baseline"/>
        <w:rPr>
          <w:rStyle w:val="11"/>
          <w:rFonts w:ascii="黑体" w:hAnsi="黑体" w:eastAsia="黑体"/>
          <w:color w:val="000000"/>
          <w:kern w:val="2"/>
          <w:sz w:val="52"/>
          <w:szCs w:val="52"/>
          <w:lang w:val="en-US" w:eastAsia="zh-CN" w:bidi="ar-SA"/>
        </w:rPr>
      </w:pPr>
    </w:p>
    <w:p>
      <w:pPr>
        <w:jc w:val="center"/>
        <w:textAlignment w:val="baseline"/>
        <w:rPr>
          <w:rStyle w:val="11"/>
          <w:rFonts w:ascii="黑体" w:hAnsi="黑体" w:eastAsia="黑体"/>
          <w:color w:val="000000"/>
          <w:kern w:val="2"/>
          <w:sz w:val="52"/>
          <w:szCs w:val="52"/>
          <w:lang w:val="en-US" w:eastAsia="zh-CN" w:bidi="ar-SA"/>
        </w:rPr>
      </w:pPr>
    </w:p>
    <w:p>
      <w:pPr>
        <w:jc w:val="center"/>
        <w:textAlignment w:val="baseline"/>
        <w:rPr>
          <w:rStyle w:val="11"/>
          <w:rFonts w:ascii="黑体" w:hAnsi="黑体" w:eastAsia="黑体"/>
          <w:color w:val="000000"/>
          <w:kern w:val="2"/>
          <w:sz w:val="52"/>
          <w:szCs w:val="52"/>
          <w:lang w:val="en-US" w:eastAsia="zh-CN" w:bidi="ar-SA"/>
        </w:rPr>
      </w:pPr>
    </w:p>
    <w:p>
      <w:pPr>
        <w:jc w:val="center"/>
        <w:textAlignment w:val="baseline"/>
        <w:rPr>
          <w:rStyle w:val="11"/>
          <w:rFonts w:ascii="黑体" w:hAnsi="黑体" w:eastAsia="黑体"/>
          <w:color w:val="000000"/>
          <w:kern w:val="2"/>
          <w:sz w:val="32"/>
          <w:szCs w:val="32"/>
          <w:lang w:val="en-US" w:eastAsia="zh-CN" w:bidi="ar-SA"/>
        </w:rPr>
        <w:sectPr>
          <w:pgSz w:w="11906" w:h="16838"/>
          <w:pgMar w:top="1440" w:right="1531" w:bottom="1440" w:left="1587" w:header="850" w:footer="992" w:gutter="0"/>
          <w:lnNumType w:countBy="0"/>
          <w:cols w:space="720" w:num="1"/>
          <w:vAlign w:val="top"/>
          <w:docGrid w:type="lines" w:linePitch="317" w:charSpace="0"/>
        </w:sectPr>
      </w:pPr>
      <w:r>
        <w:rPr>
          <w:rStyle w:val="11"/>
          <w:rFonts w:ascii="黑体" w:hAnsi="黑体" w:eastAsia="黑体"/>
          <w:color w:val="000000"/>
          <w:kern w:val="2"/>
          <w:sz w:val="32"/>
          <w:szCs w:val="32"/>
          <w:lang w:val="en-US" w:eastAsia="zh-CN" w:bidi="ar-SA"/>
        </w:rPr>
        <w:t>二〇一九年九月</w:t>
      </w:r>
    </w:p>
    <w:p>
      <w:pPr>
        <w:jc w:val="center"/>
        <w:textAlignment w:val="baseline"/>
        <w:rPr>
          <w:rStyle w:val="11"/>
          <w:rFonts w:ascii="黑体" w:hAnsi="黑体" w:eastAsia="黑体"/>
          <w:color w:val="000000"/>
          <w:kern w:val="2"/>
          <w:sz w:val="32"/>
          <w:szCs w:val="32"/>
          <w:lang w:val="en-US" w:eastAsia="zh-CN" w:bidi="ar-SA"/>
        </w:rPr>
      </w:pPr>
      <w:r>
        <w:rPr>
          <w:rStyle w:val="11"/>
          <w:rFonts w:ascii="黑体" w:hAnsi="黑体" w:eastAsia="黑体" w:cs="黑体"/>
          <w:b/>
          <w:bCs/>
          <w:color w:val="000000"/>
          <w:kern w:val="2"/>
          <w:sz w:val="32"/>
          <w:szCs w:val="32"/>
          <w:lang w:val="en-US" w:eastAsia="zh-CN" w:bidi="ar-SA"/>
        </w:rPr>
        <w:t>目　　录</w:t>
      </w:r>
    </w:p>
    <w:p>
      <w:pPr>
        <w:jc w:val="left"/>
        <w:textAlignment w:val="baseline"/>
        <w:rPr>
          <w:rStyle w:val="11"/>
          <w:rFonts w:ascii="黑体" w:hAnsi="黑体" w:eastAsia="黑体"/>
          <w:color w:val="000000"/>
          <w:kern w:val="2"/>
          <w:sz w:val="30"/>
          <w:szCs w:val="30"/>
          <w:lang w:val="en-US" w:eastAsia="zh-CN" w:bidi="ar-SA"/>
        </w:rPr>
      </w:pPr>
      <w:r>
        <w:rPr>
          <w:rStyle w:val="11"/>
          <w:rFonts w:ascii="黑体" w:hAnsi="黑体" w:eastAsia="黑体"/>
          <w:color w:val="000000"/>
          <w:kern w:val="2"/>
          <w:sz w:val="30"/>
          <w:szCs w:val="30"/>
          <w:lang w:val="en-US" w:eastAsia="zh-CN" w:bidi="ar-SA"/>
        </w:rPr>
        <w:t>第一部分　　董寨管理局概况</w:t>
      </w:r>
    </w:p>
    <w:p>
      <w:pPr>
        <w:numPr>
          <w:ilvl w:val="0"/>
          <w:numId w:val="1"/>
        </w:num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部门职责</w:t>
      </w:r>
    </w:p>
    <w:p>
      <w:pPr>
        <w:numPr>
          <w:ilvl w:val="0"/>
          <w:numId w:val="1"/>
        </w:num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机构设置</w:t>
      </w:r>
    </w:p>
    <w:p>
      <w:pPr>
        <w:jc w:val="left"/>
        <w:textAlignment w:val="baseline"/>
        <w:rPr>
          <w:rStyle w:val="11"/>
          <w:rFonts w:ascii="黑体" w:hAnsi="黑体" w:eastAsia="黑体"/>
          <w:color w:val="000000"/>
          <w:kern w:val="2"/>
          <w:sz w:val="30"/>
          <w:szCs w:val="30"/>
          <w:lang w:val="en-US" w:eastAsia="zh-CN" w:bidi="ar-SA"/>
        </w:rPr>
      </w:pPr>
      <w:r>
        <w:rPr>
          <w:rStyle w:val="11"/>
          <w:rFonts w:ascii="黑体" w:hAnsi="黑体" w:eastAsia="黑体"/>
          <w:color w:val="000000"/>
          <w:kern w:val="2"/>
          <w:sz w:val="30"/>
          <w:szCs w:val="30"/>
          <w:lang w:val="en-US" w:eastAsia="zh-CN" w:bidi="ar-SA"/>
        </w:rPr>
        <w:t>第二部分　　2018年度部门决算表</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一、收入支出决算总表</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二、收入决算表</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三、支出决算表</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四、财政拨款收入支出决算总表</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五、一般公共预算财政拨款支出决算表</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六、一般公共预算财政拨款基本支出决算表</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七、一般公共预算财政拨款“三公”经费支出决算表</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八、政府性基金预算财政拨款收入支出决算表</w:t>
      </w:r>
    </w:p>
    <w:p>
      <w:pPr>
        <w:jc w:val="left"/>
        <w:textAlignment w:val="baseline"/>
        <w:rPr>
          <w:rStyle w:val="11"/>
          <w:rFonts w:ascii="黑体" w:hAnsi="黑体" w:eastAsia="黑体"/>
          <w:color w:val="000000"/>
          <w:kern w:val="2"/>
          <w:sz w:val="30"/>
          <w:szCs w:val="30"/>
          <w:lang w:val="en-US" w:eastAsia="zh-CN" w:bidi="ar-SA"/>
        </w:rPr>
      </w:pPr>
      <w:r>
        <w:rPr>
          <w:rStyle w:val="11"/>
          <w:rFonts w:ascii="黑体" w:hAnsi="黑体" w:eastAsia="黑体"/>
          <w:color w:val="000000"/>
          <w:kern w:val="2"/>
          <w:sz w:val="30"/>
          <w:szCs w:val="30"/>
          <w:lang w:val="en-US" w:eastAsia="zh-CN" w:bidi="ar-SA"/>
        </w:rPr>
        <w:t>第三部分　　2018年度部门决算情况说明</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一、收入支出决算总体情况说明</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二、收入决算情况说明</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三、支出决算情况说明</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四、财政拨款收入支出决算总体情况说明</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五、一般公共预算财政拨款支出决算情况说明</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六、一般公共预算财政拨款基本支出决算情况说明</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七、一般公共预算财政拨款“三公”经费支出决算情况说明</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八、预算绩效情况说明</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九、政府性基金预算财政拨款支出决算情况说明</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十、机关运行经费支出情况说明</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十一、政府采购支出情况说明</w:t>
      </w:r>
    </w:p>
    <w:p>
      <w:pPr>
        <w:ind w:firstLine="600" w:firstLineChars="200"/>
        <w:jc w:val="left"/>
        <w:textAlignment w:val="baseline"/>
        <w:rPr>
          <w:rStyle w:val="11"/>
          <w:rFonts w:ascii="宋体" w:hAnsi="宋体" w:eastAsia="宋体"/>
          <w:color w:val="000000"/>
          <w:kern w:val="2"/>
          <w:sz w:val="30"/>
          <w:szCs w:val="30"/>
          <w:lang w:val="en-US" w:eastAsia="zh-CN" w:bidi="ar-SA"/>
        </w:rPr>
      </w:pPr>
      <w:r>
        <w:rPr>
          <w:rStyle w:val="11"/>
          <w:rFonts w:ascii="宋体" w:hAnsi="宋体" w:eastAsia="宋体"/>
          <w:color w:val="000000"/>
          <w:kern w:val="2"/>
          <w:sz w:val="30"/>
          <w:szCs w:val="30"/>
          <w:lang w:val="en-US" w:eastAsia="zh-CN" w:bidi="ar-SA"/>
        </w:rPr>
        <w:t>十二、国有资产占用情况说明</w:t>
      </w:r>
    </w:p>
    <w:p>
      <w:pPr>
        <w:ind w:firstLine="600" w:firstLineChars="200"/>
        <w:jc w:val="left"/>
        <w:textAlignment w:val="baseline"/>
        <w:rPr>
          <w:rStyle w:val="11"/>
          <w:rFonts w:ascii="黑体" w:hAnsi="黑体" w:eastAsia="黑体"/>
          <w:color w:val="000000"/>
          <w:kern w:val="2"/>
          <w:sz w:val="30"/>
          <w:szCs w:val="30"/>
          <w:lang w:val="en-US" w:eastAsia="zh-CN" w:bidi="ar-SA"/>
        </w:rPr>
      </w:pPr>
      <w:r>
        <w:rPr>
          <w:rStyle w:val="11"/>
          <w:rFonts w:ascii="黑体" w:hAnsi="黑体" w:eastAsia="黑体"/>
          <w:color w:val="000000"/>
          <w:kern w:val="2"/>
          <w:sz w:val="30"/>
          <w:szCs w:val="30"/>
          <w:lang w:val="en-US" w:eastAsia="zh-CN" w:bidi="ar-SA"/>
        </w:rPr>
        <w:t>第</w:t>
      </w:r>
      <w:r>
        <w:rPr>
          <w:rStyle w:val="11"/>
          <w:rFonts w:hint="eastAsia" w:ascii="黑体" w:hAnsi="黑体" w:eastAsia="黑体"/>
          <w:color w:val="000000"/>
          <w:kern w:val="2"/>
          <w:sz w:val="30"/>
          <w:szCs w:val="30"/>
          <w:lang w:val="en-US" w:eastAsia="zh-CN" w:bidi="ar-SA"/>
        </w:rPr>
        <w:t>四</w:t>
      </w:r>
      <w:r>
        <w:rPr>
          <w:rStyle w:val="11"/>
          <w:rFonts w:ascii="黑体" w:hAnsi="黑体" w:eastAsia="黑体"/>
          <w:color w:val="000000"/>
          <w:kern w:val="2"/>
          <w:sz w:val="30"/>
          <w:szCs w:val="30"/>
          <w:lang w:val="en-US" w:eastAsia="zh-CN" w:bidi="ar-SA"/>
        </w:rPr>
        <w:t>部分　　</w:t>
      </w:r>
      <w:r>
        <w:rPr>
          <w:rStyle w:val="11"/>
          <w:rFonts w:hint="eastAsia" w:ascii="黑体" w:hAnsi="黑体" w:eastAsia="黑体"/>
          <w:color w:val="000000"/>
          <w:kern w:val="2"/>
          <w:sz w:val="30"/>
          <w:szCs w:val="30"/>
          <w:lang w:val="en-US" w:eastAsia="zh-CN" w:bidi="ar-SA"/>
        </w:rPr>
        <w:t>名词解释</w:t>
      </w:r>
    </w:p>
    <w:p>
      <w:pPr>
        <w:ind w:firstLine="600" w:firstLineChars="200"/>
        <w:jc w:val="left"/>
        <w:textAlignment w:val="baseline"/>
        <w:rPr>
          <w:rStyle w:val="11"/>
          <w:rFonts w:ascii="宋体" w:hAnsi="宋体" w:eastAsia="宋体"/>
          <w:color w:val="000000"/>
          <w:kern w:val="2"/>
          <w:sz w:val="30"/>
          <w:szCs w:val="30"/>
          <w:lang w:val="en-US" w:eastAsia="zh-CN" w:bidi="ar-SA"/>
        </w:rPr>
      </w:pPr>
    </w:p>
    <w:p>
      <w:pPr>
        <w:ind w:firstLine="640" w:firstLineChars="200"/>
        <w:jc w:val="left"/>
        <w:textAlignment w:val="baseline"/>
        <w:rPr>
          <w:rStyle w:val="11"/>
          <w:rFonts w:ascii="宋体" w:hAnsi="宋体" w:eastAsia="宋体"/>
          <w:color w:val="000000"/>
          <w:kern w:val="2"/>
          <w:sz w:val="32"/>
          <w:szCs w:val="32"/>
          <w:lang w:val="en-US" w:eastAsia="zh-CN" w:bidi="ar-SA"/>
        </w:rPr>
      </w:pPr>
    </w:p>
    <w:p>
      <w:pPr>
        <w:jc w:val="left"/>
        <w:textAlignment w:val="baseline"/>
        <w:rPr>
          <w:rStyle w:val="11"/>
          <w:rFonts w:ascii="黑体" w:hAnsi="黑体" w:eastAsia="黑体"/>
          <w:color w:val="000000"/>
          <w:kern w:val="2"/>
          <w:sz w:val="32"/>
          <w:szCs w:val="32"/>
          <w:lang w:val="en-US" w:eastAsia="zh-CN" w:bidi="ar-SA"/>
        </w:rPr>
        <w:sectPr>
          <w:pgSz w:w="11906" w:h="16838"/>
          <w:pgMar w:top="1440" w:right="1531" w:bottom="1440" w:left="1587" w:header="850" w:footer="992" w:gutter="0"/>
          <w:lnNumType w:countBy="0"/>
          <w:pgNumType w:start="1"/>
          <w:cols w:space="720" w:num="1"/>
          <w:vAlign w:val="top"/>
          <w:docGrid w:type="lines" w:linePitch="317" w:charSpace="0"/>
        </w:sect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center"/>
        <w:textAlignment w:val="baseline"/>
        <w:rPr>
          <w:rStyle w:val="11"/>
          <w:rFonts w:ascii="黑体" w:hAnsi="宋体" w:eastAsia="黑体"/>
          <w:color w:val="000000"/>
          <w:kern w:val="0"/>
          <w:sz w:val="28"/>
          <w:szCs w:val="28"/>
          <w:lang w:val="en-US" w:eastAsia="zh-CN" w:bidi="ar-SA"/>
        </w:rPr>
      </w:pPr>
      <w:r>
        <w:rPr>
          <w:rStyle w:val="11"/>
          <w:rFonts w:ascii="黑体" w:hAnsi="黑体" w:eastAsia="黑体"/>
          <w:color w:val="000000"/>
          <w:kern w:val="2"/>
          <w:sz w:val="48"/>
          <w:szCs w:val="48"/>
          <w:lang w:val="en-US" w:eastAsia="zh-CN" w:bidi="ar-SA"/>
        </w:rPr>
        <w:t>第一部分  董寨管理局概况</w:t>
      </w: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sectPr>
          <w:pgSz w:w="11906" w:h="16838"/>
          <w:pgMar w:top="1440" w:right="1800" w:bottom="1440" w:left="1800" w:header="720" w:footer="720" w:gutter="0"/>
          <w:lnNumType w:countBy="0"/>
          <w:cols w:space="720" w:num="1"/>
          <w:vAlign w:val="top"/>
          <w:docGrid w:type="lines" w:linePitch="312" w:charSpace="0"/>
        </w:sectPr>
      </w:pPr>
    </w:p>
    <w:p>
      <w:pPr>
        <w:widowControl/>
        <w:ind w:firstLine="640" w:firstLineChars="200"/>
        <w:jc w:val="left"/>
        <w:textAlignment w:val="baseline"/>
        <w:rPr>
          <w:rStyle w:val="11"/>
          <w:rFonts w:ascii="黑体" w:hAnsi="黑体" w:eastAsia="黑体"/>
          <w:color w:val="000000"/>
          <w:kern w:val="0"/>
          <w:sz w:val="32"/>
          <w:szCs w:val="32"/>
          <w:lang w:val="en-US" w:eastAsia="zh-CN" w:bidi="ar-SA"/>
        </w:rPr>
      </w:pPr>
      <w:r>
        <w:rPr>
          <w:rStyle w:val="11"/>
          <w:rFonts w:ascii="黑体" w:hAnsi="黑体" w:eastAsia="黑体"/>
          <w:color w:val="000000"/>
          <w:kern w:val="0"/>
          <w:sz w:val="32"/>
          <w:szCs w:val="32"/>
          <w:lang w:val="en-US" w:eastAsia="zh-CN" w:bidi="ar-SA"/>
        </w:rPr>
        <w:t>一、部门</w:t>
      </w:r>
      <w:r>
        <w:rPr>
          <w:rStyle w:val="11"/>
          <w:rFonts w:ascii="黑体" w:hAnsi="黑体" w:eastAsia="黑体" w:cs="黑体"/>
          <w:bCs/>
          <w:kern w:val="2"/>
          <w:sz w:val="32"/>
          <w:szCs w:val="32"/>
          <w:lang w:val="en-US" w:eastAsia="zh-CN" w:bidi="ar-SA"/>
        </w:rPr>
        <w:t>职责</w:t>
      </w:r>
    </w:p>
    <w:p>
      <w:pPr>
        <w:pStyle w:val="25"/>
        <w:widowControl/>
        <w:topLinePunct/>
        <w:spacing w:line="544" w:lineRule="exact"/>
        <w:ind w:firstLine="600" w:firstLineChars="200"/>
        <w:textAlignment w:val="baseline"/>
        <w:rPr>
          <w:rStyle w:val="11"/>
          <w:rFonts w:ascii="仿宋" w:hAnsi="仿宋" w:eastAsia="仿宋"/>
          <w:kern w:val="2"/>
          <w:sz w:val="30"/>
          <w:szCs w:val="30"/>
          <w:lang w:val="en-US" w:eastAsia="zh-CN" w:bidi="ar-SA"/>
        </w:rPr>
      </w:pPr>
      <w:r>
        <w:rPr>
          <w:rStyle w:val="11"/>
          <w:rFonts w:ascii="仿宋" w:hAnsi="仿宋" w:eastAsia="仿宋"/>
          <w:kern w:val="2"/>
          <w:sz w:val="30"/>
          <w:szCs w:val="30"/>
          <w:lang w:val="en-US" w:eastAsia="zh-CN" w:bidi="ar-SA"/>
        </w:rPr>
        <w:t>董寨国家级自然保护区管理局前身是国有罗山董寨林场，现为独立核算的事业单位，编制110人。行政隶属于罗山县人民政府，业务上由河南省林业厅保护处及信阳市林业局领导，持有事业单位登记证书，具有独立的事业法人资格。保护区的主要职责是：</w:t>
      </w:r>
    </w:p>
    <w:p>
      <w:pPr>
        <w:pStyle w:val="25"/>
        <w:kinsoku/>
        <w:wordWrap/>
        <w:overflowPunct/>
        <w:topLinePunct/>
        <w:autoSpaceDE/>
        <w:autoSpaceDN/>
        <w:bidi w:val="0"/>
        <w:spacing w:line="240" w:lineRule="auto"/>
        <w:ind w:firstLine="320" w:firstLineChars="200"/>
        <w:textAlignment w:val="auto"/>
        <w:rPr>
          <w:rStyle w:val="11"/>
          <w:rFonts w:ascii="仿宋" w:hAnsi="仿宋" w:eastAsia="仿宋"/>
          <w:kern w:val="2"/>
          <w:sz w:val="30"/>
          <w:szCs w:val="30"/>
          <w:lang w:val="en-US" w:eastAsia="zh-CN" w:bidi="ar-SA"/>
        </w:rPr>
      </w:pPr>
      <w:r>
        <w:rPr>
          <w:rStyle w:val="11"/>
          <w:rFonts w:ascii="Verdana" w:hAnsi="Verdana" w:eastAsia="宋体"/>
          <w:i w:val="0"/>
          <w:caps w:val="0"/>
          <w:color w:val="333333"/>
          <w:kern w:val="0"/>
          <w:sz w:val="16"/>
          <w:szCs w:val="16"/>
          <w:lang w:val="en-US" w:eastAsia="zh-CN"/>
        </w:rPr>
        <w:t>  </w:t>
      </w:r>
      <w:r>
        <w:rPr>
          <w:rStyle w:val="11"/>
          <w:rFonts w:ascii="仿宋" w:hAnsi="仿宋" w:eastAsia="仿宋"/>
          <w:kern w:val="2"/>
          <w:sz w:val="30"/>
          <w:szCs w:val="30"/>
          <w:lang w:val="en-US" w:eastAsia="zh-CN" w:bidi="ar-SA"/>
        </w:rPr>
        <w:t xml:space="preserve"> 1、贯彻执行国家有关自然保护区的法律、法规和方针政策；</w:t>
      </w:r>
    </w:p>
    <w:p>
      <w:pPr>
        <w:pStyle w:val="25"/>
        <w:kinsoku/>
        <w:wordWrap/>
        <w:overflowPunct/>
        <w:topLinePunct/>
        <w:autoSpaceDE/>
        <w:autoSpaceDN/>
        <w:bidi w:val="0"/>
        <w:spacing w:line="240" w:lineRule="auto"/>
        <w:ind w:firstLine="600" w:firstLineChars="200"/>
        <w:textAlignment w:val="auto"/>
        <w:rPr>
          <w:rStyle w:val="11"/>
          <w:rFonts w:ascii="仿宋" w:hAnsi="仿宋" w:eastAsia="仿宋"/>
          <w:kern w:val="2"/>
          <w:sz w:val="30"/>
          <w:szCs w:val="30"/>
          <w:lang w:val="en-US" w:eastAsia="zh-CN" w:bidi="ar-SA"/>
        </w:rPr>
      </w:pPr>
      <w:r>
        <w:rPr>
          <w:rStyle w:val="11"/>
          <w:rFonts w:ascii="仿宋" w:hAnsi="仿宋" w:eastAsia="仿宋"/>
          <w:kern w:val="2"/>
          <w:sz w:val="30"/>
          <w:szCs w:val="30"/>
          <w:lang w:val="en-US" w:eastAsia="zh-CN" w:bidi="ar-SA"/>
        </w:rPr>
        <w:t>2、负责保护区的行政管理，制定各项管理制度，统一管理自然保护区；      3、加强自然资源和自然环境的保护，维护生态平衡，促进资源恢复与发展，组织环境监测，并科学建立档案；      4、搞好科学研究，保护和发展珍稀动植物，以主要保护对象为主，对趋于灭绝的物种有计划采取拯救措施；同时，加强国内外技术交流与合作，吸引外界科研力量，不断提高保护区的科研水平和科技协作能力；      5、加强公众宣传教育，努力提高社会公众的保护意识，逐步实现保护区建设与管理向社会化方向发展；      6、坚持“全面保护、合理开发”的原则，适当开展林业多种经营，生态旅游，增强保护区的自养能力，并带动周边区域乡村经济发展，充分发挥保护区的综合效能。</w:t>
      </w:r>
    </w:p>
    <w:p>
      <w:pPr>
        <w:widowControl/>
        <w:ind w:firstLine="640" w:firstLineChars="200"/>
        <w:jc w:val="left"/>
        <w:textAlignment w:val="baseline"/>
        <w:rPr>
          <w:rStyle w:val="11"/>
          <w:rFonts w:ascii="黑体" w:hAnsi="黑体" w:eastAsia="黑体"/>
          <w:color w:val="000000"/>
          <w:kern w:val="0"/>
          <w:sz w:val="32"/>
          <w:szCs w:val="32"/>
          <w:lang w:val="en-US" w:eastAsia="zh-CN" w:bidi="ar-SA"/>
        </w:rPr>
      </w:pPr>
      <w:r>
        <w:rPr>
          <w:rStyle w:val="11"/>
          <w:rFonts w:ascii="黑体" w:hAnsi="黑体" w:eastAsia="黑体"/>
          <w:color w:val="000000"/>
          <w:kern w:val="0"/>
          <w:sz w:val="32"/>
          <w:szCs w:val="32"/>
          <w:lang w:val="en-US" w:eastAsia="zh-CN" w:bidi="ar-SA"/>
        </w:rPr>
        <w:t>二、机构设置</w:t>
      </w:r>
    </w:p>
    <w:p>
      <w:pPr>
        <w:pStyle w:val="25"/>
        <w:widowControl/>
        <w:topLinePunct/>
        <w:spacing w:line="544" w:lineRule="exact"/>
        <w:ind w:firstLine="600" w:firstLineChars="200"/>
        <w:textAlignment w:val="baseline"/>
        <w:rPr>
          <w:rStyle w:val="11"/>
          <w:rFonts w:ascii="仿宋" w:hAnsi="仿宋" w:eastAsia="仿宋"/>
          <w:kern w:val="2"/>
          <w:sz w:val="30"/>
          <w:szCs w:val="30"/>
          <w:lang w:val="en-US" w:eastAsia="zh-CN" w:bidi="ar-SA"/>
        </w:rPr>
      </w:pPr>
      <w:r>
        <w:rPr>
          <w:rStyle w:val="11"/>
          <w:rFonts w:ascii="仿宋" w:hAnsi="仿宋" w:eastAsia="仿宋"/>
          <w:kern w:val="2"/>
          <w:sz w:val="30"/>
          <w:szCs w:val="30"/>
          <w:lang w:val="en-US" w:eastAsia="zh-CN" w:bidi="ar-SA"/>
        </w:rPr>
        <w:t>保护区管理局职能科室有行政办公室、保护科、科技科、计划财务科、人事科、多种经营科、教育宣传科和森林公安派出所。</w:t>
      </w:r>
      <w:r>
        <w:rPr>
          <w:rStyle w:val="11"/>
          <w:rFonts w:hint="eastAsia" w:ascii="仿宋" w:hAnsi="仿宋" w:eastAsia="仿宋"/>
          <w:kern w:val="2"/>
          <w:sz w:val="30"/>
          <w:szCs w:val="30"/>
          <w:lang w:val="en-US" w:eastAsia="zh-CN" w:bidi="ar-SA"/>
        </w:rPr>
        <w:t>下设3个二级机构，分别为科普馆、百冠长尾雉、朱鹮繁育站。</w:t>
      </w:r>
      <w:r>
        <w:rPr>
          <w:rStyle w:val="11"/>
          <w:rFonts w:ascii="仿宋" w:hAnsi="仿宋" w:eastAsia="仿宋"/>
          <w:kern w:val="2"/>
          <w:sz w:val="30"/>
          <w:szCs w:val="30"/>
          <w:lang w:val="en-US" w:eastAsia="zh-CN" w:bidi="ar-SA"/>
        </w:rPr>
        <w:t>按照有关保护法规和政策的要求，初步建立健全了劳动管理、财务管理、资源管理、职工培训管理等相关制度，与周围社区加强了联系，形成了较完善的保护管理体系，保护机构健全，保护措施得力，领导班子</w:t>
      </w:r>
      <w:bookmarkStart w:id="0" w:name="_GoBack"/>
      <w:bookmarkEnd w:id="0"/>
      <w:r>
        <w:rPr>
          <w:rStyle w:val="11"/>
          <w:rFonts w:ascii="仿宋" w:hAnsi="仿宋" w:eastAsia="仿宋"/>
          <w:kern w:val="2"/>
          <w:sz w:val="30"/>
          <w:szCs w:val="30"/>
          <w:lang w:val="en-US" w:eastAsia="zh-CN" w:bidi="ar-SA"/>
        </w:rPr>
        <w:t>团结奋进，职工政治思想稳定。</w:t>
      </w:r>
    </w:p>
    <w:p>
      <w:pPr>
        <w:pStyle w:val="2"/>
        <w:spacing w:line="386" w:lineRule="auto"/>
        <w:ind w:left="106" w:right="110" w:firstLine="640"/>
        <w:rPr>
          <w:rFonts w:hint="eastAsia"/>
        </w:rPr>
      </w:pPr>
      <w:r>
        <w:t>从决算单位构成看，罗山县</w:t>
      </w:r>
      <w:r>
        <w:rPr>
          <w:rFonts w:hint="eastAsia"/>
          <w:lang w:eastAsia="zh-CN"/>
        </w:rPr>
        <w:t>董寨国家级自然保护区管理局</w:t>
      </w:r>
      <w:r>
        <w:t>部门决算包括： 本级决算、所属</w:t>
      </w:r>
      <w:r>
        <w:rPr>
          <w:rFonts w:hint="eastAsia"/>
          <w:lang w:eastAsia="zh-CN"/>
        </w:rPr>
        <w:t>二级机构</w:t>
      </w:r>
      <w:r>
        <w:t>决算</w:t>
      </w:r>
      <w:r>
        <w:rPr>
          <w:rFonts w:hint="eastAsia"/>
          <w:lang w:eastAsia="zh-CN"/>
        </w:rPr>
        <w:t>。</w:t>
      </w:r>
      <w:r>
        <w:rPr>
          <w:rFonts w:hint="eastAsia"/>
          <w:lang w:val="en-US" w:eastAsia="zh-CN"/>
        </w:rPr>
        <w:t>本决算为汇总决算。</w:t>
      </w:r>
      <w:r>
        <w:t xml:space="preserve"> </w:t>
      </w:r>
    </w:p>
    <w:p>
      <w:pPr>
        <w:pStyle w:val="2"/>
        <w:spacing w:line="386" w:lineRule="auto"/>
        <w:ind w:left="106" w:right="110" w:firstLine="640"/>
        <w:rPr>
          <w:rStyle w:val="11"/>
          <w:rFonts w:ascii="仿宋" w:hAnsi="仿宋" w:eastAsia="仿宋"/>
          <w:kern w:val="2"/>
          <w:sz w:val="30"/>
          <w:szCs w:val="30"/>
          <w:lang w:val="en-US" w:eastAsia="zh-CN" w:bidi="ar-SA"/>
        </w:rPr>
      </w:pPr>
      <w:r>
        <w:t>纳入本部门 201</w:t>
      </w:r>
      <w:r>
        <w:rPr>
          <w:rFonts w:hint="eastAsia"/>
          <w:lang w:val="en-US" w:eastAsia="zh-CN"/>
        </w:rPr>
        <w:t>8</w:t>
      </w:r>
      <w:r>
        <w:t>年度部门决算编制范围的</w:t>
      </w:r>
      <w:r>
        <w:rPr>
          <w:rFonts w:hint="eastAsia"/>
          <w:lang w:eastAsia="zh-CN"/>
        </w:rPr>
        <w:t>二级机构</w:t>
      </w:r>
      <w:r>
        <w:t xml:space="preserve">共 </w:t>
      </w:r>
      <w:r>
        <w:rPr>
          <w:rFonts w:hint="eastAsia"/>
          <w:lang w:val="en-US" w:eastAsia="zh-CN"/>
        </w:rPr>
        <w:t>4</w:t>
      </w:r>
      <w:r>
        <w:rPr>
          <w:rFonts w:hint="eastAsia"/>
        </w:rPr>
        <w:t>个,其中二级</w:t>
      </w:r>
      <w:r>
        <w:rPr>
          <w:rFonts w:hint="eastAsia"/>
          <w:lang w:eastAsia="zh-CN"/>
        </w:rPr>
        <w:t>机构</w:t>
      </w:r>
      <w:r>
        <w:rPr>
          <w:rFonts w:hint="eastAsia"/>
          <w:lang w:val="en-US" w:eastAsia="zh-CN"/>
        </w:rPr>
        <w:t>3</w:t>
      </w:r>
      <w:r>
        <w:rPr>
          <w:rFonts w:hint="eastAsia"/>
        </w:rPr>
        <w:t>个,具体是:</w:t>
      </w:r>
      <w:r>
        <w:rPr>
          <w:rStyle w:val="11"/>
          <w:rFonts w:hint="eastAsia" w:ascii="仿宋" w:hAnsi="仿宋" w:eastAsia="仿宋"/>
          <w:kern w:val="2"/>
          <w:sz w:val="30"/>
          <w:szCs w:val="30"/>
          <w:lang w:val="en-US" w:eastAsia="zh-CN" w:bidi="ar-SA"/>
        </w:rPr>
        <w:t>科普馆、百冠长尾雉、朱鹮繁育站</w:t>
      </w:r>
      <w:r>
        <w:rPr>
          <w:rStyle w:val="11"/>
          <w:rFonts w:hint="eastAsia"/>
          <w:kern w:val="2"/>
          <w:sz w:val="30"/>
          <w:szCs w:val="30"/>
          <w:lang w:val="en-US" w:eastAsia="zh-CN" w:bidi="ar-SA"/>
        </w:rPr>
        <w:t>。</w:t>
      </w:r>
    </w:p>
    <w:p>
      <w:pPr>
        <w:pStyle w:val="25"/>
        <w:widowControl/>
        <w:topLinePunct/>
        <w:spacing w:line="544" w:lineRule="exact"/>
        <w:ind w:firstLine="600" w:firstLineChars="200"/>
        <w:textAlignment w:val="baseline"/>
        <w:rPr>
          <w:rStyle w:val="11"/>
          <w:rFonts w:ascii="仿宋" w:hAnsi="仿宋" w:eastAsia="仿宋"/>
          <w:kern w:val="2"/>
          <w:sz w:val="30"/>
          <w:szCs w:val="30"/>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jc w:val="center"/>
        <w:textAlignment w:val="baseline"/>
        <w:rPr>
          <w:rStyle w:val="11"/>
          <w:rFonts w:ascii="黑体" w:hAnsi="黑体" w:eastAsia="黑体"/>
          <w:color w:val="000000"/>
          <w:kern w:val="2"/>
          <w:sz w:val="48"/>
          <w:szCs w:val="48"/>
          <w:lang w:val="en-US" w:eastAsia="zh-CN" w:bidi="ar-SA"/>
        </w:rPr>
      </w:pPr>
      <w:r>
        <w:rPr>
          <w:rStyle w:val="11"/>
          <w:rFonts w:ascii="黑体" w:hAnsi="黑体" w:eastAsia="黑体"/>
          <w:color w:val="000000"/>
          <w:kern w:val="2"/>
          <w:sz w:val="48"/>
          <w:szCs w:val="48"/>
          <w:lang w:val="en-US" w:eastAsia="zh-CN" w:bidi="ar-SA"/>
        </w:rPr>
        <w:t>第二部分  2018年度部门决算表</w:t>
      </w: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sectPr>
          <w:pgSz w:w="11906" w:h="16838"/>
          <w:pgMar w:top="1440" w:right="1800" w:bottom="1440" w:left="1800" w:header="720" w:footer="720" w:gutter="0"/>
          <w:lnNumType w:countBy="0"/>
          <w:cols w:space="720" w:num="1"/>
          <w:vAlign w:val="top"/>
          <w:docGrid w:type="lines" w:linePitch="312" w:charSpace="0"/>
        </w:sectPr>
      </w:pPr>
    </w:p>
    <w:tbl>
      <w:tblPr>
        <w:tblStyle w:val="5"/>
        <w:tblW w:w="2832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7"/>
        <w:gridCol w:w="59"/>
        <w:gridCol w:w="2123"/>
        <w:gridCol w:w="1464"/>
        <w:gridCol w:w="281"/>
        <w:gridCol w:w="825"/>
        <w:gridCol w:w="359"/>
        <w:gridCol w:w="176"/>
        <w:gridCol w:w="1229"/>
        <w:gridCol w:w="148"/>
        <w:gridCol w:w="264"/>
        <w:gridCol w:w="1289"/>
        <w:gridCol w:w="352"/>
        <w:gridCol w:w="1201"/>
        <w:gridCol w:w="260"/>
        <w:gridCol w:w="977"/>
        <w:gridCol w:w="136"/>
        <w:gridCol w:w="243"/>
        <w:gridCol w:w="86"/>
        <w:gridCol w:w="1522"/>
        <w:gridCol w:w="143"/>
        <w:gridCol w:w="14021"/>
        <w:gridCol w:w="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4164" w:type="dxa"/>
            <w:gridSpan w:val="21"/>
            <w:tcBorders>
              <w:top w:val="nil"/>
              <w:left w:val="nil"/>
              <w:bottom w:val="nil"/>
              <w:right w:val="nil"/>
            </w:tcBorders>
            <w:noWrap/>
            <w:vAlign w:val="center"/>
          </w:tcPr>
          <w:p>
            <w:pPr>
              <w:widowControl/>
              <w:jc w:val="center"/>
              <w:textAlignment w:val="center"/>
              <w:rPr>
                <w:rStyle w:val="11"/>
                <w:rFonts w:ascii="华文中宋" w:hAnsi="华文中宋" w:eastAsia="华文中宋"/>
                <w:i w:val="0"/>
                <w:color w:val="000000"/>
                <w:kern w:val="2"/>
                <w:sz w:val="32"/>
                <w:szCs w:val="32"/>
                <w:lang w:val="en-US" w:eastAsia="zh-CN" w:bidi="ar-SA"/>
              </w:rPr>
            </w:pPr>
            <w:r>
              <w:rPr>
                <w:rStyle w:val="11"/>
                <w:rFonts w:ascii="华文中宋" w:hAnsi="华文中宋" w:eastAsia="华文中宋"/>
                <w:i w:val="0"/>
                <w:color w:val="000000"/>
                <w:kern w:val="0"/>
                <w:sz w:val="32"/>
                <w:szCs w:val="32"/>
                <w:lang w:val="en-US" w:eastAsia="zh-CN"/>
              </w:rPr>
              <w:t>收入支出决算总表</w:t>
            </w:r>
          </w:p>
        </w:tc>
        <w:tc>
          <w:tcPr>
            <w:tcW w:w="14164" w:type="dxa"/>
            <w:gridSpan w:val="2"/>
            <w:tcBorders>
              <w:top w:val="nil"/>
              <w:left w:val="nil"/>
              <w:bottom w:val="nil"/>
              <w:right w:val="nil"/>
            </w:tcBorders>
            <w:noWrap/>
            <w:vAlign w:val="center"/>
          </w:tcPr>
          <w:p>
            <w:pPr>
              <w:widowControl/>
              <w:jc w:val="center"/>
              <w:textAlignment w:val="center"/>
              <w:rPr>
                <w:rStyle w:val="11"/>
                <w:rFonts w:ascii="华文中宋" w:hAnsi="华文中宋" w:eastAsia="华文中宋"/>
                <w:i w:val="0"/>
                <w:color w:val="000000"/>
                <w:kern w:val="0"/>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4954" w:type="dxa"/>
            <w:gridSpan w:val="5"/>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825"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764" w:type="dxa"/>
            <w:gridSpan w:val="3"/>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4491" w:type="dxa"/>
            <w:gridSpan w:val="7"/>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465" w:type="dxa"/>
            <w:gridSpan w:val="3"/>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65" w:type="dxa"/>
            <w:gridSpan w:val="2"/>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公开01表</w:t>
            </w:r>
          </w:p>
        </w:tc>
        <w:tc>
          <w:tcPr>
            <w:tcW w:w="14164" w:type="dxa"/>
            <w:gridSpan w:val="2"/>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954" w:type="dxa"/>
            <w:gridSpan w:val="5"/>
            <w:tcBorders>
              <w:top w:val="nil"/>
              <w:left w:val="nil"/>
              <w:bottom w:val="nil"/>
              <w:right w:val="nil"/>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部门：罗山县董寨国家级自然保护区管理局</w:t>
            </w:r>
          </w:p>
        </w:tc>
        <w:tc>
          <w:tcPr>
            <w:tcW w:w="825"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764" w:type="dxa"/>
            <w:gridSpan w:val="3"/>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4491" w:type="dxa"/>
            <w:gridSpan w:val="7"/>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465" w:type="dxa"/>
            <w:gridSpan w:val="3"/>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65" w:type="dxa"/>
            <w:gridSpan w:val="2"/>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单位：万元</w:t>
            </w:r>
          </w:p>
        </w:tc>
        <w:tc>
          <w:tcPr>
            <w:tcW w:w="14164" w:type="dxa"/>
            <w:gridSpan w:val="2"/>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543" w:type="dxa"/>
            <w:gridSpan w:val="9"/>
            <w:tcBorders>
              <w:top w:val="single" w:color="000000" w:sz="8" w:space="0"/>
              <w:left w:val="single" w:color="000000" w:sz="8"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收入</w:t>
            </w:r>
          </w:p>
        </w:tc>
        <w:tc>
          <w:tcPr>
            <w:tcW w:w="6621" w:type="dxa"/>
            <w:gridSpan w:val="12"/>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支出</w:t>
            </w:r>
          </w:p>
        </w:tc>
        <w:tc>
          <w:tcPr>
            <w:tcW w:w="14164" w:type="dxa"/>
            <w:gridSpan w:val="2"/>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4" w:type="dxa"/>
            <w:gridSpan w:val="5"/>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行次</w:t>
            </w: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决算数</w:t>
            </w:r>
          </w:p>
        </w:tc>
        <w:tc>
          <w:tcPr>
            <w:tcW w:w="4491"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项    目</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行次</w:t>
            </w:r>
          </w:p>
        </w:tc>
        <w:tc>
          <w:tcPr>
            <w:tcW w:w="1665" w:type="dxa"/>
            <w:gridSpan w:val="2"/>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决算数</w:t>
            </w:r>
          </w:p>
        </w:tc>
        <w:tc>
          <w:tcPr>
            <w:tcW w:w="14164" w:type="dxa"/>
            <w:gridSpan w:val="2"/>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jc w:val="center"/>
              <w:textAlignment w:val="center"/>
              <w:rPr>
                <w:rStyle w:val="11"/>
                <w:rFonts w:ascii="宋体" w:hAnsi="宋体" w:eastAsia="宋体"/>
                <w:i w:val="0"/>
                <w:color w:val="000000"/>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4" w:type="dxa"/>
            <w:gridSpan w:val="5"/>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w:t>
            </w:r>
          </w:p>
        </w:tc>
        <w:tc>
          <w:tcPr>
            <w:tcW w:w="4491"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栏    次</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65" w:type="dxa"/>
            <w:gridSpan w:val="2"/>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w:t>
            </w:r>
          </w:p>
        </w:tc>
        <w:tc>
          <w:tcPr>
            <w:tcW w:w="14164" w:type="dxa"/>
            <w:gridSpan w:val="2"/>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jc w:val="center"/>
              <w:textAlignment w:val="center"/>
              <w:rPr>
                <w:rStyle w:val="11"/>
                <w:rFonts w:ascii="宋体" w:hAnsi="宋体" w:eastAsia="宋体"/>
                <w:i w:val="0"/>
                <w:color w:val="000000"/>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4" w:type="dxa"/>
            <w:gridSpan w:val="5"/>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w:t>
            </w:r>
          </w:p>
        </w:tc>
        <w:tc>
          <w:tcPr>
            <w:tcW w:w="176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2090.86</w:t>
            </w:r>
          </w:p>
        </w:tc>
        <w:tc>
          <w:tcPr>
            <w:tcW w:w="4491"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一、一般公共服务支出</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14</w:t>
            </w:r>
          </w:p>
        </w:tc>
        <w:tc>
          <w:tcPr>
            <w:tcW w:w="1665" w:type="dxa"/>
            <w:gridSpan w:val="2"/>
            <w:tcBorders>
              <w:top w:val="single" w:color="000000" w:sz="4" w:space="0"/>
              <w:left w:val="single" w:color="000000" w:sz="4" w:space="0"/>
              <w:bottom w:val="single" w:color="000000" w:sz="4" w:space="0"/>
              <w:right w:val="single" w:color="000000" w:sz="8" w:space="0"/>
            </w:tcBorders>
            <w:noWrap/>
            <w:vAlign w:val="center"/>
          </w:tcPr>
          <w:p>
            <w:pPr>
              <w:jc w:val="center"/>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2090.86</w:t>
            </w:r>
          </w:p>
        </w:tc>
        <w:tc>
          <w:tcPr>
            <w:tcW w:w="14164" w:type="dxa"/>
            <w:gridSpan w:val="2"/>
            <w:tcBorders>
              <w:top w:val="single" w:color="000000" w:sz="4" w:space="0"/>
              <w:left w:val="single" w:color="000000" w:sz="4" w:space="0"/>
              <w:bottom w:val="single" w:color="000000" w:sz="4" w:space="0"/>
              <w:right w:val="single" w:color="000000" w:sz="8" w:space="0"/>
            </w:tcBorders>
            <w:noWrap/>
            <w:vAlign w:val="center"/>
          </w:tcPr>
          <w:p>
            <w:pPr>
              <w:jc w:val="center"/>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4" w:type="dxa"/>
            <w:gridSpan w:val="5"/>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w:t>
            </w:r>
          </w:p>
        </w:tc>
        <w:tc>
          <w:tcPr>
            <w:tcW w:w="1764"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4491"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二、外交支出</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15</w:t>
            </w:r>
          </w:p>
        </w:tc>
        <w:tc>
          <w:tcPr>
            <w:tcW w:w="1665"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164"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4" w:type="dxa"/>
            <w:gridSpan w:val="5"/>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w:t>
            </w:r>
          </w:p>
        </w:tc>
        <w:tc>
          <w:tcPr>
            <w:tcW w:w="1764"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4491"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三、国防支出</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16</w:t>
            </w:r>
          </w:p>
        </w:tc>
        <w:tc>
          <w:tcPr>
            <w:tcW w:w="1665"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164"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4" w:type="dxa"/>
            <w:gridSpan w:val="5"/>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4</w:t>
            </w:r>
          </w:p>
        </w:tc>
        <w:tc>
          <w:tcPr>
            <w:tcW w:w="1764"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4491"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四、公共安全支出</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17</w:t>
            </w:r>
          </w:p>
        </w:tc>
        <w:tc>
          <w:tcPr>
            <w:tcW w:w="1665"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164"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4" w:type="dxa"/>
            <w:gridSpan w:val="5"/>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5</w:t>
            </w:r>
          </w:p>
        </w:tc>
        <w:tc>
          <w:tcPr>
            <w:tcW w:w="1764"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4491"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五、教育支出</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18</w:t>
            </w:r>
          </w:p>
        </w:tc>
        <w:tc>
          <w:tcPr>
            <w:tcW w:w="1665"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164"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4" w:type="dxa"/>
            <w:gridSpan w:val="5"/>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6</w:t>
            </w:r>
          </w:p>
        </w:tc>
        <w:tc>
          <w:tcPr>
            <w:tcW w:w="1764"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4491"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六、科学技术支出</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19</w:t>
            </w:r>
          </w:p>
        </w:tc>
        <w:tc>
          <w:tcPr>
            <w:tcW w:w="1665"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164"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4" w:type="dxa"/>
            <w:gridSpan w:val="5"/>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Style w:val="11"/>
                <w:rFonts w:ascii="宋体" w:hAnsi="宋体" w:eastAsia="宋体"/>
                <w:b/>
                <w:i w:val="0"/>
                <w:color w:val="000000"/>
                <w:kern w:val="2"/>
                <w:sz w:val="20"/>
                <w:szCs w:val="20"/>
                <w:lang w:val="en-US" w:eastAsia="zh-CN" w:bidi="ar-SA"/>
              </w:rPr>
            </w:pPr>
            <w:r>
              <w:rPr>
                <w:rStyle w:val="11"/>
                <w:rFonts w:ascii="宋体" w:hAnsi="宋体" w:eastAsia="宋体"/>
                <w:b/>
                <w:i w:val="0"/>
                <w:color w:val="000000"/>
                <w:kern w:val="0"/>
                <w:sz w:val="20"/>
                <w:szCs w:val="20"/>
                <w:lang w:val="en-US" w:eastAsia="zh-CN"/>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9</w:t>
            </w:r>
          </w:p>
        </w:tc>
        <w:tc>
          <w:tcPr>
            <w:tcW w:w="1764" w:type="dxa"/>
            <w:gridSpan w:val="3"/>
            <w:tcBorders>
              <w:top w:val="single" w:color="000000" w:sz="4" w:space="0"/>
              <w:left w:val="single" w:color="000000" w:sz="4" w:space="0"/>
              <w:bottom w:val="single" w:color="000000" w:sz="4" w:space="0"/>
              <w:right w:val="single" w:color="000000" w:sz="4" w:space="0"/>
            </w:tcBorders>
            <w:noWrap/>
            <w:vAlign w:val="center"/>
          </w:tcPr>
          <w:p>
            <w:pPr>
              <w:tabs>
                <w:tab w:val="left" w:pos="394"/>
              </w:tabs>
              <w:ind w:firstLine="600" w:firstLineChars="300"/>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2090.86</w:t>
            </w:r>
          </w:p>
        </w:tc>
        <w:tc>
          <w:tcPr>
            <w:tcW w:w="4491" w:type="dxa"/>
            <w:gridSpan w:val="7"/>
            <w:tcBorders>
              <w:top w:val="single" w:color="000000" w:sz="4" w:space="0"/>
              <w:left w:val="single" w:color="000000" w:sz="4" w:space="0"/>
              <w:bottom w:val="single" w:color="000000" w:sz="4" w:space="0"/>
              <w:right w:val="nil"/>
            </w:tcBorders>
            <w:noWrap/>
            <w:vAlign w:val="center"/>
          </w:tcPr>
          <w:p>
            <w:pPr>
              <w:widowControl/>
              <w:jc w:val="center"/>
              <w:textAlignment w:val="center"/>
              <w:rPr>
                <w:rStyle w:val="11"/>
                <w:rFonts w:ascii="宋体" w:hAnsi="宋体" w:eastAsia="宋体"/>
                <w:b/>
                <w:i w:val="0"/>
                <w:color w:val="000000"/>
                <w:kern w:val="2"/>
                <w:sz w:val="20"/>
                <w:szCs w:val="20"/>
                <w:lang w:val="en-US" w:eastAsia="zh-CN" w:bidi="ar-SA"/>
              </w:rPr>
            </w:pPr>
            <w:r>
              <w:rPr>
                <w:rStyle w:val="11"/>
                <w:rFonts w:ascii="宋体" w:hAnsi="宋体" w:eastAsia="宋体"/>
                <w:b/>
                <w:i w:val="0"/>
                <w:color w:val="000000"/>
                <w:kern w:val="0"/>
                <w:sz w:val="20"/>
                <w:szCs w:val="20"/>
                <w:lang w:val="en-US" w:eastAsia="zh-CN"/>
              </w:rPr>
              <w:t>本年支出合计</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22</w:t>
            </w:r>
          </w:p>
        </w:tc>
        <w:tc>
          <w:tcPr>
            <w:tcW w:w="1665" w:type="dxa"/>
            <w:gridSpan w:val="2"/>
            <w:tcBorders>
              <w:top w:val="single" w:color="000000" w:sz="4" w:space="0"/>
              <w:left w:val="nil"/>
              <w:bottom w:val="single" w:color="000000" w:sz="4" w:space="0"/>
              <w:right w:val="single" w:color="000000" w:sz="8" w:space="0"/>
            </w:tcBorders>
            <w:noWrap/>
            <w:vAlign w:val="center"/>
          </w:tcPr>
          <w:p>
            <w:pPr>
              <w:jc w:val="center"/>
              <w:textAlignment w:val="baseline"/>
              <w:rPr>
                <w:rStyle w:val="11"/>
                <w:rFonts w:ascii="宋体" w:hAnsi="宋体" w:eastAsia="宋体"/>
                <w:b/>
                <w:i w:val="0"/>
                <w:color w:val="000000"/>
                <w:kern w:val="2"/>
                <w:sz w:val="20"/>
                <w:szCs w:val="20"/>
                <w:lang w:val="en-US" w:eastAsia="zh-CN" w:bidi="ar-SA"/>
              </w:rPr>
            </w:pPr>
            <w:r>
              <w:rPr>
                <w:rStyle w:val="11"/>
                <w:rFonts w:ascii="宋体" w:hAnsi="宋体" w:eastAsia="宋体"/>
                <w:b/>
                <w:i w:val="0"/>
                <w:color w:val="000000"/>
                <w:kern w:val="2"/>
                <w:sz w:val="20"/>
                <w:szCs w:val="20"/>
                <w:lang w:val="en-US" w:eastAsia="zh-CN" w:bidi="ar-SA"/>
              </w:rPr>
              <w:t>2090.86</w:t>
            </w:r>
          </w:p>
        </w:tc>
        <w:tc>
          <w:tcPr>
            <w:tcW w:w="14164" w:type="dxa"/>
            <w:gridSpan w:val="2"/>
            <w:tcBorders>
              <w:top w:val="single" w:color="000000" w:sz="4" w:space="0"/>
              <w:left w:val="nil"/>
              <w:bottom w:val="single" w:color="000000" w:sz="4" w:space="0"/>
              <w:right w:val="single" w:color="000000" w:sz="8" w:space="0"/>
            </w:tcBorders>
            <w:noWrap/>
            <w:vAlign w:val="center"/>
          </w:tcPr>
          <w:p>
            <w:pPr>
              <w:jc w:val="both"/>
              <w:textAlignment w:val="baseline"/>
              <w:rPr>
                <w:rStyle w:val="11"/>
                <w:rFonts w:ascii="宋体" w:hAnsi="宋体" w:eastAsia="宋体"/>
                <w:b/>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4" w:type="dxa"/>
            <w:gridSpan w:val="5"/>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10</w:t>
            </w:r>
          </w:p>
        </w:tc>
        <w:tc>
          <w:tcPr>
            <w:tcW w:w="1764"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4491" w:type="dxa"/>
            <w:gridSpan w:val="7"/>
            <w:tcBorders>
              <w:top w:val="single" w:color="000000" w:sz="4" w:space="0"/>
              <w:left w:val="single" w:color="000000" w:sz="4" w:space="0"/>
              <w:bottom w:val="single" w:color="000000" w:sz="4" w:space="0"/>
              <w:right w:val="nil"/>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结余分配</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23</w:t>
            </w:r>
          </w:p>
        </w:tc>
        <w:tc>
          <w:tcPr>
            <w:tcW w:w="1665" w:type="dxa"/>
            <w:gridSpan w:val="2"/>
            <w:tcBorders>
              <w:top w:val="single" w:color="000000" w:sz="4" w:space="0"/>
              <w:left w:val="nil"/>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4164" w:type="dxa"/>
            <w:gridSpan w:val="2"/>
            <w:tcBorders>
              <w:top w:val="single" w:color="000000" w:sz="4" w:space="0"/>
              <w:left w:val="nil"/>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4" w:type="dxa"/>
            <w:gridSpan w:val="5"/>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11</w:t>
            </w:r>
          </w:p>
        </w:tc>
        <w:tc>
          <w:tcPr>
            <w:tcW w:w="1764"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4491" w:type="dxa"/>
            <w:gridSpan w:val="7"/>
            <w:tcBorders>
              <w:top w:val="single" w:color="000000" w:sz="4" w:space="0"/>
              <w:left w:val="single" w:color="000000" w:sz="4" w:space="0"/>
              <w:bottom w:val="single" w:color="000000" w:sz="4" w:space="0"/>
              <w:right w:val="nil"/>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年末结转和结余</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24</w:t>
            </w:r>
          </w:p>
        </w:tc>
        <w:tc>
          <w:tcPr>
            <w:tcW w:w="1665" w:type="dxa"/>
            <w:gridSpan w:val="2"/>
            <w:tcBorders>
              <w:top w:val="single" w:color="000000" w:sz="4" w:space="0"/>
              <w:left w:val="nil"/>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4164" w:type="dxa"/>
            <w:gridSpan w:val="2"/>
            <w:tcBorders>
              <w:top w:val="single" w:color="000000" w:sz="4" w:space="0"/>
              <w:left w:val="nil"/>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4" w:type="dxa"/>
            <w:gridSpan w:val="5"/>
            <w:tcBorders>
              <w:top w:val="single" w:color="000000" w:sz="4" w:space="0"/>
              <w:left w:val="single" w:color="000000" w:sz="8" w:space="0"/>
              <w:bottom w:val="nil"/>
              <w:right w:val="nil"/>
            </w:tcBorders>
            <w:noWrap/>
            <w:vAlign w:val="center"/>
          </w:tcPr>
          <w:p>
            <w:pPr>
              <w:jc w:val="left"/>
              <w:textAlignment w:val="baseline"/>
              <w:rPr>
                <w:rStyle w:val="11"/>
                <w:rFonts w:ascii="宋体" w:hAnsi="宋体" w:eastAsia="宋体"/>
                <w:i w:val="0"/>
                <w:color w:val="000000"/>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12</w:t>
            </w:r>
          </w:p>
        </w:tc>
        <w:tc>
          <w:tcPr>
            <w:tcW w:w="1764" w:type="dxa"/>
            <w:gridSpan w:val="3"/>
            <w:tcBorders>
              <w:top w:val="single" w:color="000000" w:sz="4" w:space="0"/>
              <w:left w:val="single" w:color="000000" w:sz="4" w:space="0"/>
              <w:bottom w:val="nil"/>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4491" w:type="dxa"/>
            <w:gridSpan w:val="7"/>
            <w:tcBorders>
              <w:top w:val="single" w:color="000000" w:sz="4" w:space="0"/>
              <w:left w:val="single" w:color="000000" w:sz="4" w:space="0"/>
              <w:bottom w:val="nil"/>
              <w:right w:val="nil"/>
            </w:tcBorders>
            <w:noWrap/>
            <w:vAlign w:val="center"/>
          </w:tcPr>
          <w:p>
            <w:pPr>
              <w:jc w:val="left"/>
              <w:textAlignment w:val="baseline"/>
              <w:rPr>
                <w:rStyle w:val="11"/>
                <w:rFonts w:ascii="宋体" w:hAnsi="宋体" w:eastAsia="宋体"/>
                <w:i w:val="0"/>
                <w:color w:val="000000"/>
                <w:kern w:val="2"/>
                <w:sz w:val="20"/>
                <w:szCs w:val="20"/>
                <w:lang w:val="en-US" w:eastAsia="zh-CN" w:bidi="ar-SA"/>
              </w:rPr>
            </w:pP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25</w:t>
            </w:r>
          </w:p>
        </w:tc>
        <w:tc>
          <w:tcPr>
            <w:tcW w:w="1665" w:type="dxa"/>
            <w:gridSpan w:val="2"/>
            <w:tcBorders>
              <w:top w:val="single" w:color="000000" w:sz="4" w:space="0"/>
              <w:left w:val="nil"/>
              <w:bottom w:val="nil"/>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4164" w:type="dxa"/>
            <w:gridSpan w:val="2"/>
            <w:tcBorders>
              <w:top w:val="single" w:color="000000" w:sz="4" w:space="0"/>
              <w:left w:val="nil"/>
              <w:bottom w:val="nil"/>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4" w:type="dxa"/>
            <w:gridSpan w:val="5"/>
            <w:tcBorders>
              <w:top w:val="single" w:color="000000" w:sz="4" w:space="0"/>
              <w:left w:val="single" w:color="000000" w:sz="8" w:space="0"/>
              <w:bottom w:val="single" w:color="000000" w:sz="8" w:space="0"/>
              <w:right w:val="nil"/>
            </w:tcBorders>
            <w:shd w:val="clear" w:color="auto" w:fill="FFFFFF"/>
            <w:noWrap/>
            <w:vAlign w:val="center"/>
          </w:tcPr>
          <w:p>
            <w:pPr>
              <w:widowControl/>
              <w:jc w:val="center"/>
              <w:textAlignment w:val="center"/>
              <w:rPr>
                <w:rStyle w:val="11"/>
                <w:rFonts w:ascii="宋体" w:hAnsi="宋体" w:eastAsia="宋体"/>
                <w:b/>
                <w:i w:val="0"/>
                <w:color w:val="000000"/>
                <w:kern w:val="2"/>
                <w:sz w:val="20"/>
                <w:szCs w:val="20"/>
                <w:lang w:val="en-US" w:eastAsia="zh-CN" w:bidi="ar-SA"/>
              </w:rPr>
            </w:pPr>
            <w:r>
              <w:rPr>
                <w:rStyle w:val="11"/>
                <w:rFonts w:ascii="宋体" w:hAnsi="宋体" w:eastAsia="宋体"/>
                <w:b/>
                <w:i w:val="0"/>
                <w:color w:val="000000"/>
                <w:kern w:val="0"/>
                <w:sz w:val="20"/>
                <w:szCs w:val="20"/>
                <w:lang w:val="en-US" w:eastAsia="zh-CN"/>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13</w:t>
            </w:r>
          </w:p>
        </w:tc>
        <w:tc>
          <w:tcPr>
            <w:tcW w:w="1764" w:type="dxa"/>
            <w:gridSpan w:val="3"/>
            <w:tcBorders>
              <w:top w:val="single" w:color="000000" w:sz="4" w:space="0"/>
              <w:left w:val="single" w:color="000000" w:sz="4" w:space="0"/>
              <w:bottom w:val="single" w:color="000000" w:sz="8" w:space="0"/>
              <w:right w:val="single" w:color="000000" w:sz="4" w:space="0"/>
            </w:tcBorders>
            <w:noWrap/>
            <w:vAlign w:val="center"/>
          </w:tcPr>
          <w:p>
            <w:pPr>
              <w:jc w:val="center"/>
              <w:textAlignment w:val="baseline"/>
              <w:rPr>
                <w:rStyle w:val="11"/>
                <w:rFonts w:hint="default" w:ascii="宋体" w:hAnsi="宋体" w:eastAsia="宋体"/>
                <w:i w:val="0"/>
                <w:color w:val="000000"/>
                <w:kern w:val="2"/>
                <w:sz w:val="20"/>
                <w:szCs w:val="20"/>
                <w:lang w:val="en-US" w:eastAsia="zh-CN" w:bidi="ar-SA"/>
              </w:rPr>
            </w:pPr>
            <w:r>
              <w:rPr>
                <w:rStyle w:val="11"/>
                <w:rFonts w:hint="eastAsia" w:ascii="宋体" w:hAnsi="宋体"/>
                <w:i w:val="0"/>
                <w:color w:val="000000"/>
                <w:kern w:val="2"/>
                <w:sz w:val="20"/>
                <w:szCs w:val="20"/>
                <w:lang w:val="en-US" w:eastAsia="zh-CN" w:bidi="ar-SA"/>
              </w:rPr>
              <w:t>2090.86</w:t>
            </w:r>
          </w:p>
        </w:tc>
        <w:tc>
          <w:tcPr>
            <w:tcW w:w="4491" w:type="dxa"/>
            <w:gridSpan w:val="7"/>
            <w:tcBorders>
              <w:top w:val="single" w:color="000000" w:sz="4" w:space="0"/>
              <w:left w:val="single" w:color="000000" w:sz="4" w:space="0"/>
              <w:bottom w:val="single" w:color="000000" w:sz="8" w:space="0"/>
              <w:right w:val="nil"/>
            </w:tcBorders>
            <w:shd w:val="clear" w:color="auto" w:fill="FFFFFF"/>
            <w:noWrap/>
            <w:vAlign w:val="center"/>
          </w:tcPr>
          <w:p>
            <w:pPr>
              <w:widowControl/>
              <w:jc w:val="center"/>
              <w:textAlignment w:val="center"/>
              <w:rPr>
                <w:rStyle w:val="11"/>
                <w:rFonts w:ascii="宋体" w:hAnsi="宋体" w:eastAsia="宋体"/>
                <w:b/>
                <w:i w:val="0"/>
                <w:color w:val="000000"/>
                <w:kern w:val="2"/>
                <w:sz w:val="20"/>
                <w:szCs w:val="20"/>
                <w:lang w:val="en-US" w:eastAsia="zh-CN" w:bidi="ar-SA"/>
              </w:rPr>
            </w:pPr>
            <w:r>
              <w:rPr>
                <w:rStyle w:val="11"/>
                <w:rFonts w:ascii="宋体" w:hAnsi="宋体" w:eastAsia="宋体"/>
                <w:b/>
                <w:i w:val="0"/>
                <w:color w:val="000000"/>
                <w:kern w:val="0"/>
                <w:sz w:val="20"/>
                <w:szCs w:val="20"/>
                <w:lang w:val="en-US" w:eastAsia="zh-CN"/>
              </w:rPr>
              <w:t>总计</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26</w:t>
            </w:r>
          </w:p>
        </w:tc>
        <w:tc>
          <w:tcPr>
            <w:tcW w:w="1665" w:type="dxa"/>
            <w:gridSpan w:val="2"/>
            <w:tcBorders>
              <w:top w:val="single" w:color="000000" w:sz="4" w:space="0"/>
              <w:left w:val="nil"/>
              <w:bottom w:val="single" w:color="000000" w:sz="8" w:space="0"/>
              <w:right w:val="single" w:color="000000" w:sz="8" w:space="0"/>
            </w:tcBorders>
            <w:noWrap/>
            <w:vAlign w:val="center"/>
          </w:tcPr>
          <w:p>
            <w:pPr>
              <w:jc w:val="center"/>
              <w:textAlignment w:val="baseline"/>
              <w:rPr>
                <w:rStyle w:val="11"/>
                <w:rFonts w:hint="default" w:ascii="宋体" w:hAnsi="宋体" w:eastAsia="宋体"/>
                <w:b/>
                <w:i w:val="0"/>
                <w:color w:val="000000"/>
                <w:kern w:val="2"/>
                <w:sz w:val="20"/>
                <w:szCs w:val="20"/>
                <w:lang w:val="en-US" w:eastAsia="zh-CN" w:bidi="ar-SA"/>
              </w:rPr>
            </w:pPr>
            <w:r>
              <w:rPr>
                <w:rStyle w:val="11"/>
                <w:rFonts w:hint="eastAsia" w:ascii="宋体" w:hAnsi="宋体"/>
                <w:b/>
                <w:i w:val="0"/>
                <w:color w:val="000000"/>
                <w:kern w:val="2"/>
                <w:sz w:val="20"/>
                <w:szCs w:val="20"/>
                <w:lang w:val="en-US" w:eastAsia="zh-CN" w:bidi="ar-SA"/>
              </w:rPr>
              <w:t>2090.86</w:t>
            </w:r>
          </w:p>
        </w:tc>
        <w:tc>
          <w:tcPr>
            <w:tcW w:w="14164" w:type="dxa"/>
            <w:gridSpan w:val="2"/>
            <w:tcBorders>
              <w:top w:val="single" w:color="000000" w:sz="4" w:space="0"/>
              <w:left w:val="nil"/>
              <w:bottom w:val="single" w:color="000000" w:sz="8" w:space="0"/>
              <w:right w:val="single" w:color="000000" w:sz="8" w:space="0"/>
            </w:tcBorders>
            <w:noWrap/>
            <w:vAlign w:val="center"/>
          </w:tcPr>
          <w:p>
            <w:pPr>
              <w:jc w:val="both"/>
              <w:textAlignment w:val="baseline"/>
              <w:rPr>
                <w:rStyle w:val="11"/>
                <w:rFonts w:ascii="宋体" w:hAnsi="宋体" w:eastAsia="宋体"/>
                <w:b/>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4" w:type="dxa"/>
            <w:gridSpan w:val="21"/>
            <w:tcBorders>
              <w:top w:val="single" w:color="000000" w:sz="8" w:space="0"/>
              <w:left w:val="nil"/>
              <w:bottom w:val="nil"/>
              <w:right w:val="nil"/>
            </w:tcBorders>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注：本表反映部门本年度的总收支和年末结转结余情况。本表金额转换为万元时，因四舍五入可能存在尾差。</w:t>
            </w:r>
          </w:p>
        </w:tc>
        <w:tc>
          <w:tcPr>
            <w:tcW w:w="14164" w:type="dxa"/>
            <w:gridSpan w:val="2"/>
            <w:tcBorders>
              <w:top w:val="single" w:color="000000" w:sz="8" w:space="0"/>
              <w:left w:val="nil"/>
              <w:bottom w:val="nil"/>
              <w:right w:val="nil"/>
            </w:tcBorders>
            <w:vAlign w:val="center"/>
          </w:tcPr>
          <w:p>
            <w:pPr>
              <w:widowControl/>
              <w:jc w:val="left"/>
              <w:textAlignment w:val="center"/>
              <w:rPr>
                <w:rStyle w:val="11"/>
                <w:rFonts w:ascii="宋体" w:hAnsi="宋体" w:eastAsia="宋体"/>
                <w:i w:val="0"/>
                <w:color w:val="000000"/>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43" w:type="dxa"/>
          <w:trHeight w:val="435" w:hRule="atLeast"/>
        </w:trPr>
        <w:tc>
          <w:tcPr>
            <w:tcW w:w="14021" w:type="dxa"/>
            <w:gridSpan w:val="20"/>
            <w:tcBorders>
              <w:top w:val="nil"/>
              <w:left w:val="nil"/>
              <w:bottom w:val="nil"/>
              <w:right w:val="nil"/>
            </w:tcBorders>
            <w:noWrap/>
            <w:vAlign w:val="center"/>
          </w:tcPr>
          <w:p>
            <w:pPr>
              <w:widowControl/>
              <w:jc w:val="center"/>
              <w:textAlignment w:val="center"/>
              <w:rPr>
                <w:rStyle w:val="11"/>
                <w:rFonts w:ascii="华文中宋" w:hAnsi="华文中宋" w:eastAsia="华文中宋"/>
                <w:i w:val="0"/>
                <w:color w:val="000000"/>
                <w:kern w:val="2"/>
                <w:sz w:val="32"/>
                <w:szCs w:val="32"/>
                <w:lang w:val="en-US" w:eastAsia="zh-CN" w:bidi="ar-SA"/>
              </w:rPr>
            </w:pPr>
            <w:r>
              <w:rPr>
                <w:rStyle w:val="11"/>
                <w:rFonts w:ascii="华文中宋" w:hAnsi="华文中宋" w:eastAsia="华文中宋"/>
                <w:i w:val="0"/>
                <w:color w:val="000000"/>
                <w:kern w:val="0"/>
                <w:sz w:val="32"/>
                <w:szCs w:val="32"/>
                <w:lang w:val="en-US" w:eastAsia="zh-CN"/>
              </w:rPr>
              <w:t>收入决算表</w:t>
            </w:r>
          </w:p>
        </w:tc>
        <w:tc>
          <w:tcPr>
            <w:tcW w:w="14164" w:type="dxa"/>
            <w:gridSpan w:val="2"/>
            <w:tcBorders>
              <w:top w:val="nil"/>
              <w:left w:val="nil"/>
              <w:bottom w:val="nil"/>
              <w:right w:val="nil"/>
            </w:tcBorders>
            <w:noWrap/>
            <w:vAlign w:val="center"/>
          </w:tcPr>
          <w:p>
            <w:pPr>
              <w:widowControl/>
              <w:jc w:val="center"/>
              <w:textAlignment w:val="center"/>
              <w:rPr>
                <w:rStyle w:val="11"/>
                <w:rFonts w:ascii="华文中宋" w:hAnsi="华文中宋" w:eastAsia="华文中宋"/>
                <w:i w:val="0"/>
                <w:color w:val="000000"/>
                <w:kern w:val="0"/>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43" w:type="dxa"/>
          <w:trHeight w:val="285" w:hRule="atLeast"/>
        </w:trPr>
        <w:tc>
          <w:tcPr>
            <w:tcW w:w="1027"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59"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2123"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64"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65" w:type="dxa"/>
            <w:gridSpan w:val="3"/>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553" w:type="dxa"/>
            <w:gridSpan w:val="3"/>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373" w:type="dxa"/>
            <w:gridSpan w:val="3"/>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851" w:type="dxa"/>
            <w:gridSpan w:val="3"/>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公开02表</w:t>
            </w:r>
          </w:p>
        </w:tc>
        <w:tc>
          <w:tcPr>
            <w:tcW w:w="14164" w:type="dxa"/>
            <w:gridSpan w:val="2"/>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43" w:type="dxa"/>
          <w:trHeight w:val="300" w:hRule="atLeast"/>
        </w:trPr>
        <w:tc>
          <w:tcPr>
            <w:tcW w:w="6138" w:type="dxa"/>
            <w:gridSpan w:val="7"/>
            <w:tcBorders>
              <w:top w:val="nil"/>
              <w:left w:val="nil"/>
              <w:bottom w:val="nil"/>
              <w:right w:val="nil"/>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部门：罗山县董寨国家级自然保护区管理局</w:t>
            </w:r>
          </w:p>
        </w:tc>
        <w:tc>
          <w:tcPr>
            <w:tcW w:w="1553" w:type="dxa"/>
            <w:gridSpan w:val="3"/>
            <w:tcBorders>
              <w:top w:val="nil"/>
              <w:left w:val="nil"/>
              <w:bottom w:val="nil"/>
              <w:right w:val="nil"/>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373" w:type="dxa"/>
            <w:gridSpan w:val="3"/>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851" w:type="dxa"/>
            <w:gridSpan w:val="3"/>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单位：万元</w:t>
            </w:r>
          </w:p>
        </w:tc>
        <w:tc>
          <w:tcPr>
            <w:tcW w:w="14164" w:type="dxa"/>
            <w:gridSpan w:val="2"/>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43" w:type="dxa"/>
          <w:trHeight w:val="450" w:hRule="atLeast"/>
        </w:trPr>
        <w:tc>
          <w:tcPr>
            <w:tcW w:w="3209" w:type="dxa"/>
            <w:gridSpan w:val="3"/>
            <w:tcBorders>
              <w:top w:val="single" w:color="000000" w:sz="8" w:space="0"/>
              <w:left w:val="single" w:color="000000" w:sz="8" w:space="0"/>
              <w:bottom w:val="single" w:color="000000" w:sz="4" w:space="0"/>
              <w:right w:val="nil"/>
            </w:tcBorders>
            <w:shd w:val="clear" w:color="auto" w:fill="FFFFFF"/>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项    目</w:t>
            </w:r>
          </w:p>
        </w:tc>
        <w:tc>
          <w:tcPr>
            <w:tcW w:w="1464"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本年收入合计</w:t>
            </w:r>
          </w:p>
        </w:tc>
        <w:tc>
          <w:tcPr>
            <w:tcW w:w="1641" w:type="dxa"/>
            <w:gridSpan w:val="4"/>
            <w:vMerge w:val="restart"/>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财政拨款收入</w:t>
            </w:r>
          </w:p>
        </w:tc>
        <w:tc>
          <w:tcPr>
            <w:tcW w:w="1641"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事业收入</w:t>
            </w:r>
          </w:p>
        </w:tc>
        <w:tc>
          <w:tcPr>
            <w:tcW w:w="146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经营收入</w:t>
            </w:r>
          </w:p>
        </w:tc>
        <w:tc>
          <w:tcPr>
            <w:tcW w:w="1356"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附属单位上缴收入</w:t>
            </w:r>
          </w:p>
        </w:tc>
        <w:tc>
          <w:tcPr>
            <w:tcW w:w="1608" w:type="dxa"/>
            <w:gridSpan w:val="2"/>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其他收入</w:t>
            </w:r>
          </w:p>
        </w:tc>
        <w:tc>
          <w:tcPr>
            <w:tcW w:w="14164" w:type="dxa"/>
            <w:gridSpan w:val="2"/>
            <w:tcBorders>
              <w:top w:val="single" w:color="000000" w:sz="8" w:space="0"/>
              <w:left w:val="single" w:color="000000" w:sz="4" w:space="0"/>
              <w:bottom w:val="single" w:color="000000" w:sz="4" w:space="0"/>
              <w:right w:val="single" w:color="000000" w:sz="8" w:space="0"/>
            </w:tcBorders>
            <w:shd w:val="clear" w:color="auto" w:fill="FFFFFF"/>
            <w:vAlign w:val="center"/>
          </w:tcPr>
          <w:p>
            <w:pPr>
              <w:widowControl/>
              <w:jc w:val="center"/>
              <w:textAlignment w:val="center"/>
              <w:rPr>
                <w:rStyle w:val="11"/>
                <w:rFonts w:ascii="宋体" w:hAnsi="宋体" w:eastAsia="宋体"/>
                <w:i w:val="0"/>
                <w:color w:val="000000"/>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43" w:type="dxa"/>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vAlign w:val="center"/>
          </w:tcPr>
          <w:p>
            <w:pPr>
              <w:widowControl/>
              <w:jc w:val="center"/>
              <w:textAlignment w:val="center"/>
              <w:rPr>
                <w:rStyle w:val="11"/>
                <w:rFonts w:ascii="宋体" w:hAnsi="宋体" w:eastAsia="宋体"/>
                <w:i w:val="0"/>
                <w:color w:val="000000"/>
                <w:kern w:val="0"/>
                <w:sz w:val="20"/>
                <w:szCs w:val="20"/>
                <w:lang w:val="en-US" w:eastAsia="zh-CN"/>
              </w:rPr>
            </w:pPr>
            <w:r>
              <w:rPr>
                <w:rStyle w:val="11"/>
                <w:rFonts w:ascii="宋体" w:hAnsi="宋体" w:eastAsia="宋体"/>
                <w:i w:val="0"/>
                <w:color w:val="000000"/>
                <w:kern w:val="0"/>
                <w:sz w:val="20"/>
                <w:szCs w:val="20"/>
                <w:lang w:val="en-US" w:eastAsia="zh-CN"/>
              </w:rPr>
              <w:t>功能分类</w:t>
            </w:r>
          </w:p>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科目编码</w:t>
            </w:r>
          </w:p>
        </w:tc>
        <w:tc>
          <w:tcPr>
            <w:tcW w:w="21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科目名称</w:t>
            </w:r>
          </w:p>
        </w:tc>
        <w:tc>
          <w:tcPr>
            <w:tcW w:w="146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41" w:type="dxa"/>
            <w:gridSpan w:val="4"/>
            <w:vMerge w:val="continue"/>
            <w:tcBorders>
              <w:top w:val="single" w:color="000000" w:sz="8"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41"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46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356"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08"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4164" w:type="dxa"/>
            <w:gridSpan w:val="2"/>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43" w:type="dxa"/>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46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41" w:type="dxa"/>
            <w:gridSpan w:val="4"/>
            <w:vMerge w:val="continue"/>
            <w:tcBorders>
              <w:top w:val="single" w:color="000000" w:sz="8"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41"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46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356"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08"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4164" w:type="dxa"/>
            <w:gridSpan w:val="2"/>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43" w:type="dxa"/>
          <w:trHeight w:val="450" w:hRule="atLeast"/>
        </w:trPr>
        <w:tc>
          <w:tcPr>
            <w:tcW w:w="3209" w:type="dxa"/>
            <w:gridSpan w:val="3"/>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栏次</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w:t>
            </w:r>
          </w:p>
        </w:tc>
        <w:tc>
          <w:tcPr>
            <w:tcW w:w="164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w:t>
            </w: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4</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5</w:t>
            </w:r>
          </w:p>
        </w:tc>
        <w:tc>
          <w:tcPr>
            <w:tcW w:w="135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6</w:t>
            </w:r>
          </w:p>
        </w:tc>
        <w:tc>
          <w:tcPr>
            <w:tcW w:w="1608" w:type="dxa"/>
            <w:gridSpan w:val="2"/>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7</w:t>
            </w:r>
          </w:p>
        </w:tc>
        <w:tc>
          <w:tcPr>
            <w:tcW w:w="14164" w:type="dxa"/>
            <w:gridSpan w:val="2"/>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jc w:val="center"/>
              <w:textAlignment w:val="center"/>
              <w:rPr>
                <w:rStyle w:val="11"/>
                <w:rFonts w:ascii="宋体" w:hAnsi="宋体" w:eastAsia="宋体"/>
                <w:i w:val="0"/>
                <w:color w:val="000000"/>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43" w:type="dxa"/>
          <w:trHeight w:val="450" w:hRule="atLeast"/>
        </w:trPr>
        <w:tc>
          <w:tcPr>
            <w:tcW w:w="3209" w:type="dxa"/>
            <w:gridSpan w:val="3"/>
            <w:tcBorders>
              <w:top w:val="nil"/>
              <w:left w:val="single" w:color="000000" w:sz="8"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合计</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2090.86</w:t>
            </w:r>
          </w:p>
        </w:tc>
        <w:tc>
          <w:tcPr>
            <w:tcW w:w="1641" w:type="dxa"/>
            <w:gridSpan w:val="4"/>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2090.86</w:t>
            </w:r>
          </w:p>
        </w:tc>
        <w:tc>
          <w:tcPr>
            <w:tcW w:w="1641"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61"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356"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08"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164"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43"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2080505</w:t>
            </w:r>
          </w:p>
        </w:tc>
        <w:tc>
          <w:tcPr>
            <w:tcW w:w="21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社会保障和就业支出</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99.89</w:t>
            </w:r>
          </w:p>
        </w:tc>
        <w:tc>
          <w:tcPr>
            <w:tcW w:w="1641" w:type="dxa"/>
            <w:gridSpan w:val="4"/>
            <w:tcBorders>
              <w:top w:val="single" w:color="000000" w:sz="4" w:space="0"/>
              <w:left w:val="single" w:color="000000" w:sz="4" w:space="0"/>
              <w:bottom w:val="single" w:color="000000" w:sz="4" w:space="0"/>
              <w:right w:val="single" w:color="000000" w:sz="4" w:space="0"/>
            </w:tcBorders>
            <w:noWrap/>
            <w:vAlign w:val="center"/>
          </w:tcPr>
          <w:p>
            <w:pPr>
              <w:tabs>
                <w:tab w:val="left" w:pos="480"/>
              </w:tabs>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ab/>
            </w:r>
            <w:r>
              <w:rPr>
                <w:rStyle w:val="11"/>
                <w:rFonts w:ascii="宋体" w:hAnsi="宋体" w:eastAsia="宋体"/>
                <w:i w:val="0"/>
                <w:color w:val="000000"/>
                <w:kern w:val="2"/>
                <w:sz w:val="20"/>
                <w:szCs w:val="20"/>
                <w:lang w:val="en-US" w:eastAsia="zh-CN" w:bidi="ar-SA"/>
              </w:rPr>
              <w:t>99.89</w:t>
            </w:r>
          </w:p>
        </w:tc>
        <w:tc>
          <w:tcPr>
            <w:tcW w:w="1641"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61"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356"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08"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164"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43"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2080901</w:t>
            </w:r>
          </w:p>
        </w:tc>
        <w:tc>
          <w:tcPr>
            <w:tcW w:w="21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退役安置</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华文中宋" w:hAnsi="华文中宋" w:eastAsia="华文中宋"/>
                <w:i w:val="0"/>
                <w:color w:val="000000"/>
                <w:kern w:val="2"/>
                <w:sz w:val="20"/>
                <w:szCs w:val="20"/>
                <w:lang w:val="en-US" w:eastAsia="zh-CN" w:bidi="ar-SA"/>
              </w:rPr>
            </w:pPr>
            <w:r>
              <w:rPr>
                <w:rStyle w:val="11"/>
                <w:rFonts w:ascii="华文中宋" w:hAnsi="华文中宋" w:eastAsia="华文中宋"/>
                <w:i w:val="0"/>
                <w:color w:val="000000"/>
                <w:kern w:val="2"/>
                <w:sz w:val="20"/>
                <w:szCs w:val="20"/>
                <w:lang w:val="en-US" w:eastAsia="zh-CN" w:bidi="ar-SA"/>
              </w:rPr>
              <w:t>0.81</w:t>
            </w:r>
          </w:p>
        </w:tc>
        <w:tc>
          <w:tcPr>
            <w:tcW w:w="1641" w:type="dxa"/>
            <w:gridSpan w:val="4"/>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0.81</w:t>
            </w:r>
          </w:p>
        </w:tc>
        <w:tc>
          <w:tcPr>
            <w:tcW w:w="1641"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61"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356"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08"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164"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43"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2101102</w:t>
            </w:r>
          </w:p>
        </w:tc>
        <w:tc>
          <w:tcPr>
            <w:tcW w:w="21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事业单位医疗</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39.95</w:t>
            </w:r>
          </w:p>
        </w:tc>
        <w:tc>
          <w:tcPr>
            <w:tcW w:w="1641" w:type="dxa"/>
            <w:gridSpan w:val="4"/>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39.95</w:t>
            </w:r>
          </w:p>
        </w:tc>
        <w:tc>
          <w:tcPr>
            <w:tcW w:w="1641"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61"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356"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08"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164"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43"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2130210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林业自然保护区</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1890.28</w:t>
            </w:r>
          </w:p>
        </w:tc>
        <w:tc>
          <w:tcPr>
            <w:tcW w:w="1641" w:type="dxa"/>
            <w:gridSpan w:val="4"/>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1890.28</w:t>
            </w:r>
          </w:p>
        </w:tc>
        <w:tc>
          <w:tcPr>
            <w:tcW w:w="1641"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61"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356"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08"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164"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43"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2210201</w:t>
            </w:r>
          </w:p>
        </w:tc>
        <w:tc>
          <w:tcPr>
            <w:tcW w:w="21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住房公积金</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59.93</w:t>
            </w:r>
          </w:p>
        </w:tc>
        <w:tc>
          <w:tcPr>
            <w:tcW w:w="1641" w:type="dxa"/>
            <w:gridSpan w:val="4"/>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59.93</w:t>
            </w:r>
          </w:p>
        </w:tc>
        <w:tc>
          <w:tcPr>
            <w:tcW w:w="1641"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61"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356" w:type="dxa"/>
            <w:gridSpan w:val="3"/>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08"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164" w:type="dxa"/>
            <w:gridSpan w:val="2"/>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43"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p>
        </w:tc>
        <w:tc>
          <w:tcPr>
            <w:tcW w:w="2123" w:type="dxa"/>
            <w:tcBorders>
              <w:top w:val="single" w:color="000000" w:sz="4" w:space="0"/>
              <w:left w:val="single" w:color="000000" w:sz="4" w:space="0"/>
              <w:bottom w:val="single" w:color="000000" w:sz="8"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p>
        </w:tc>
        <w:tc>
          <w:tcPr>
            <w:tcW w:w="1464" w:type="dxa"/>
            <w:tcBorders>
              <w:top w:val="single" w:color="000000" w:sz="4" w:space="0"/>
              <w:left w:val="single" w:color="000000" w:sz="4" w:space="0"/>
              <w:bottom w:val="single" w:color="000000" w:sz="8"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41" w:type="dxa"/>
            <w:gridSpan w:val="4"/>
            <w:tcBorders>
              <w:top w:val="single" w:color="000000" w:sz="4" w:space="0"/>
              <w:left w:val="single" w:color="000000" w:sz="4" w:space="0"/>
              <w:bottom w:val="single" w:color="000000" w:sz="8"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41" w:type="dxa"/>
            <w:gridSpan w:val="3"/>
            <w:tcBorders>
              <w:top w:val="single" w:color="000000" w:sz="4" w:space="0"/>
              <w:left w:val="single" w:color="000000" w:sz="4" w:space="0"/>
              <w:bottom w:val="single" w:color="000000" w:sz="8"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61" w:type="dxa"/>
            <w:gridSpan w:val="2"/>
            <w:tcBorders>
              <w:top w:val="single" w:color="000000" w:sz="4" w:space="0"/>
              <w:left w:val="single" w:color="000000" w:sz="4" w:space="0"/>
              <w:bottom w:val="single" w:color="000000" w:sz="8"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356" w:type="dxa"/>
            <w:gridSpan w:val="3"/>
            <w:tcBorders>
              <w:top w:val="single" w:color="000000" w:sz="4" w:space="0"/>
              <w:left w:val="single" w:color="000000" w:sz="4" w:space="0"/>
              <w:bottom w:val="single" w:color="000000" w:sz="8"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08" w:type="dxa"/>
            <w:gridSpan w:val="2"/>
            <w:tcBorders>
              <w:top w:val="single" w:color="000000" w:sz="4" w:space="0"/>
              <w:left w:val="single" w:color="000000" w:sz="4" w:space="0"/>
              <w:bottom w:val="single" w:color="000000" w:sz="8"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4164" w:type="dxa"/>
            <w:gridSpan w:val="2"/>
            <w:tcBorders>
              <w:top w:val="single" w:color="000000" w:sz="4" w:space="0"/>
              <w:left w:val="single" w:color="000000" w:sz="4" w:space="0"/>
              <w:bottom w:val="single" w:color="000000" w:sz="8"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43" w:type="dxa"/>
          <w:trHeight w:val="615" w:hRule="atLeast"/>
        </w:trPr>
        <w:tc>
          <w:tcPr>
            <w:tcW w:w="14021" w:type="dxa"/>
            <w:gridSpan w:val="20"/>
            <w:tcBorders>
              <w:top w:val="single" w:color="000000" w:sz="8" w:space="0"/>
              <w:left w:val="nil"/>
              <w:bottom w:val="nil"/>
              <w:right w:val="nil"/>
            </w:tcBorders>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注：本表反映部门本年度取得的各项收入情况。本表金额转换为万元时，因四舍五入可能存在尾差。</w:t>
            </w:r>
          </w:p>
        </w:tc>
        <w:tc>
          <w:tcPr>
            <w:tcW w:w="14164" w:type="dxa"/>
            <w:gridSpan w:val="2"/>
            <w:tcBorders>
              <w:top w:val="single" w:color="000000" w:sz="8" w:space="0"/>
              <w:left w:val="nil"/>
              <w:bottom w:val="nil"/>
              <w:right w:val="nil"/>
            </w:tcBorders>
            <w:vAlign w:val="center"/>
          </w:tcPr>
          <w:p>
            <w:pPr>
              <w:widowControl/>
              <w:jc w:val="left"/>
              <w:textAlignment w:val="center"/>
              <w:rPr>
                <w:rStyle w:val="11"/>
                <w:rFonts w:ascii="宋体" w:hAnsi="宋体" w:eastAsia="宋体"/>
                <w:i w:val="0"/>
                <w:color w:val="000000"/>
                <w:kern w:val="0"/>
                <w:sz w:val="20"/>
                <w:szCs w:val="20"/>
                <w:lang w:val="en-US" w:eastAsia="zh-CN"/>
              </w:rPr>
            </w:pPr>
          </w:p>
        </w:tc>
      </w:tr>
    </w:tbl>
    <w:p>
      <w:pPr>
        <w:jc w:val="both"/>
        <w:textAlignment w:val="baseline"/>
        <w:rPr>
          <w:rStyle w:val="11"/>
          <w:rFonts w:ascii="仿宋_GB2312" w:hAnsi="仿宋_GB2312" w:eastAsia="仿宋_GB2312"/>
          <w:color w:val="000000"/>
          <w:kern w:val="2"/>
          <w:sz w:val="32"/>
          <w:szCs w:val="32"/>
          <w:lang w:val="en-US" w:eastAsia="zh-CN" w:bidi="ar-SA"/>
        </w:rPr>
      </w:pPr>
    </w:p>
    <w:p>
      <w:pPr>
        <w:jc w:val="both"/>
        <w:textAlignment w:val="baseline"/>
        <w:rPr>
          <w:rStyle w:val="11"/>
          <w:rFonts w:ascii="仿宋_GB2312" w:hAnsi="仿宋_GB2312" w:eastAsia="仿宋_GB2312"/>
          <w:color w:val="000000"/>
          <w:kern w:val="2"/>
          <w:sz w:val="32"/>
          <w:szCs w:val="32"/>
          <w:lang w:val="en-US" w:eastAsia="zh-CN" w:bidi="ar-SA"/>
        </w:rPr>
        <w:sectPr>
          <w:pgSz w:w="16838" w:h="11906"/>
          <w:pgMar w:top="1800" w:right="1440" w:bottom="1580" w:left="1440" w:header="720" w:footer="720" w:gutter="0"/>
          <w:lnNumType w:countBy="0"/>
          <w:cols w:space="720" w:num="1"/>
          <w:vAlign w:val="top"/>
          <w:docGrid w:type="lines" w:linePitch="312" w:charSpace="0"/>
        </w:sectPr>
      </w:pPr>
    </w:p>
    <w:tbl>
      <w:tblPr>
        <w:tblStyle w:val="5"/>
        <w:tblW w:w="1383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0"/>
        <w:gridCol w:w="63"/>
        <w:gridCol w:w="27"/>
        <w:gridCol w:w="2071"/>
        <w:gridCol w:w="1774"/>
        <w:gridCol w:w="1672"/>
        <w:gridCol w:w="1569"/>
        <w:gridCol w:w="335"/>
        <w:gridCol w:w="1467"/>
        <w:gridCol w:w="437"/>
        <w:gridCol w:w="1364"/>
        <w:gridCol w:w="312"/>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3831" w:type="dxa"/>
            <w:gridSpan w:val="13"/>
            <w:tcBorders>
              <w:top w:val="nil"/>
              <w:left w:val="nil"/>
              <w:bottom w:val="nil"/>
              <w:right w:val="nil"/>
            </w:tcBorders>
            <w:noWrap/>
            <w:vAlign w:val="center"/>
          </w:tcPr>
          <w:p>
            <w:pPr>
              <w:widowControl/>
              <w:jc w:val="center"/>
              <w:textAlignment w:val="center"/>
              <w:rPr>
                <w:rStyle w:val="11"/>
                <w:rFonts w:ascii="华文中宋" w:hAnsi="华文中宋" w:eastAsia="华文中宋"/>
                <w:i w:val="0"/>
                <w:color w:val="000000"/>
                <w:kern w:val="2"/>
                <w:sz w:val="32"/>
                <w:szCs w:val="32"/>
                <w:lang w:val="en-US" w:eastAsia="zh-CN" w:bidi="ar-SA"/>
              </w:rPr>
            </w:pPr>
            <w:r>
              <w:rPr>
                <w:rStyle w:val="11"/>
                <w:rFonts w:ascii="华文中宋" w:hAnsi="华文中宋" w:eastAsia="华文中宋"/>
                <w:i w:val="0"/>
                <w:color w:val="000000"/>
                <w:kern w:val="0"/>
                <w:sz w:val="32"/>
                <w:szCs w:val="32"/>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90" w:type="dxa"/>
            <w:gridSpan w:val="2"/>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2071"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774"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72"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569"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802" w:type="dxa"/>
            <w:gridSpan w:val="2"/>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801" w:type="dxa"/>
            <w:gridSpan w:val="2"/>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932" w:type="dxa"/>
            <w:gridSpan w:val="2"/>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055" w:type="dxa"/>
            <w:gridSpan w:val="5"/>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部门：罗山县董寨国家级自然保护区管理局</w:t>
            </w:r>
          </w:p>
        </w:tc>
        <w:tc>
          <w:tcPr>
            <w:tcW w:w="1672"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569" w:type="dxa"/>
            <w:tcBorders>
              <w:top w:val="nil"/>
              <w:left w:val="nil"/>
              <w:bottom w:val="nil"/>
              <w:right w:val="nil"/>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802" w:type="dxa"/>
            <w:gridSpan w:val="2"/>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801" w:type="dxa"/>
            <w:gridSpan w:val="2"/>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932" w:type="dxa"/>
            <w:gridSpan w:val="2"/>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281" w:type="dxa"/>
            <w:gridSpan w:val="4"/>
            <w:tcBorders>
              <w:top w:val="single" w:color="000000" w:sz="8" w:space="0"/>
              <w:left w:val="single" w:color="000000" w:sz="8" w:space="0"/>
              <w:bottom w:val="single" w:color="000000" w:sz="4" w:space="0"/>
              <w:right w:val="nil"/>
            </w:tcBorders>
            <w:shd w:val="clear" w:color="auto" w:fill="FFFFFF"/>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项    目</w:t>
            </w:r>
          </w:p>
        </w:tc>
        <w:tc>
          <w:tcPr>
            <w:tcW w:w="1774"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本年支出合计</w:t>
            </w:r>
          </w:p>
        </w:tc>
        <w:tc>
          <w:tcPr>
            <w:tcW w:w="1672"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上缴上级支出</w:t>
            </w:r>
          </w:p>
        </w:tc>
        <w:tc>
          <w:tcPr>
            <w:tcW w:w="167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经营支出</w:t>
            </w:r>
          </w:p>
        </w:tc>
        <w:tc>
          <w:tcPr>
            <w:tcW w:w="1620" w:type="dxa"/>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vAlign w:val="center"/>
          </w:tcPr>
          <w:p>
            <w:pPr>
              <w:widowControl/>
              <w:jc w:val="center"/>
              <w:textAlignment w:val="center"/>
              <w:rPr>
                <w:rStyle w:val="11"/>
                <w:rFonts w:ascii="宋体" w:hAnsi="宋体" w:eastAsia="宋体"/>
                <w:i w:val="0"/>
                <w:color w:val="000000"/>
                <w:kern w:val="0"/>
                <w:sz w:val="20"/>
                <w:szCs w:val="20"/>
                <w:lang w:val="en-US" w:eastAsia="zh-CN"/>
              </w:rPr>
            </w:pPr>
            <w:r>
              <w:rPr>
                <w:rStyle w:val="11"/>
                <w:rFonts w:ascii="宋体" w:hAnsi="宋体" w:eastAsia="宋体"/>
                <w:i w:val="0"/>
                <w:color w:val="000000"/>
                <w:kern w:val="0"/>
                <w:sz w:val="20"/>
                <w:szCs w:val="20"/>
                <w:lang w:val="en-US" w:eastAsia="zh-CN"/>
              </w:rPr>
              <w:t>功能分类</w:t>
            </w:r>
          </w:p>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科目编码</w:t>
            </w:r>
          </w:p>
        </w:tc>
        <w:tc>
          <w:tcPr>
            <w:tcW w:w="209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科目名称</w:t>
            </w:r>
          </w:p>
        </w:tc>
        <w:tc>
          <w:tcPr>
            <w:tcW w:w="177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7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20" w:type="dxa"/>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20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77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7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20" w:type="dxa"/>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281" w:type="dxa"/>
            <w:gridSpan w:val="4"/>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栏次</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4</w:t>
            </w:r>
          </w:p>
        </w:tc>
        <w:tc>
          <w:tcPr>
            <w:tcW w:w="16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5</w:t>
            </w:r>
          </w:p>
        </w:tc>
        <w:tc>
          <w:tcPr>
            <w:tcW w:w="1620"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281" w:type="dxa"/>
            <w:gridSpan w:val="4"/>
            <w:tcBorders>
              <w:top w:val="nil"/>
              <w:left w:val="single" w:color="000000" w:sz="8"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合计</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2090.86</w:t>
            </w:r>
          </w:p>
        </w:tc>
        <w:tc>
          <w:tcPr>
            <w:tcW w:w="1672"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1213.3</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877.55</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76"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20" w:type="dxa"/>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2080505</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机关事业单位基本养老保险缴费支出</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99.89</w:t>
            </w:r>
          </w:p>
        </w:tc>
        <w:tc>
          <w:tcPr>
            <w:tcW w:w="1672"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99.89</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76"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20" w:type="dxa"/>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2080901</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退役士兵安置</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0.81</w:t>
            </w:r>
          </w:p>
        </w:tc>
        <w:tc>
          <w:tcPr>
            <w:tcW w:w="1672"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0.81</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76"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20" w:type="dxa"/>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2101102</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事业单位医疗</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39.95</w:t>
            </w:r>
          </w:p>
        </w:tc>
        <w:tc>
          <w:tcPr>
            <w:tcW w:w="1672"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39.95</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76"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20" w:type="dxa"/>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2130210</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林业自然保护区</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1890.28</w:t>
            </w:r>
          </w:p>
        </w:tc>
        <w:tc>
          <w:tcPr>
            <w:tcW w:w="1672"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1012.72</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877.55</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76"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20" w:type="dxa"/>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2210201</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住房公积金</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59.93</w:t>
            </w:r>
          </w:p>
        </w:tc>
        <w:tc>
          <w:tcPr>
            <w:tcW w:w="1672"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59.93</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76" w:type="dxa"/>
            <w:gridSpan w:val="2"/>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20" w:type="dxa"/>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p>
        </w:tc>
        <w:tc>
          <w:tcPr>
            <w:tcW w:w="2098" w:type="dxa"/>
            <w:gridSpan w:val="2"/>
            <w:tcBorders>
              <w:top w:val="single" w:color="000000" w:sz="4" w:space="0"/>
              <w:left w:val="single" w:color="000000" w:sz="4" w:space="0"/>
              <w:bottom w:val="single" w:color="000000" w:sz="8"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p>
        </w:tc>
        <w:tc>
          <w:tcPr>
            <w:tcW w:w="1774" w:type="dxa"/>
            <w:tcBorders>
              <w:top w:val="single" w:color="000000" w:sz="4" w:space="0"/>
              <w:left w:val="single" w:color="000000" w:sz="4" w:space="0"/>
              <w:bottom w:val="single" w:color="000000" w:sz="8"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72" w:type="dxa"/>
            <w:tcBorders>
              <w:top w:val="single" w:color="000000" w:sz="4" w:space="0"/>
              <w:left w:val="single" w:color="000000" w:sz="4" w:space="0"/>
              <w:bottom w:val="single" w:color="000000" w:sz="8"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904" w:type="dxa"/>
            <w:gridSpan w:val="2"/>
            <w:tcBorders>
              <w:top w:val="single" w:color="000000" w:sz="4" w:space="0"/>
              <w:left w:val="single" w:color="000000" w:sz="4" w:space="0"/>
              <w:bottom w:val="single" w:color="000000" w:sz="8"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904" w:type="dxa"/>
            <w:gridSpan w:val="2"/>
            <w:tcBorders>
              <w:top w:val="single" w:color="000000" w:sz="4" w:space="0"/>
              <w:left w:val="single" w:color="000000" w:sz="4" w:space="0"/>
              <w:bottom w:val="single" w:color="000000" w:sz="8"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76" w:type="dxa"/>
            <w:gridSpan w:val="2"/>
            <w:tcBorders>
              <w:top w:val="single" w:color="000000" w:sz="4" w:space="0"/>
              <w:left w:val="single" w:color="000000" w:sz="4" w:space="0"/>
              <w:bottom w:val="single" w:color="000000" w:sz="8"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620" w:type="dxa"/>
            <w:tcBorders>
              <w:top w:val="single" w:color="000000" w:sz="4" w:space="0"/>
              <w:left w:val="single" w:color="000000" w:sz="4" w:space="0"/>
              <w:bottom w:val="single" w:color="000000" w:sz="8"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3831" w:type="dxa"/>
            <w:gridSpan w:val="13"/>
            <w:tcBorders>
              <w:top w:val="single" w:color="000000" w:sz="8" w:space="0"/>
              <w:left w:val="nil"/>
              <w:bottom w:val="nil"/>
              <w:right w:val="nil"/>
            </w:tcBorders>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注：本表反映部门本年度各项支出情况。本表金额转换为万元时，因四舍五入可能存在尾差。</w:t>
            </w:r>
          </w:p>
        </w:tc>
      </w:tr>
    </w:tbl>
    <w:p>
      <w:pPr>
        <w:jc w:val="both"/>
        <w:textAlignment w:val="baseline"/>
        <w:rPr>
          <w:rStyle w:val="11"/>
          <w:rFonts w:ascii="仿宋_GB2312" w:hAnsi="仿宋_GB2312" w:eastAsia="仿宋_GB2312"/>
          <w:color w:val="000000"/>
          <w:kern w:val="2"/>
          <w:sz w:val="32"/>
          <w:szCs w:val="32"/>
          <w:lang w:val="en-US" w:eastAsia="zh-CN" w:bidi="ar-SA"/>
        </w:rPr>
        <w:sectPr>
          <w:pgSz w:w="16838" w:h="11906"/>
          <w:pgMar w:top="540" w:right="1440" w:bottom="866" w:left="1440" w:header="720" w:footer="720" w:gutter="0"/>
          <w:lnNumType w:countBy="0"/>
          <w:cols w:space="720" w:num="1"/>
          <w:vAlign w:val="top"/>
          <w:docGrid w:type="lines" w:linePitch="312" w:charSpace="0"/>
        </w:sectPr>
      </w:pPr>
    </w:p>
    <w:tbl>
      <w:tblPr>
        <w:tblStyle w:val="5"/>
        <w:tblW w:w="1398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94"/>
        <w:gridCol w:w="720"/>
        <w:gridCol w:w="1210"/>
        <w:gridCol w:w="3400"/>
        <w:gridCol w:w="597"/>
        <w:gridCol w:w="708"/>
        <w:gridCol w:w="1343"/>
        <w:gridCol w:w="336"/>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noWrap/>
            <w:vAlign w:val="center"/>
          </w:tcPr>
          <w:p>
            <w:pPr>
              <w:widowControl/>
              <w:jc w:val="center"/>
              <w:textAlignment w:val="center"/>
              <w:rPr>
                <w:rStyle w:val="11"/>
                <w:rFonts w:ascii="华文中宋" w:hAnsi="华文中宋" w:eastAsia="华文中宋"/>
                <w:i w:val="0"/>
                <w:color w:val="000000"/>
                <w:kern w:val="2"/>
                <w:sz w:val="32"/>
                <w:szCs w:val="32"/>
                <w:lang w:val="en-US" w:eastAsia="zh-CN" w:bidi="ar-SA"/>
              </w:rPr>
            </w:pPr>
            <w:r>
              <w:rPr>
                <w:rStyle w:val="11"/>
                <w:rFonts w:ascii="华文中宋" w:hAnsi="华文中宋" w:eastAsia="华文中宋"/>
                <w:i w:val="0"/>
                <w:color w:val="000000"/>
                <w:kern w:val="0"/>
                <w:sz w:val="32"/>
                <w:szCs w:val="32"/>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720"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210"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3400"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597"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708"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343"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2016" w:type="dxa"/>
            <w:gridSpan w:val="2"/>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部门：罗山县董寨国家级自然保护区管理局</w:t>
            </w:r>
          </w:p>
        </w:tc>
        <w:tc>
          <w:tcPr>
            <w:tcW w:w="720"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210"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3400"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597"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708"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1343" w:type="dxa"/>
            <w:tcBorders>
              <w:top w:val="nil"/>
              <w:left w:val="nil"/>
              <w:bottom w:val="nil"/>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2016" w:type="dxa"/>
            <w:gridSpan w:val="2"/>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项    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行次</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合计</w:t>
            </w:r>
          </w:p>
        </w:tc>
        <w:tc>
          <w:tcPr>
            <w:tcW w:w="16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一般公共预算财政拨款</w:t>
            </w:r>
          </w:p>
        </w:tc>
        <w:tc>
          <w:tcPr>
            <w:tcW w:w="1680"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栏    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2090.86</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15</w:t>
            </w:r>
          </w:p>
        </w:tc>
        <w:tc>
          <w:tcPr>
            <w:tcW w:w="708" w:type="dxa"/>
            <w:tcBorders>
              <w:top w:val="single" w:color="000000" w:sz="4" w:space="0"/>
              <w:left w:val="single" w:color="000000" w:sz="4" w:space="0"/>
              <w:bottom w:val="single" w:color="000000" w:sz="4" w:space="0"/>
              <w:right w:val="nil"/>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80" w:type="dxa"/>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八、社会保障和就业支出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16</w:t>
            </w:r>
          </w:p>
        </w:tc>
        <w:tc>
          <w:tcPr>
            <w:tcW w:w="708" w:type="dxa"/>
            <w:tcBorders>
              <w:top w:val="single" w:color="000000" w:sz="4" w:space="0"/>
              <w:left w:val="single" w:color="000000" w:sz="4" w:space="0"/>
              <w:bottom w:val="single" w:color="000000" w:sz="4" w:space="0"/>
              <w:right w:val="nil"/>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100.7</w:t>
            </w:r>
          </w:p>
        </w:tc>
        <w:tc>
          <w:tcPr>
            <w:tcW w:w="1680" w:type="dxa"/>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九、医疗卫生与计划生育支出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17</w:t>
            </w:r>
          </w:p>
        </w:tc>
        <w:tc>
          <w:tcPr>
            <w:tcW w:w="708" w:type="dxa"/>
            <w:tcBorders>
              <w:top w:val="single" w:color="000000" w:sz="4" w:space="0"/>
              <w:left w:val="single" w:color="000000" w:sz="4" w:space="0"/>
              <w:bottom w:val="single" w:color="000000" w:sz="4" w:space="0"/>
              <w:right w:val="nil"/>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39.95</w:t>
            </w:r>
          </w:p>
        </w:tc>
        <w:tc>
          <w:tcPr>
            <w:tcW w:w="1680" w:type="dxa"/>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4</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十二、农林水支出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18</w:t>
            </w:r>
          </w:p>
        </w:tc>
        <w:tc>
          <w:tcPr>
            <w:tcW w:w="708" w:type="dxa"/>
            <w:tcBorders>
              <w:top w:val="single" w:color="000000" w:sz="4" w:space="0"/>
              <w:left w:val="single" w:color="000000" w:sz="4" w:space="0"/>
              <w:bottom w:val="single" w:color="000000" w:sz="4" w:space="0"/>
              <w:right w:val="nil"/>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1890.28</w:t>
            </w:r>
          </w:p>
        </w:tc>
        <w:tc>
          <w:tcPr>
            <w:tcW w:w="1680" w:type="dxa"/>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left"/>
              <w:textAlignment w:val="baseline"/>
              <w:rPr>
                <w:rStyle w:val="11"/>
                <w:rFonts w:ascii="宋体" w:hAnsi="宋体" w:eastAsia="宋体"/>
                <w:i w:val="0"/>
                <w:color w:val="000000"/>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5</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十九、住房保障支出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19</w:t>
            </w:r>
          </w:p>
        </w:tc>
        <w:tc>
          <w:tcPr>
            <w:tcW w:w="708" w:type="dxa"/>
            <w:tcBorders>
              <w:top w:val="single" w:color="000000" w:sz="4" w:space="0"/>
              <w:left w:val="single" w:color="000000" w:sz="4" w:space="0"/>
              <w:bottom w:val="single" w:color="000000" w:sz="4" w:space="0"/>
              <w:right w:val="nil"/>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59.93</w:t>
            </w:r>
          </w:p>
        </w:tc>
        <w:tc>
          <w:tcPr>
            <w:tcW w:w="1680" w:type="dxa"/>
            <w:tcBorders>
              <w:top w:val="single" w:color="000000" w:sz="4" w:space="0"/>
              <w:left w:val="single" w:color="000000" w:sz="4" w:space="0"/>
              <w:bottom w:val="single" w:color="000000" w:sz="4" w:space="0"/>
              <w:right w:val="single" w:color="000000" w:sz="8"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Style w:val="11"/>
                <w:rFonts w:ascii="宋体" w:hAnsi="宋体" w:eastAsia="宋体"/>
                <w:b/>
                <w:i w:val="0"/>
                <w:color w:val="000000"/>
                <w:kern w:val="2"/>
                <w:sz w:val="20"/>
                <w:szCs w:val="20"/>
                <w:lang w:val="en-US" w:eastAsia="zh-CN" w:bidi="ar-SA"/>
              </w:rPr>
            </w:pPr>
            <w:r>
              <w:rPr>
                <w:rStyle w:val="11"/>
                <w:rFonts w:ascii="宋体" w:hAnsi="宋体" w:eastAsia="宋体"/>
                <w:b/>
                <w:i w:val="0"/>
                <w:color w:val="000000"/>
                <w:kern w:val="0"/>
                <w:sz w:val="20"/>
                <w:szCs w:val="20"/>
                <w:lang w:val="en-US" w:eastAsia="zh-CN"/>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9</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2090.86</w:t>
            </w:r>
          </w:p>
        </w:tc>
        <w:tc>
          <w:tcPr>
            <w:tcW w:w="3400"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Style w:val="11"/>
                <w:rFonts w:ascii="宋体" w:hAnsi="宋体" w:eastAsia="宋体"/>
                <w:b/>
                <w:i w:val="0"/>
                <w:color w:val="000000"/>
                <w:kern w:val="2"/>
                <w:sz w:val="20"/>
                <w:szCs w:val="20"/>
                <w:lang w:val="en-US" w:eastAsia="zh-CN" w:bidi="ar-SA"/>
              </w:rPr>
            </w:pPr>
            <w:r>
              <w:rPr>
                <w:rStyle w:val="11"/>
                <w:rFonts w:ascii="宋体" w:hAnsi="宋体" w:eastAsia="宋体"/>
                <w:b/>
                <w:i w:val="0"/>
                <w:color w:val="000000"/>
                <w:kern w:val="0"/>
                <w:sz w:val="20"/>
                <w:szCs w:val="20"/>
                <w:lang w:val="en-US" w:eastAsia="zh-CN"/>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23</w:t>
            </w:r>
          </w:p>
        </w:tc>
        <w:tc>
          <w:tcPr>
            <w:tcW w:w="708" w:type="dxa"/>
            <w:tcBorders>
              <w:top w:val="single" w:color="000000" w:sz="4" w:space="0"/>
              <w:left w:val="nil"/>
              <w:bottom w:val="single" w:color="000000" w:sz="4" w:space="0"/>
              <w:right w:val="nil"/>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2090.86</w:t>
            </w:r>
          </w:p>
        </w:tc>
        <w:tc>
          <w:tcPr>
            <w:tcW w:w="1680" w:type="dxa"/>
            <w:tcBorders>
              <w:top w:val="single" w:color="000000" w:sz="4" w:space="0"/>
              <w:left w:val="nil"/>
              <w:bottom w:val="single" w:color="000000" w:sz="4" w:space="0"/>
              <w:right w:val="single" w:color="000000" w:sz="8" w:space="0"/>
            </w:tcBorders>
            <w:noWrap/>
            <w:vAlign w:val="center"/>
          </w:tcPr>
          <w:p>
            <w:pPr>
              <w:jc w:val="both"/>
              <w:textAlignment w:val="baseline"/>
              <w:rPr>
                <w:rStyle w:val="11"/>
                <w:rFonts w:ascii="宋体" w:hAnsi="宋体" w:eastAsia="宋体"/>
                <w:b/>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10</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3400"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24</w:t>
            </w:r>
          </w:p>
        </w:tc>
        <w:tc>
          <w:tcPr>
            <w:tcW w:w="708" w:type="dxa"/>
            <w:tcBorders>
              <w:top w:val="single" w:color="000000" w:sz="4" w:space="0"/>
              <w:left w:val="nil"/>
              <w:bottom w:val="single" w:color="000000" w:sz="4" w:space="0"/>
              <w:right w:val="nil"/>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80" w:type="dxa"/>
            <w:tcBorders>
              <w:top w:val="single" w:color="000000" w:sz="4" w:space="0"/>
              <w:left w:val="nil"/>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11</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3400" w:type="dxa"/>
            <w:tcBorders>
              <w:top w:val="single" w:color="000000" w:sz="4" w:space="0"/>
              <w:left w:val="single" w:color="000000" w:sz="4" w:space="0"/>
              <w:bottom w:val="single" w:color="000000" w:sz="4" w:space="0"/>
              <w:right w:val="nil"/>
            </w:tcBorders>
            <w:noWrap/>
            <w:vAlign w:val="center"/>
          </w:tcPr>
          <w:p>
            <w:pPr>
              <w:jc w:val="left"/>
              <w:textAlignment w:val="baseline"/>
              <w:rPr>
                <w:rStyle w:val="11"/>
                <w:rFonts w:ascii="宋体" w:hAnsi="宋体" w:eastAsia="宋体"/>
                <w:i w:val="0"/>
                <w:color w:val="000000"/>
                <w:kern w:val="2"/>
                <w:sz w:val="20"/>
                <w:szCs w:val="20"/>
                <w:lang w:val="en-US" w:eastAsia="zh-CN" w:bidi="ar-SA"/>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25</w:t>
            </w:r>
          </w:p>
        </w:tc>
        <w:tc>
          <w:tcPr>
            <w:tcW w:w="708" w:type="dxa"/>
            <w:tcBorders>
              <w:top w:val="single" w:color="000000" w:sz="4" w:space="0"/>
              <w:left w:val="nil"/>
              <w:bottom w:val="single" w:color="000000" w:sz="4" w:space="0"/>
              <w:right w:val="nil"/>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80" w:type="dxa"/>
            <w:tcBorders>
              <w:top w:val="single" w:color="000000" w:sz="4" w:space="0"/>
              <w:left w:val="nil"/>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12</w:t>
            </w:r>
          </w:p>
        </w:tc>
        <w:tc>
          <w:tcPr>
            <w:tcW w:w="1210" w:type="dxa"/>
            <w:tcBorders>
              <w:top w:val="single" w:color="000000" w:sz="4" w:space="0"/>
              <w:left w:val="single" w:color="000000" w:sz="4" w:space="0"/>
              <w:bottom w:val="nil"/>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3400" w:type="dxa"/>
            <w:tcBorders>
              <w:top w:val="single" w:color="000000" w:sz="4" w:space="0"/>
              <w:left w:val="single" w:color="000000" w:sz="4" w:space="0"/>
              <w:bottom w:val="nil"/>
              <w:right w:val="nil"/>
            </w:tcBorders>
            <w:noWrap/>
            <w:vAlign w:val="center"/>
          </w:tcPr>
          <w:p>
            <w:pPr>
              <w:jc w:val="left"/>
              <w:textAlignment w:val="baseline"/>
              <w:rPr>
                <w:rStyle w:val="11"/>
                <w:rFonts w:ascii="宋体" w:hAnsi="宋体" w:eastAsia="宋体"/>
                <w:i w:val="0"/>
                <w:color w:val="000000"/>
                <w:kern w:val="2"/>
                <w:sz w:val="20"/>
                <w:szCs w:val="20"/>
                <w:lang w:val="en-US" w:eastAsia="zh-CN" w:bidi="ar-SA"/>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26</w:t>
            </w:r>
          </w:p>
        </w:tc>
        <w:tc>
          <w:tcPr>
            <w:tcW w:w="708" w:type="dxa"/>
            <w:tcBorders>
              <w:top w:val="single" w:color="000000" w:sz="4" w:space="0"/>
              <w:left w:val="nil"/>
              <w:bottom w:val="nil"/>
              <w:right w:val="nil"/>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80" w:type="dxa"/>
            <w:tcBorders>
              <w:top w:val="single" w:color="000000" w:sz="4" w:space="0"/>
              <w:left w:val="nil"/>
              <w:bottom w:val="nil"/>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13</w:t>
            </w:r>
          </w:p>
        </w:tc>
        <w:tc>
          <w:tcPr>
            <w:tcW w:w="1210" w:type="dxa"/>
            <w:tcBorders>
              <w:top w:val="single" w:color="000000" w:sz="4" w:space="0"/>
              <w:left w:val="single" w:color="000000" w:sz="4" w:space="0"/>
              <w:bottom w:val="nil"/>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p>
        </w:tc>
        <w:tc>
          <w:tcPr>
            <w:tcW w:w="3400" w:type="dxa"/>
            <w:tcBorders>
              <w:top w:val="single" w:color="000000" w:sz="4" w:space="0"/>
              <w:left w:val="single" w:color="000000" w:sz="4" w:space="0"/>
              <w:bottom w:val="nil"/>
              <w:right w:val="nil"/>
            </w:tcBorders>
            <w:noWrap/>
            <w:vAlign w:val="center"/>
          </w:tcPr>
          <w:p>
            <w:pPr>
              <w:jc w:val="left"/>
              <w:textAlignment w:val="baseline"/>
              <w:rPr>
                <w:rStyle w:val="11"/>
                <w:rFonts w:ascii="宋体" w:hAnsi="宋体" w:eastAsia="宋体"/>
                <w:i w:val="0"/>
                <w:color w:val="000000"/>
                <w:kern w:val="2"/>
                <w:sz w:val="20"/>
                <w:szCs w:val="20"/>
                <w:lang w:val="en-US" w:eastAsia="zh-CN" w:bidi="ar-SA"/>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27</w:t>
            </w:r>
          </w:p>
        </w:tc>
        <w:tc>
          <w:tcPr>
            <w:tcW w:w="708" w:type="dxa"/>
            <w:tcBorders>
              <w:top w:val="single" w:color="000000" w:sz="4" w:space="0"/>
              <w:left w:val="nil"/>
              <w:bottom w:val="nil"/>
              <w:right w:val="nil"/>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80" w:type="dxa"/>
            <w:tcBorders>
              <w:top w:val="single" w:color="000000" w:sz="4" w:space="0"/>
              <w:left w:val="nil"/>
              <w:bottom w:val="nil"/>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noWrap/>
            <w:vAlign w:val="center"/>
          </w:tcPr>
          <w:p>
            <w:pPr>
              <w:widowControl/>
              <w:jc w:val="center"/>
              <w:textAlignment w:val="center"/>
              <w:rPr>
                <w:rStyle w:val="11"/>
                <w:rFonts w:ascii="宋体" w:hAnsi="宋体" w:eastAsia="宋体"/>
                <w:b/>
                <w:i w:val="0"/>
                <w:color w:val="000000"/>
                <w:kern w:val="2"/>
                <w:sz w:val="20"/>
                <w:szCs w:val="20"/>
                <w:lang w:val="en-US" w:eastAsia="zh-CN" w:bidi="ar-SA"/>
              </w:rPr>
            </w:pPr>
            <w:r>
              <w:rPr>
                <w:rStyle w:val="11"/>
                <w:rFonts w:ascii="宋体" w:hAnsi="宋体" w:eastAsia="宋体"/>
                <w:b/>
                <w:i w:val="0"/>
                <w:color w:val="000000"/>
                <w:kern w:val="0"/>
                <w:sz w:val="20"/>
                <w:szCs w:val="20"/>
                <w:lang w:val="en-US" w:eastAsia="zh-CN"/>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14</w:t>
            </w:r>
          </w:p>
        </w:tc>
        <w:tc>
          <w:tcPr>
            <w:tcW w:w="1210" w:type="dxa"/>
            <w:tcBorders>
              <w:top w:val="single" w:color="000000" w:sz="4" w:space="0"/>
              <w:left w:val="single" w:color="000000" w:sz="4" w:space="0"/>
              <w:bottom w:val="single" w:color="000000" w:sz="8" w:space="0"/>
              <w:right w:val="single" w:color="000000" w:sz="4" w:space="0"/>
            </w:tcBorders>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2090.86</w:t>
            </w:r>
          </w:p>
        </w:tc>
        <w:tc>
          <w:tcPr>
            <w:tcW w:w="3400" w:type="dxa"/>
            <w:tcBorders>
              <w:top w:val="single" w:color="000000" w:sz="4" w:space="0"/>
              <w:left w:val="single" w:color="000000" w:sz="4" w:space="0"/>
              <w:bottom w:val="single" w:color="000000" w:sz="8" w:space="0"/>
              <w:right w:val="nil"/>
            </w:tcBorders>
            <w:shd w:val="clear" w:color="auto" w:fill="FFFFFF"/>
            <w:noWrap/>
            <w:vAlign w:val="center"/>
          </w:tcPr>
          <w:p>
            <w:pPr>
              <w:widowControl/>
              <w:jc w:val="center"/>
              <w:textAlignment w:val="center"/>
              <w:rPr>
                <w:rStyle w:val="11"/>
                <w:rFonts w:ascii="宋体" w:hAnsi="宋体" w:eastAsia="宋体"/>
                <w:b/>
                <w:i w:val="0"/>
                <w:color w:val="000000"/>
                <w:kern w:val="2"/>
                <w:sz w:val="20"/>
                <w:szCs w:val="20"/>
                <w:lang w:val="en-US" w:eastAsia="zh-CN" w:bidi="ar-SA"/>
              </w:rPr>
            </w:pPr>
            <w:r>
              <w:rPr>
                <w:rStyle w:val="11"/>
                <w:rFonts w:ascii="宋体" w:hAnsi="宋体" w:eastAsia="宋体"/>
                <w:b/>
                <w:i w:val="0"/>
                <w:color w:val="000000"/>
                <w:kern w:val="0"/>
                <w:sz w:val="20"/>
                <w:szCs w:val="20"/>
                <w:lang w:val="en-US" w:eastAsia="zh-CN"/>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28</w:t>
            </w:r>
          </w:p>
        </w:tc>
        <w:tc>
          <w:tcPr>
            <w:tcW w:w="708" w:type="dxa"/>
            <w:tcBorders>
              <w:top w:val="single" w:color="000000" w:sz="4" w:space="0"/>
              <w:left w:val="nil"/>
              <w:bottom w:val="nil"/>
              <w:right w:val="nil"/>
            </w:tcBorders>
            <w:shd w:val="clear" w:color="auto" w:fill="FFFFFF"/>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679" w:type="dxa"/>
            <w:gridSpan w:val="2"/>
            <w:tcBorders>
              <w:top w:val="single" w:color="000000" w:sz="4" w:space="0"/>
              <w:left w:val="single" w:color="000000" w:sz="4" w:space="0"/>
              <w:bottom w:val="single" w:color="000000" w:sz="8" w:space="0"/>
              <w:right w:val="single" w:color="000000" w:sz="4" w:space="0"/>
            </w:tcBorders>
            <w:shd w:val="clear" w:color="auto" w:fill="FFFFFF"/>
            <w:noWrap/>
            <w:vAlign w:val="center"/>
          </w:tcPr>
          <w:p>
            <w:pPr>
              <w:jc w:val="right"/>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2090.86</w:t>
            </w:r>
          </w:p>
        </w:tc>
        <w:tc>
          <w:tcPr>
            <w:tcW w:w="1680" w:type="dxa"/>
            <w:tcBorders>
              <w:top w:val="single" w:color="000000" w:sz="4" w:space="0"/>
              <w:left w:val="nil"/>
              <w:bottom w:val="single" w:color="000000" w:sz="8" w:space="0"/>
              <w:right w:val="single" w:color="000000" w:sz="8" w:space="0"/>
            </w:tcBorders>
            <w:noWrap/>
            <w:vAlign w:val="center"/>
          </w:tcPr>
          <w:p>
            <w:pPr>
              <w:jc w:val="both"/>
              <w:textAlignment w:val="baseline"/>
              <w:rPr>
                <w:rStyle w:val="11"/>
                <w:rFonts w:ascii="宋体" w:hAnsi="宋体" w:eastAsia="宋体"/>
                <w:b/>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注：本表反映部门本年度一般公共预算财政拨款和政府性基金预算财政拨款的总收支和年末结转结余情况。本表金额转换为万元时，因四舍五入可能存在尾差。</w:t>
            </w:r>
          </w:p>
        </w:tc>
      </w:tr>
    </w:tbl>
    <w:p>
      <w:pPr>
        <w:jc w:val="both"/>
        <w:textAlignment w:val="baseline"/>
        <w:rPr>
          <w:rStyle w:val="11"/>
          <w:rFonts w:ascii="仿宋_GB2312" w:hAnsi="仿宋_GB2312" w:eastAsia="仿宋_GB2312"/>
          <w:color w:val="000000"/>
          <w:kern w:val="2"/>
          <w:sz w:val="32"/>
          <w:szCs w:val="32"/>
          <w:lang w:val="en-US" w:eastAsia="zh-CN" w:bidi="ar-SA"/>
        </w:rPr>
        <w:sectPr>
          <w:pgSz w:w="16838" w:h="11906"/>
          <w:pgMar w:top="1800" w:right="1440" w:bottom="1800" w:left="1440" w:header="720" w:footer="720" w:gutter="0"/>
          <w:lnNumType w:countBy="0"/>
          <w:cols w:space="720" w:num="1"/>
          <w:vAlign w:val="top"/>
          <w:docGrid w:type="lines" w:linePitch="312" w:charSpace="0"/>
        </w:sect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2"/>
        <w:gridCol w:w="662"/>
        <w:gridCol w:w="2683"/>
        <w:gridCol w:w="3305"/>
        <w:gridCol w:w="3302"/>
        <w:gridCol w:w="3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6"/>
            <w:tcBorders>
              <w:top w:val="nil"/>
              <w:left w:val="nil"/>
              <w:bottom w:val="nil"/>
              <w:right w:val="nil"/>
            </w:tcBorders>
            <w:shd w:val="clear" w:color="auto" w:fill="FFFFFF"/>
            <w:vAlign w:val="center"/>
          </w:tcPr>
          <w:p>
            <w:pPr>
              <w:widowControl/>
              <w:jc w:val="center"/>
              <w:textAlignment w:val="center"/>
              <w:rPr>
                <w:rStyle w:val="11"/>
                <w:rFonts w:ascii="华文中宋" w:hAnsi="华文中宋" w:eastAsia="华文中宋"/>
                <w:i w:val="0"/>
                <w:color w:val="000000"/>
                <w:kern w:val="2"/>
                <w:sz w:val="32"/>
                <w:szCs w:val="32"/>
                <w:lang w:val="en-US" w:eastAsia="zh-CN" w:bidi="ar-SA"/>
              </w:rPr>
            </w:pPr>
            <w:r>
              <w:rPr>
                <w:rStyle w:val="11"/>
                <w:rFonts w:ascii="华文中宋" w:hAnsi="华文中宋" w:eastAsia="华文中宋"/>
                <w:i w:val="0"/>
                <w:color w:val="000000"/>
                <w:kern w:val="0"/>
                <w:sz w:val="32"/>
                <w:szCs w:val="32"/>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248" w:type="pct"/>
            <w:tcBorders>
              <w:top w:val="nil"/>
              <w:left w:val="nil"/>
              <w:bottom w:val="nil"/>
              <w:right w:val="nil"/>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236" w:type="pct"/>
            <w:tcBorders>
              <w:top w:val="nil"/>
              <w:left w:val="nil"/>
              <w:bottom w:val="nil"/>
              <w:right w:val="nil"/>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961" w:type="pct"/>
            <w:tcBorders>
              <w:top w:val="nil"/>
              <w:left w:val="nil"/>
              <w:bottom w:val="nil"/>
              <w:right w:val="nil"/>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183" w:type="pct"/>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83" w:type="pct"/>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85" w:type="pct"/>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公开0</w:t>
            </w:r>
            <w:r>
              <w:rPr>
                <w:rStyle w:val="17"/>
                <w:rFonts w:ascii="宋体" w:hAnsi="宋体" w:eastAsia="宋体"/>
                <w:i w:val="0"/>
                <w:color w:val="000000"/>
                <w:kern w:val="2"/>
                <w:sz w:val="20"/>
                <w:szCs w:val="20"/>
                <w:lang w:val="en-US" w:eastAsia="zh-CN"/>
              </w:rPr>
              <w:t>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630" w:type="pct"/>
            <w:gridSpan w:val="4"/>
            <w:tcBorders>
              <w:top w:val="nil"/>
              <w:left w:val="nil"/>
              <w:bottom w:val="nil"/>
              <w:right w:val="nil"/>
            </w:tcBorders>
            <w:shd w:val="clear" w:color="auto" w:fill="FFFFFF"/>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部门：罗山县董寨国家级自然保护区管理局</w:t>
            </w:r>
          </w:p>
        </w:tc>
        <w:tc>
          <w:tcPr>
            <w:tcW w:w="1183" w:type="pct"/>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85" w:type="pct"/>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446" w:type="pct"/>
            <w:gridSpan w:val="3"/>
            <w:tcBorders>
              <w:top w:val="single" w:color="000000" w:sz="8" w:space="0"/>
              <w:left w:val="single" w:color="000000" w:sz="8"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18"/>
                <w:szCs w:val="18"/>
                <w:lang w:val="en-US" w:eastAsia="zh-CN" w:bidi="ar-SA"/>
              </w:rPr>
            </w:pPr>
            <w:r>
              <w:rPr>
                <w:rStyle w:val="11"/>
                <w:rFonts w:ascii="宋体" w:hAnsi="宋体" w:eastAsia="宋体"/>
                <w:i w:val="0"/>
                <w:color w:val="000000"/>
                <w:kern w:val="0"/>
                <w:sz w:val="18"/>
                <w:szCs w:val="18"/>
                <w:lang w:val="en-US" w:eastAsia="zh-CN"/>
              </w:rPr>
              <w:t xml:space="preserve">项 </w:t>
            </w:r>
            <w:r>
              <w:rPr>
                <w:rStyle w:val="18"/>
                <w:rFonts w:ascii="宋体" w:hAnsi="宋体" w:eastAsia="宋体"/>
                <w:i w:val="0"/>
                <w:color w:val="000000"/>
                <w:kern w:val="2"/>
                <w:sz w:val="18"/>
                <w:szCs w:val="18"/>
                <w:lang w:val="en-US" w:eastAsia="zh-CN"/>
              </w:rPr>
              <w:t xml:space="preserve">   </w:t>
            </w:r>
            <w:r>
              <w:rPr>
                <w:rStyle w:val="22"/>
                <w:rFonts w:ascii="宋体" w:hAnsi="宋体" w:eastAsia="宋体"/>
                <w:i w:val="0"/>
                <w:color w:val="000000"/>
                <w:kern w:val="2"/>
                <w:sz w:val="18"/>
                <w:szCs w:val="18"/>
                <w:lang w:val="en-US" w:eastAsia="zh-CN"/>
              </w:rPr>
              <w:t>目</w:t>
            </w:r>
          </w:p>
        </w:tc>
        <w:tc>
          <w:tcPr>
            <w:tcW w:w="3553" w:type="pct"/>
            <w:gridSpan w:val="3"/>
            <w:tcBorders>
              <w:top w:val="single" w:color="000000" w:sz="8" w:space="0"/>
              <w:left w:val="single" w:color="000000" w:sz="4" w:space="0"/>
              <w:bottom w:val="single" w:color="000000" w:sz="4" w:space="0"/>
              <w:right w:val="single" w:color="000000" w:sz="8" w:space="0"/>
            </w:tcBorders>
            <w:vAlign w:val="center"/>
          </w:tcPr>
          <w:p>
            <w:pPr>
              <w:widowControl/>
              <w:jc w:val="center"/>
              <w:textAlignment w:val="center"/>
              <w:rPr>
                <w:rStyle w:val="11"/>
                <w:rFonts w:ascii="宋体" w:hAnsi="宋体" w:eastAsia="宋体"/>
                <w:i w:val="0"/>
                <w:color w:val="000000"/>
                <w:kern w:val="2"/>
                <w:sz w:val="18"/>
                <w:szCs w:val="18"/>
                <w:lang w:val="en-US" w:eastAsia="zh-CN" w:bidi="ar-SA"/>
              </w:rPr>
            </w:pPr>
            <w:r>
              <w:rPr>
                <w:rStyle w:val="11"/>
                <w:rFonts w:ascii="宋体" w:hAnsi="宋体" w:eastAsia="宋体"/>
                <w:i w:val="0"/>
                <w:color w:val="000000"/>
                <w:kern w:val="0"/>
                <w:sz w:val="18"/>
                <w:szCs w:val="18"/>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85" w:type="pct"/>
            <w:gridSpan w:val="2"/>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0"/>
                <w:sz w:val="18"/>
                <w:szCs w:val="18"/>
                <w:lang w:val="en-US" w:eastAsia="zh-CN"/>
              </w:rPr>
            </w:pPr>
            <w:r>
              <w:rPr>
                <w:rStyle w:val="11"/>
                <w:rFonts w:ascii="宋体" w:hAnsi="宋体" w:eastAsia="宋体"/>
                <w:i w:val="0"/>
                <w:color w:val="000000"/>
                <w:kern w:val="0"/>
                <w:sz w:val="18"/>
                <w:szCs w:val="18"/>
                <w:lang w:val="en-US" w:eastAsia="zh-CN"/>
              </w:rPr>
              <w:t>功能分类</w:t>
            </w:r>
          </w:p>
          <w:p>
            <w:pPr>
              <w:widowControl/>
              <w:jc w:val="center"/>
              <w:textAlignment w:val="center"/>
              <w:rPr>
                <w:rStyle w:val="11"/>
                <w:rFonts w:ascii="宋体" w:hAnsi="宋体" w:eastAsia="宋体"/>
                <w:i w:val="0"/>
                <w:color w:val="000000"/>
                <w:kern w:val="2"/>
                <w:sz w:val="18"/>
                <w:szCs w:val="18"/>
                <w:lang w:val="en-US" w:eastAsia="zh-CN" w:bidi="ar-SA"/>
              </w:rPr>
            </w:pPr>
            <w:r>
              <w:rPr>
                <w:rStyle w:val="11"/>
                <w:rFonts w:ascii="宋体" w:hAnsi="宋体" w:eastAsia="宋体"/>
                <w:i w:val="0"/>
                <w:color w:val="000000"/>
                <w:kern w:val="0"/>
                <w:sz w:val="18"/>
                <w:szCs w:val="18"/>
                <w:lang w:val="en-US" w:eastAsia="zh-CN"/>
              </w:rPr>
              <w:t>科目编码</w:t>
            </w:r>
          </w:p>
        </w:tc>
        <w:tc>
          <w:tcPr>
            <w:tcW w:w="96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18"/>
                <w:szCs w:val="18"/>
                <w:lang w:val="en-US" w:eastAsia="zh-CN" w:bidi="ar-SA"/>
              </w:rPr>
            </w:pPr>
            <w:r>
              <w:rPr>
                <w:rStyle w:val="11"/>
                <w:rFonts w:ascii="宋体" w:hAnsi="宋体" w:eastAsia="宋体"/>
                <w:i w:val="0"/>
                <w:color w:val="000000"/>
                <w:kern w:val="0"/>
                <w:sz w:val="18"/>
                <w:szCs w:val="18"/>
                <w:lang w:val="en-US" w:eastAsia="zh-CN"/>
              </w:rPr>
              <w:t>科目名称</w:t>
            </w:r>
          </w:p>
        </w:tc>
        <w:tc>
          <w:tcPr>
            <w:tcW w:w="1183" w:type="pct"/>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18"/>
                <w:szCs w:val="18"/>
                <w:lang w:val="en-US" w:eastAsia="zh-CN" w:bidi="ar-SA"/>
              </w:rPr>
            </w:pPr>
            <w:r>
              <w:rPr>
                <w:rStyle w:val="11"/>
                <w:rFonts w:ascii="宋体" w:hAnsi="宋体" w:eastAsia="宋体"/>
                <w:i w:val="0"/>
                <w:color w:val="000000"/>
                <w:kern w:val="0"/>
                <w:sz w:val="18"/>
                <w:szCs w:val="18"/>
                <w:lang w:val="en-US" w:eastAsia="zh-CN"/>
              </w:rPr>
              <w:t>小计</w:t>
            </w:r>
          </w:p>
        </w:tc>
        <w:tc>
          <w:tcPr>
            <w:tcW w:w="1183" w:type="pct"/>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18"/>
                <w:szCs w:val="18"/>
                <w:lang w:val="en-US" w:eastAsia="zh-CN" w:bidi="ar-SA"/>
              </w:rPr>
            </w:pPr>
            <w:r>
              <w:rPr>
                <w:rStyle w:val="11"/>
                <w:rFonts w:ascii="宋体" w:hAnsi="宋体" w:eastAsia="宋体"/>
                <w:i w:val="0"/>
                <w:color w:val="000000"/>
                <w:kern w:val="0"/>
                <w:sz w:val="18"/>
                <w:szCs w:val="18"/>
                <w:lang w:val="en-US" w:eastAsia="zh-CN"/>
              </w:rPr>
              <w:t>基本支出</w:t>
            </w:r>
          </w:p>
        </w:tc>
        <w:tc>
          <w:tcPr>
            <w:tcW w:w="1185" w:type="pct"/>
            <w:vMerge w:val="restart"/>
            <w:tcBorders>
              <w:top w:val="nil"/>
              <w:left w:val="single" w:color="000000" w:sz="4" w:space="0"/>
              <w:bottom w:val="single" w:color="000000" w:sz="4" w:space="0"/>
              <w:right w:val="single" w:color="000000" w:sz="8" w:space="0"/>
            </w:tcBorders>
            <w:vAlign w:val="center"/>
          </w:tcPr>
          <w:p>
            <w:pPr>
              <w:widowControl/>
              <w:jc w:val="center"/>
              <w:textAlignment w:val="center"/>
              <w:rPr>
                <w:rStyle w:val="11"/>
                <w:rFonts w:ascii="宋体" w:hAnsi="宋体" w:eastAsia="宋体"/>
                <w:i w:val="0"/>
                <w:color w:val="000000"/>
                <w:kern w:val="2"/>
                <w:sz w:val="18"/>
                <w:szCs w:val="18"/>
                <w:lang w:val="en-US" w:eastAsia="zh-CN" w:bidi="ar-SA"/>
              </w:rPr>
            </w:pPr>
            <w:r>
              <w:rPr>
                <w:rStyle w:val="11"/>
                <w:rFonts w:ascii="宋体" w:hAnsi="宋体" w:eastAsia="宋体"/>
                <w:i w:val="0"/>
                <w:color w:val="000000"/>
                <w:kern w:val="0"/>
                <w:sz w:val="18"/>
                <w:szCs w:val="18"/>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85" w:type="pct"/>
            <w:gridSpan w:val="2"/>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18"/>
                <w:szCs w:val="18"/>
                <w:lang w:val="en-US" w:eastAsia="zh-CN" w:bidi="ar-SA"/>
              </w:rPr>
            </w:pPr>
          </w:p>
        </w:tc>
        <w:tc>
          <w:tcPr>
            <w:tcW w:w="961" w:type="pct"/>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18"/>
                <w:szCs w:val="18"/>
                <w:lang w:val="en-US" w:eastAsia="zh-CN" w:bidi="ar-SA"/>
              </w:rPr>
            </w:pPr>
          </w:p>
        </w:tc>
        <w:tc>
          <w:tcPr>
            <w:tcW w:w="1183" w:type="pct"/>
            <w:vMerge w:val="continue"/>
            <w:tcBorders>
              <w:top w:val="nil"/>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18"/>
                <w:szCs w:val="18"/>
                <w:lang w:val="en-US" w:eastAsia="zh-CN" w:bidi="ar-SA"/>
              </w:rPr>
            </w:pPr>
          </w:p>
        </w:tc>
        <w:tc>
          <w:tcPr>
            <w:tcW w:w="1183" w:type="pct"/>
            <w:vMerge w:val="continue"/>
            <w:tcBorders>
              <w:top w:val="nil"/>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18"/>
                <w:szCs w:val="18"/>
                <w:lang w:val="en-US" w:eastAsia="zh-CN" w:bidi="ar-SA"/>
              </w:rPr>
            </w:pPr>
          </w:p>
        </w:tc>
        <w:tc>
          <w:tcPr>
            <w:tcW w:w="1185" w:type="pct"/>
            <w:vMerge w:val="continue"/>
            <w:tcBorders>
              <w:top w:val="nil"/>
              <w:left w:val="single" w:color="000000" w:sz="4" w:space="0"/>
              <w:bottom w:val="single" w:color="000000" w:sz="4" w:space="0"/>
              <w:right w:val="single" w:color="000000" w:sz="8" w:space="0"/>
            </w:tcBorders>
            <w:vAlign w:val="center"/>
          </w:tcPr>
          <w:p>
            <w:pPr>
              <w:jc w:val="center"/>
              <w:textAlignment w:val="baseline"/>
              <w:rPr>
                <w:rStyle w:val="11"/>
                <w:rFonts w:ascii="宋体" w:hAnsi="宋体" w:eastAsia="宋体"/>
                <w:i w:val="0"/>
                <w:color w:val="000000"/>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85" w:type="pct"/>
            <w:gridSpan w:val="2"/>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18"/>
                <w:szCs w:val="18"/>
                <w:lang w:val="en-US" w:eastAsia="zh-CN" w:bidi="ar-SA"/>
              </w:rPr>
            </w:pPr>
          </w:p>
        </w:tc>
        <w:tc>
          <w:tcPr>
            <w:tcW w:w="961" w:type="pct"/>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18"/>
                <w:szCs w:val="18"/>
                <w:lang w:val="en-US" w:eastAsia="zh-CN" w:bidi="ar-SA"/>
              </w:rPr>
            </w:pPr>
          </w:p>
        </w:tc>
        <w:tc>
          <w:tcPr>
            <w:tcW w:w="1183" w:type="pct"/>
            <w:vMerge w:val="continue"/>
            <w:tcBorders>
              <w:top w:val="nil"/>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18"/>
                <w:szCs w:val="18"/>
                <w:lang w:val="en-US" w:eastAsia="zh-CN" w:bidi="ar-SA"/>
              </w:rPr>
            </w:pPr>
          </w:p>
        </w:tc>
        <w:tc>
          <w:tcPr>
            <w:tcW w:w="1183" w:type="pct"/>
            <w:vMerge w:val="continue"/>
            <w:tcBorders>
              <w:top w:val="nil"/>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18"/>
                <w:szCs w:val="18"/>
                <w:lang w:val="en-US" w:eastAsia="zh-CN" w:bidi="ar-SA"/>
              </w:rPr>
            </w:pPr>
          </w:p>
        </w:tc>
        <w:tc>
          <w:tcPr>
            <w:tcW w:w="1185" w:type="pct"/>
            <w:vMerge w:val="continue"/>
            <w:tcBorders>
              <w:top w:val="nil"/>
              <w:left w:val="single" w:color="000000" w:sz="4" w:space="0"/>
              <w:bottom w:val="single" w:color="000000" w:sz="4" w:space="0"/>
              <w:right w:val="single" w:color="000000" w:sz="8" w:space="0"/>
            </w:tcBorders>
            <w:vAlign w:val="center"/>
          </w:tcPr>
          <w:p>
            <w:pPr>
              <w:jc w:val="center"/>
              <w:textAlignment w:val="baseline"/>
              <w:rPr>
                <w:rStyle w:val="11"/>
                <w:rFonts w:ascii="宋体" w:hAnsi="宋体" w:eastAsia="宋体"/>
                <w:i w:val="0"/>
                <w:color w:val="000000"/>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46" w:type="pct"/>
            <w:gridSpan w:val="3"/>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18"/>
                <w:szCs w:val="18"/>
                <w:lang w:val="en-US" w:eastAsia="zh-CN" w:bidi="ar-SA"/>
              </w:rPr>
            </w:pPr>
            <w:r>
              <w:rPr>
                <w:rStyle w:val="11"/>
                <w:rFonts w:ascii="宋体" w:hAnsi="宋体" w:eastAsia="宋体"/>
                <w:i w:val="0"/>
                <w:color w:val="000000"/>
                <w:kern w:val="0"/>
                <w:sz w:val="18"/>
                <w:szCs w:val="18"/>
                <w:lang w:val="en-US" w:eastAsia="zh-CN"/>
              </w:rPr>
              <w:t>栏次</w:t>
            </w:r>
          </w:p>
        </w:tc>
        <w:tc>
          <w:tcPr>
            <w:tcW w:w="11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18"/>
                <w:szCs w:val="18"/>
                <w:lang w:val="en-US" w:eastAsia="zh-CN" w:bidi="ar-SA"/>
              </w:rPr>
            </w:pPr>
            <w:r>
              <w:rPr>
                <w:rStyle w:val="11"/>
                <w:rFonts w:ascii="宋体" w:hAnsi="宋体" w:eastAsia="宋体"/>
                <w:i w:val="0"/>
                <w:color w:val="000000"/>
                <w:kern w:val="0"/>
                <w:sz w:val="18"/>
                <w:szCs w:val="18"/>
                <w:lang w:val="en-US" w:eastAsia="zh-CN"/>
              </w:rPr>
              <w:t>1</w:t>
            </w:r>
          </w:p>
        </w:tc>
        <w:tc>
          <w:tcPr>
            <w:tcW w:w="11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18"/>
                <w:szCs w:val="18"/>
                <w:lang w:val="en-US" w:eastAsia="zh-CN" w:bidi="ar-SA"/>
              </w:rPr>
            </w:pPr>
            <w:r>
              <w:rPr>
                <w:rStyle w:val="11"/>
                <w:rFonts w:ascii="宋体" w:hAnsi="宋体" w:eastAsia="宋体"/>
                <w:i w:val="0"/>
                <w:color w:val="000000"/>
                <w:kern w:val="0"/>
                <w:sz w:val="18"/>
                <w:szCs w:val="18"/>
                <w:lang w:val="en-US" w:eastAsia="zh-CN"/>
              </w:rPr>
              <w:t>2</w:t>
            </w:r>
          </w:p>
        </w:tc>
        <w:tc>
          <w:tcPr>
            <w:tcW w:w="1185" w:type="pct"/>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Style w:val="11"/>
                <w:rFonts w:ascii="宋体" w:hAnsi="宋体" w:eastAsia="宋体"/>
                <w:i w:val="0"/>
                <w:color w:val="000000"/>
                <w:kern w:val="2"/>
                <w:sz w:val="18"/>
                <w:szCs w:val="18"/>
                <w:lang w:val="en-US" w:eastAsia="zh-CN" w:bidi="ar-SA"/>
              </w:rPr>
            </w:pPr>
            <w:r>
              <w:rPr>
                <w:rStyle w:val="11"/>
                <w:rFonts w:ascii="宋体" w:hAnsi="宋体" w:eastAsia="宋体"/>
                <w:i w:val="0"/>
                <w:color w:val="000000"/>
                <w:kern w:val="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46" w:type="pct"/>
            <w:gridSpan w:val="3"/>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18"/>
                <w:szCs w:val="18"/>
                <w:lang w:val="en-US" w:eastAsia="zh-CN" w:bidi="ar-SA"/>
              </w:rPr>
            </w:pPr>
            <w:r>
              <w:rPr>
                <w:rStyle w:val="11"/>
                <w:rFonts w:ascii="宋体" w:hAnsi="宋体" w:eastAsia="宋体"/>
                <w:i w:val="0"/>
                <w:color w:val="000000"/>
                <w:kern w:val="0"/>
                <w:sz w:val="18"/>
                <w:szCs w:val="18"/>
                <w:lang w:val="en-US" w:eastAsia="zh-CN"/>
              </w:rPr>
              <w:t>合计</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18"/>
                <w:szCs w:val="18"/>
                <w:lang w:val="en-US" w:eastAsia="zh-CN" w:bidi="ar-SA"/>
              </w:rPr>
            </w:pPr>
            <w:r>
              <w:rPr>
                <w:rStyle w:val="11"/>
                <w:rFonts w:ascii="宋体" w:hAnsi="宋体" w:eastAsia="宋体"/>
                <w:i w:val="0"/>
                <w:color w:val="000000"/>
                <w:kern w:val="2"/>
                <w:sz w:val="18"/>
                <w:szCs w:val="18"/>
                <w:lang w:val="en-US" w:eastAsia="zh-CN" w:bidi="ar-SA"/>
              </w:rPr>
              <w:t>2090.86</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18"/>
                <w:szCs w:val="18"/>
                <w:lang w:val="en-US" w:eastAsia="zh-CN" w:bidi="ar-SA"/>
              </w:rPr>
            </w:pPr>
            <w:r>
              <w:rPr>
                <w:rStyle w:val="11"/>
                <w:rFonts w:ascii="宋体" w:hAnsi="宋体" w:eastAsia="宋体"/>
                <w:i w:val="0"/>
                <w:color w:val="000000"/>
                <w:kern w:val="2"/>
                <w:sz w:val="18"/>
                <w:szCs w:val="18"/>
                <w:lang w:val="en-US" w:eastAsia="zh-CN" w:bidi="ar-SA"/>
              </w:rPr>
              <w:t>1213.31</w:t>
            </w:r>
          </w:p>
        </w:tc>
        <w:tc>
          <w:tcPr>
            <w:tcW w:w="1185" w:type="pct"/>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1"/>
                <w:rFonts w:ascii="宋体" w:hAnsi="宋体" w:eastAsia="宋体"/>
                <w:i w:val="0"/>
                <w:color w:val="000000"/>
                <w:kern w:val="2"/>
                <w:sz w:val="18"/>
                <w:szCs w:val="18"/>
                <w:lang w:val="en-US" w:eastAsia="zh-CN" w:bidi="ar-SA"/>
              </w:rPr>
            </w:pPr>
            <w:r>
              <w:rPr>
                <w:rStyle w:val="11"/>
                <w:rFonts w:ascii="宋体" w:hAnsi="宋体" w:eastAsia="宋体"/>
                <w:i w:val="0"/>
                <w:color w:val="000000"/>
                <w:kern w:val="2"/>
                <w:sz w:val="18"/>
                <w:szCs w:val="18"/>
                <w:lang w:val="en-US" w:eastAsia="zh-CN" w:bidi="ar-SA"/>
              </w:rPr>
              <w:t>877.55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85" w:type="pct"/>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ascii="宋体" w:hAnsi="宋体" w:eastAsia="宋体"/>
                <w:b/>
                <w:bCs/>
                <w:i w:val="0"/>
                <w:color w:val="000000"/>
                <w:kern w:val="2"/>
                <w:sz w:val="18"/>
                <w:szCs w:val="18"/>
                <w:lang w:val="en-US" w:eastAsia="zh-CN" w:bidi="ar-SA"/>
              </w:rPr>
            </w:pPr>
            <w:r>
              <w:rPr>
                <w:rStyle w:val="11"/>
                <w:rFonts w:ascii="宋体" w:hAnsi="宋体" w:eastAsia="宋体"/>
                <w:b/>
                <w:bCs/>
                <w:i w:val="0"/>
                <w:color w:val="000000"/>
                <w:kern w:val="2"/>
                <w:sz w:val="18"/>
                <w:szCs w:val="18"/>
                <w:lang w:val="en-US" w:eastAsia="zh-CN" w:bidi="ar-SA"/>
              </w:rPr>
              <w:t>208</w:t>
            </w:r>
          </w:p>
        </w:tc>
        <w:tc>
          <w:tcPr>
            <w:tcW w:w="961"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b/>
                <w:bCs/>
                <w:i w:val="0"/>
                <w:color w:val="000000"/>
                <w:kern w:val="2"/>
                <w:sz w:val="18"/>
                <w:szCs w:val="18"/>
                <w:lang w:val="en-US" w:eastAsia="zh-CN" w:bidi="ar-SA"/>
              </w:rPr>
            </w:pPr>
            <w:r>
              <w:rPr>
                <w:rStyle w:val="11"/>
                <w:rFonts w:ascii="宋体" w:hAnsi="宋体" w:eastAsia="宋体"/>
                <w:b/>
                <w:bCs/>
                <w:i w:val="0"/>
                <w:color w:val="000000"/>
                <w:kern w:val="2"/>
                <w:sz w:val="18"/>
                <w:szCs w:val="18"/>
                <w:lang w:val="en-US" w:eastAsia="zh-CN" w:bidi="ar-SA"/>
              </w:rPr>
              <w:t>社会保障和就业支出</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b/>
                <w:bCs/>
                <w:i w:val="0"/>
                <w:color w:val="000000"/>
                <w:kern w:val="2"/>
                <w:sz w:val="18"/>
                <w:szCs w:val="18"/>
                <w:lang w:val="en-US" w:eastAsia="zh-CN" w:bidi="ar-SA"/>
              </w:rPr>
            </w:pPr>
            <w:r>
              <w:rPr>
                <w:rStyle w:val="11"/>
                <w:rFonts w:ascii="宋体" w:hAnsi="宋体" w:eastAsia="宋体"/>
                <w:b/>
                <w:bCs/>
                <w:i w:val="0"/>
                <w:color w:val="000000"/>
                <w:kern w:val="2"/>
                <w:sz w:val="18"/>
                <w:szCs w:val="18"/>
                <w:lang w:val="en-US" w:eastAsia="zh-CN" w:bidi="ar-SA"/>
              </w:rPr>
              <w:t>100.7</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b/>
                <w:bCs/>
                <w:i w:val="0"/>
                <w:color w:val="000000"/>
                <w:kern w:val="2"/>
                <w:sz w:val="18"/>
                <w:szCs w:val="18"/>
                <w:lang w:val="en-US" w:eastAsia="zh-CN" w:bidi="ar-SA"/>
              </w:rPr>
            </w:pPr>
            <w:r>
              <w:rPr>
                <w:rStyle w:val="11"/>
                <w:rFonts w:ascii="宋体" w:hAnsi="宋体" w:eastAsia="宋体"/>
                <w:b/>
                <w:bCs/>
                <w:i w:val="0"/>
                <w:color w:val="000000"/>
                <w:kern w:val="2"/>
                <w:sz w:val="18"/>
                <w:szCs w:val="18"/>
                <w:lang w:val="en-US" w:eastAsia="zh-CN" w:bidi="ar-SA"/>
              </w:rPr>
              <w:t>100.7</w:t>
            </w:r>
          </w:p>
        </w:tc>
        <w:tc>
          <w:tcPr>
            <w:tcW w:w="1185" w:type="pct"/>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ascii="宋体" w:hAnsi="宋体" w:eastAsia="宋体"/>
                <w:b/>
                <w:bCs/>
                <w:i w:val="0"/>
                <w:color w:val="000000"/>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85" w:type="pct"/>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hint="default" w:ascii="宋体" w:hAnsi="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20805</w:t>
            </w:r>
          </w:p>
        </w:tc>
        <w:tc>
          <w:tcPr>
            <w:tcW w:w="961"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行政事业单位离退休</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99.89</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99.89</w:t>
            </w:r>
          </w:p>
        </w:tc>
        <w:tc>
          <w:tcPr>
            <w:tcW w:w="1185" w:type="pct"/>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ascii="宋体" w:hAnsi="宋体" w:eastAsia="宋体"/>
                <w:i w:val="0"/>
                <w:color w:val="000000"/>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85" w:type="pct"/>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2080505</w:t>
            </w:r>
          </w:p>
        </w:tc>
        <w:tc>
          <w:tcPr>
            <w:tcW w:w="961"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18"/>
                <w:szCs w:val="18"/>
                <w:lang w:val="en-US" w:eastAsia="zh-CN" w:bidi="ar-SA"/>
              </w:rPr>
            </w:pPr>
            <w:r>
              <w:rPr>
                <w:rStyle w:val="11"/>
                <w:rFonts w:ascii="宋体" w:hAnsi="宋体" w:eastAsia="宋体"/>
                <w:i w:val="0"/>
                <w:color w:val="000000"/>
                <w:kern w:val="2"/>
                <w:sz w:val="18"/>
                <w:szCs w:val="18"/>
                <w:lang w:val="en-US" w:eastAsia="zh-CN" w:bidi="ar-SA"/>
              </w:rPr>
              <w:t>机关事业单位基本养老保险缴费支出</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99.89</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99.89</w:t>
            </w:r>
          </w:p>
        </w:tc>
        <w:tc>
          <w:tcPr>
            <w:tcW w:w="1185" w:type="pct"/>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ascii="宋体" w:hAnsi="宋体" w:eastAsia="宋体"/>
                <w:i w:val="0"/>
                <w:color w:val="000000"/>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85" w:type="pct"/>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hint="default" w:ascii="宋体" w:hAnsi="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20809</w:t>
            </w:r>
          </w:p>
        </w:tc>
        <w:tc>
          <w:tcPr>
            <w:tcW w:w="961"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退役安置</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0.81</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0.81</w:t>
            </w:r>
          </w:p>
        </w:tc>
        <w:tc>
          <w:tcPr>
            <w:tcW w:w="1185" w:type="pct"/>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ascii="宋体" w:hAnsi="宋体" w:eastAsia="宋体"/>
                <w:i w:val="0"/>
                <w:color w:val="000000"/>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85" w:type="pct"/>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2080901</w:t>
            </w:r>
          </w:p>
        </w:tc>
        <w:tc>
          <w:tcPr>
            <w:tcW w:w="961"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18"/>
                <w:szCs w:val="18"/>
                <w:lang w:val="en-US" w:eastAsia="zh-CN" w:bidi="ar-SA"/>
              </w:rPr>
            </w:pPr>
            <w:r>
              <w:rPr>
                <w:rStyle w:val="11"/>
                <w:rFonts w:ascii="宋体" w:hAnsi="宋体" w:eastAsia="宋体"/>
                <w:i w:val="0"/>
                <w:color w:val="000000"/>
                <w:kern w:val="2"/>
                <w:sz w:val="18"/>
                <w:szCs w:val="18"/>
                <w:lang w:val="en-US" w:eastAsia="zh-CN" w:bidi="ar-SA"/>
              </w:rPr>
              <w:t>退役士兵安置</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0.81</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0.81</w:t>
            </w:r>
          </w:p>
        </w:tc>
        <w:tc>
          <w:tcPr>
            <w:tcW w:w="1185" w:type="pct"/>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ascii="宋体" w:hAnsi="宋体" w:eastAsia="宋体"/>
                <w:i w:val="0"/>
                <w:color w:val="000000"/>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85" w:type="pct"/>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ascii="宋体" w:hAnsi="宋体" w:eastAsia="宋体"/>
                <w:b/>
                <w:bCs/>
                <w:i w:val="0"/>
                <w:color w:val="000000"/>
                <w:kern w:val="2"/>
                <w:sz w:val="18"/>
                <w:szCs w:val="18"/>
                <w:lang w:val="en-US" w:eastAsia="zh-CN" w:bidi="ar-SA"/>
              </w:rPr>
            </w:pPr>
            <w:r>
              <w:rPr>
                <w:rStyle w:val="11"/>
                <w:rFonts w:ascii="宋体" w:hAnsi="宋体" w:eastAsia="宋体"/>
                <w:b/>
                <w:bCs/>
                <w:i w:val="0"/>
                <w:color w:val="000000"/>
                <w:kern w:val="2"/>
                <w:sz w:val="18"/>
                <w:szCs w:val="18"/>
                <w:lang w:val="en-US" w:eastAsia="zh-CN" w:bidi="ar-SA"/>
              </w:rPr>
              <w:t>210</w:t>
            </w:r>
          </w:p>
        </w:tc>
        <w:tc>
          <w:tcPr>
            <w:tcW w:w="961"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b/>
                <w:bCs/>
                <w:i w:val="0"/>
                <w:color w:val="000000"/>
                <w:kern w:val="2"/>
                <w:sz w:val="18"/>
                <w:szCs w:val="18"/>
                <w:lang w:val="en-US" w:eastAsia="zh-CN" w:bidi="ar-SA"/>
              </w:rPr>
            </w:pPr>
            <w:r>
              <w:rPr>
                <w:rStyle w:val="11"/>
                <w:rFonts w:ascii="宋体" w:hAnsi="宋体" w:eastAsia="宋体"/>
                <w:b/>
                <w:bCs/>
                <w:i w:val="0"/>
                <w:color w:val="000000"/>
                <w:kern w:val="2"/>
                <w:sz w:val="18"/>
                <w:szCs w:val="18"/>
                <w:lang w:val="en-US" w:eastAsia="zh-CN" w:bidi="ar-SA"/>
              </w:rPr>
              <w:t>医疗卫生与计划生育支出</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b/>
                <w:bCs/>
                <w:i w:val="0"/>
                <w:color w:val="000000"/>
                <w:kern w:val="2"/>
                <w:sz w:val="18"/>
                <w:szCs w:val="18"/>
                <w:lang w:val="en-US" w:eastAsia="zh-CN" w:bidi="ar-SA"/>
              </w:rPr>
            </w:pPr>
            <w:r>
              <w:rPr>
                <w:rStyle w:val="11"/>
                <w:rFonts w:ascii="宋体" w:hAnsi="宋体" w:eastAsia="宋体"/>
                <w:b/>
                <w:bCs/>
                <w:i w:val="0"/>
                <w:color w:val="000000"/>
                <w:kern w:val="2"/>
                <w:sz w:val="18"/>
                <w:szCs w:val="18"/>
                <w:lang w:val="en-US" w:eastAsia="zh-CN" w:bidi="ar-SA"/>
              </w:rPr>
              <w:t>39.95</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b/>
                <w:bCs/>
                <w:i w:val="0"/>
                <w:color w:val="000000"/>
                <w:kern w:val="2"/>
                <w:sz w:val="18"/>
                <w:szCs w:val="18"/>
                <w:lang w:val="en-US" w:eastAsia="zh-CN" w:bidi="ar-SA"/>
              </w:rPr>
            </w:pPr>
            <w:r>
              <w:rPr>
                <w:rStyle w:val="11"/>
                <w:rFonts w:ascii="宋体" w:hAnsi="宋体" w:eastAsia="宋体"/>
                <w:b/>
                <w:bCs/>
                <w:i w:val="0"/>
                <w:color w:val="000000"/>
                <w:kern w:val="2"/>
                <w:sz w:val="18"/>
                <w:szCs w:val="18"/>
                <w:lang w:val="en-US" w:eastAsia="zh-CN" w:bidi="ar-SA"/>
              </w:rPr>
              <w:t>39.95</w:t>
            </w:r>
          </w:p>
        </w:tc>
        <w:tc>
          <w:tcPr>
            <w:tcW w:w="1185" w:type="pct"/>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ascii="宋体" w:hAnsi="宋体" w:eastAsia="宋体"/>
                <w:b/>
                <w:bCs/>
                <w:i w:val="0"/>
                <w:color w:val="000000"/>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85" w:type="pct"/>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21011</w:t>
            </w:r>
          </w:p>
        </w:tc>
        <w:tc>
          <w:tcPr>
            <w:tcW w:w="961"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行政事业医疗</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39.95</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39.95</w:t>
            </w:r>
          </w:p>
        </w:tc>
        <w:tc>
          <w:tcPr>
            <w:tcW w:w="1185" w:type="pct"/>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ascii="宋体" w:hAnsi="宋体" w:eastAsia="宋体"/>
                <w:i w:val="0"/>
                <w:color w:val="000000"/>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85" w:type="pct"/>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2101102</w:t>
            </w:r>
          </w:p>
        </w:tc>
        <w:tc>
          <w:tcPr>
            <w:tcW w:w="961"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事业单位医疗</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39.95</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39.95</w:t>
            </w:r>
          </w:p>
        </w:tc>
        <w:tc>
          <w:tcPr>
            <w:tcW w:w="1185" w:type="pct"/>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ascii="宋体" w:hAnsi="宋体" w:eastAsia="宋体"/>
                <w:i w:val="0"/>
                <w:color w:val="000000"/>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85" w:type="pct"/>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ascii="宋体" w:hAnsi="宋体" w:eastAsia="宋体"/>
                <w:b/>
                <w:bCs/>
                <w:i w:val="0"/>
                <w:color w:val="000000"/>
                <w:kern w:val="2"/>
                <w:sz w:val="18"/>
                <w:szCs w:val="18"/>
                <w:lang w:val="en-US" w:eastAsia="zh-CN" w:bidi="ar-SA"/>
              </w:rPr>
            </w:pPr>
            <w:r>
              <w:rPr>
                <w:rStyle w:val="11"/>
                <w:rFonts w:ascii="宋体" w:hAnsi="宋体" w:eastAsia="宋体"/>
                <w:b/>
                <w:bCs/>
                <w:i w:val="0"/>
                <w:color w:val="000000"/>
                <w:kern w:val="2"/>
                <w:sz w:val="18"/>
                <w:szCs w:val="18"/>
                <w:lang w:val="en-US" w:eastAsia="zh-CN" w:bidi="ar-SA"/>
              </w:rPr>
              <w:t>213</w:t>
            </w:r>
          </w:p>
        </w:tc>
        <w:tc>
          <w:tcPr>
            <w:tcW w:w="961"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b/>
                <w:bCs/>
                <w:i w:val="0"/>
                <w:color w:val="000000"/>
                <w:kern w:val="2"/>
                <w:sz w:val="18"/>
                <w:szCs w:val="18"/>
                <w:lang w:val="en-US" w:eastAsia="zh-CN" w:bidi="ar-SA"/>
              </w:rPr>
            </w:pPr>
            <w:r>
              <w:rPr>
                <w:rStyle w:val="11"/>
                <w:rFonts w:ascii="宋体" w:hAnsi="宋体" w:eastAsia="宋体"/>
                <w:b/>
                <w:bCs/>
                <w:i w:val="0"/>
                <w:color w:val="000000"/>
                <w:kern w:val="2"/>
                <w:sz w:val="18"/>
                <w:szCs w:val="18"/>
                <w:lang w:val="en-US" w:eastAsia="zh-CN" w:bidi="ar-SA"/>
              </w:rPr>
              <w:t>农林水支出</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b/>
                <w:bCs/>
                <w:i w:val="0"/>
                <w:color w:val="000000"/>
                <w:kern w:val="2"/>
                <w:sz w:val="18"/>
                <w:szCs w:val="18"/>
                <w:lang w:val="en-US" w:eastAsia="zh-CN" w:bidi="ar-SA"/>
              </w:rPr>
            </w:pPr>
            <w:r>
              <w:rPr>
                <w:rStyle w:val="11"/>
                <w:rFonts w:ascii="宋体" w:hAnsi="宋体" w:eastAsia="宋体"/>
                <w:b/>
                <w:bCs/>
                <w:i w:val="0"/>
                <w:color w:val="000000"/>
                <w:kern w:val="2"/>
                <w:sz w:val="18"/>
                <w:szCs w:val="18"/>
                <w:lang w:val="en-US" w:eastAsia="zh-CN" w:bidi="ar-SA"/>
              </w:rPr>
              <w:t>1890.28</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b/>
                <w:bCs/>
                <w:i w:val="0"/>
                <w:color w:val="000000"/>
                <w:kern w:val="2"/>
                <w:sz w:val="18"/>
                <w:szCs w:val="18"/>
                <w:lang w:val="en-US" w:eastAsia="zh-CN" w:bidi="ar-SA"/>
              </w:rPr>
            </w:pPr>
            <w:r>
              <w:rPr>
                <w:rStyle w:val="11"/>
                <w:rFonts w:ascii="宋体" w:hAnsi="宋体" w:eastAsia="宋体"/>
                <w:b/>
                <w:bCs/>
                <w:i w:val="0"/>
                <w:color w:val="000000"/>
                <w:kern w:val="2"/>
                <w:sz w:val="18"/>
                <w:szCs w:val="18"/>
                <w:lang w:val="en-US" w:eastAsia="zh-CN" w:bidi="ar-SA"/>
              </w:rPr>
              <w:t>1012.72</w:t>
            </w:r>
          </w:p>
        </w:tc>
        <w:tc>
          <w:tcPr>
            <w:tcW w:w="1185" w:type="pct"/>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ascii="宋体" w:hAnsi="宋体" w:eastAsia="宋体"/>
                <w:b/>
                <w:bCs/>
                <w:i w:val="0"/>
                <w:color w:val="000000"/>
                <w:kern w:val="2"/>
                <w:sz w:val="18"/>
                <w:szCs w:val="18"/>
                <w:lang w:val="en-US" w:eastAsia="zh-CN" w:bidi="ar-SA"/>
              </w:rPr>
            </w:pPr>
            <w:r>
              <w:rPr>
                <w:rStyle w:val="11"/>
                <w:rFonts w:ascii="宋体" w:hAnsi="宋体" w:eastAsia="宋体"/>
                <w:b/>
                <w:bCs/>
                <w:i w:val="0"/>
                <w:color w:val="000000"/>
                <w:kern w:val="2"/>
                <w:sz w:val="18"/>
                <w:szCs w:val="18"/>
                <w:lang w:val="en-US" w:eastAsia="zh-CN" w:bidi="ar-SA"/>
              </w:rPr>
              <w:t>877.55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85" w:type="pct"/>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21302</w:t>
            </w:r>
          </w:p>
        </w:tc>
        <w:tc>
          <w:tcPr>
            <w:tcW w:w="961"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林业</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1890.28</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1012.72</w:t>
            </w:r>
          </w:p>
        </w:tc>
        <w:tc>
          <w:tcPr>
            <w:tcW w:w="1185" w:type="pct"/>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877.55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85" w:type="pct"/>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2130210</w:t>
            </w:r>
          </w:p>
        </w:tc>
        <w:tc>
          <w:tcPr>
            <w:tcW w:w="961"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林业自然保护区</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1890.28</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1012.72</w:t>
            </w:r>
          </w:p>
        </w:tc>
        <w:tc>
          <w:tcPr>
            <w:tcW w:w="1185" w:type="pct"/>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877.55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85" w:type="pct"/>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ascii="宋体" w:hAnsi="宋体" w:eastAsia="宋体"/>
                <w:b/>
                <w:bCs/>
                <w:i w:val="0"/>
                <w:color w:val="000000"/>
                <w:kern w:val="2"/>
                <w:sz w:val="18"/>
                <w:szCs w:val="18"/>
                <w:lang w:val="en-US" w:eastAsia="zh-CN" w:bidi="ar-SA"/>
              </w:rPr>
            </w:pPr>
            <w:r>
              <w:rPr>
                <w:rStyle w:val="11"/>
                <w:rFonts w:ascii="宋体" w:hAnsi="宋体" w:eastAsia="宋体"/>
                <w:b/>
                <w:bCs/>
                <w:i w:val="0"/>
                <w:color w:val="000000"/>
                <w:kern w:val="2"/>
                <w:sz w:val="18"/>
                <w:szCs w:val="18"/>
                <w:lang w:val="en-US" w:eastAsia="zh-CN" w:bidi="ar-SA"/>
              </w:rPr>
              <w:t>221</w:t>
            </w:r>
          </w:p>
        </w:tc>
        <w:tc>
          <w:tcPr>
            <w:tcW w:w="961"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b/>
                <w:bCs/>
                <w:i w:val="0"/>
                <w:color w:val="000000"/>
                <w:kern w:val="2"/>
                <w:sz w:val="18"/>
                <w:szCs w:val="18"/>
                <w:lang w:val="en-US" w:eastAsia="zh-CN" w:bidi="ar-SA"/>
              </w:rPr>
            </w:pPr>
            <w:r>
              <w:rPr>
                <w:rStyle w:val="11"/>
                <w:rFonts w:ascii="宋体" w:hAnsi="宋体" w:eastAsia="宋体"/>
                <w:b/>
                <w:bCs/>
                <w:i w:val="0"/>
                <w:color w:val="000000"/>
                <w:kern w:val="2"/>
                <w:sz w:val="18"/>
                <w:szCs w:val="18"/>
                <w:lang w:val="en-US" w:eastAsia="zh-CN" w:bidi="ar-SA"/>
              </w:rPr>
              <w:t>住房保障支出</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b/>
                <w:bCs/>
                <w:i w:val="0"/>
                <w:color w:val="000000"/>
                <w:kern w:val="2"/>
                <w:sz w:val="18"/>
                <w:szCs w:val="18"/>
                <w:lang w:val="en-US" w:eastAsia="zh-CN" w:bidi="ar-SA"/>
              </w:rPr>
            </w:pPr>
            <w:r>
              <w:rPr>
                <w:rStyle w:val="11"/>
                <w:rFonts w:ascii="宋体" w:hAnsi="宋体" w:eastAsia="宋体"/>
                <w:b/>
                <w:bCs/>
                <w:i w:val="0"/>
                <w:color w:val="000000"/>
                <w:kern w:val="2"/>
                <w:sz w:val="18"/>
                <w:szCs w:val="18"/>
                <w:lang w:val="en-US" w:eastAsia="zh-CN" w:bidi="ar-SA"/>
              </w:rPr>
              <w:t>59.93</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b/>
                <w:bCs/>
                <w:i w:val="0"/>
                <w:color w:val="000000"/>
                <w:kern w:val="2"/>
                <w:sz w:val="18"/>
                <w:szCs w:val="18"/>
                <w:lang w:val="en-US" w:eastAsia="zh-CN" w:bidi="ar-SA"/>
              </w:rPr>
            </w:pPr>
            <w:r>
              <w:rPr>
                <w:rStyle w:val="11"/>
                <w:rFonts w:ascii="宋体" w:hAnsi="宋体" w:eastAsia="宋体"/>
                <w:b/>
                <w:bCs/>
                <w:i w:val="0"/>
                <w:color w:val="000000"/>
                <w:kern w:val="2"/>
                <w:sz w:val="18"/>
                <w:szCs w:val="18"/>
                <w:lang w:val="en-US" w:eastAsia="zh-CN" w:bidi="ar-SA"/>
              </w:rPr>
              <w:t>59.93</w:t>
            </w:r>
          </w:p>
        </w:tc>
        <w:tc>
          <w:tcPr>
            <w:tcW w:w="1185" w:type="pct"/>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ascii="宋体" w:hAnsi="宋体" w:eastAsia="宋体"/>
                <w:b/>
                <w:bCs/>
                <w:i w:val="0"/>
                <w:color w:val="000000"/>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85" w:type="pct"/>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22102</w:t>
            </w:r>
          </w:p>
        </w:tc>
        <w:tc>
          <w:tcPr>
            <w:tcW w:w="961"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住房改革支出</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59.93</w:t>
            </w:r>
          </w:p>
        </w:tc>
        <w:tc>
          <w:tcPr>
            <w:tcW w:w="1183" w:type="pct"/>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59.93</w:t>
            </w:r>
          </w:p>
        </w:tc>
        <w:tc>
          <w:tcPr>
            <w:tcW w:w="1185" w:type="pct"/>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ascii="宋体" w:hAnsi="宋体" w:eastAsia="宋体"/>
                <w:i w:val="0"/>
                <w:color w:val="000000"/>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85" w:type="pct"/>
            <w:gridSpan w:val="2"/>
            <w:tcBorders>
              <w:top w:val="single" w:color="000000" w:sz="4" w:space="0"/>
              <w:left w:val="single" w:color="000000" w:sz="8" w:space="0"/>
              <w:bottom w:val="single" w:color="000000" w:sz="8" w:space="0"/>
              <w:right w:val="single" w:color="000000" w:sz="4" w:space="0"/>
            </w:tcBorders>
            <w:vAlign w:val="center"/>
          </w:tcPr>
          <w:p>
            <w:pPr>
              <w:jc w:val="center"/>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2210201</w:t>
            </w:r>
          </w:p>
        </w:tc>
        <w:tc>
          <w:tcPr>
            <w:tcW w:w="961" w:type="pct"/>
            <w:tcBorders>
              <w:top w:val="single" w:color="000000" w:sz="4" w:space="0"/>
              <w:left w:val="single" w:color="000000" w:sz="4" w:space="0"/>
              <w:bottom w:val="single" w:color="000000" w:sz="8" w:space="0"/>
              <w:right w:val="single" w:color="000000" w:sz="4" w:space="0"/>
            </w:tcBorders>
            <w:vAlign w:val="center"/>
          </w:tcPr>
          <w:p>
            <w:pPr>
              <w:jc w:val="both"/>
              <w:textAlignment w:val="baseline"/>
              <w:rPr>
                <w:rStyle w:val="11"/>
                <w:rFonts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住房公积金</w:t>
            </w:r>
          </w:p>
        </w:tc>
        <w:tc>
          <w:tcPr>
            <w:tcW w:w="1183" w:type="pct"/>
            <w:tcBorders>
              <w:top w:val="single" w:color="000000" w:sz="4" w:space="0"/>
              <w:left w:val="single" w:color="000000" w:sz="4" w:space="0"/>
              <w:bottom w:val="single" w:color="000000" w:sz="8" w:space="0"/>
              <w:right w:val="single" w:color="000000" w:sz="4"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59.93</w:t>
            </w:r>
          </w:p>
        </w:tc>
        <w:tc>
          <w:tcPr>
            <w:tcW w:w="1183" w:type="pct"/>
            <w:tcBorders>
              <w:top w:val="single" w:color="000000" w:sz="4" w:space="0"/>
              <w:left w:val="single" w:color="000000" w:sz="4" w:space="0"/>
              <w:bottom w:val="single" w:color="000000" w:sz="8" w:space="0"/>
              <w:right w:val="single" w:color="000000" w:sz="4" w:space="0"/>
            </w:tcBorders>
            <w:vAlign w:val="center"/>
          </w:tcPr>
          <w:p>
            <w:pPr>
              <w:jc w:val="both"/>
              <w:textAlignment w:val="baseline"/>
              <w:rPr>
                <w:rStyle w:val="11"/>
                <w:rFonts w:hint="default" w:ascii="宋体" w:hAnsi="宋体" w:eastAsia="宋体"/>
                <w:i w:val="0"/>
                <w:color w:val="000000"/>
                <w:kern w:val="2"/>
                <w:sz w:val="18"/>
                <w:szCs w:val="18"/>
                <w:lang w:val="en-US" w:eastAsia="zh-CN" w:bidi="ar-SA"/>
              </w:rPr>
            </w:pPr>
            <w:r>
              <w:rPr>
                <w:rStyle w:val="11"/>
                <w:rFonts w:hint="eastAsia" w:ascii="宋体" w:hAnsi="宋体"/>
                <w:i w:val="0"/>
                <w:color w:val="000000"/>
                <w:kern w:val="2"/>
                <w:sz w:val="18"/>
                <w:szCs w:val="18"/>
                <w:lang w:val="en-US" w:eastAsia="zh-CN" w:bidi="ar-SA"/>
              </w:rPr>
              <w:t>59.93</w:t>
            </w:r>
          </w:p>
        </w:tc>
        <w:tc>
          <w:tcPr>
            <w:tcW w:w="1185" w:type="pct"/>
            <w:tcBorders>
              <w:top w:val="single" w:color="000000" w:sz="4" w:space="0"/>
              <w:left w:val="single" w:color="000000" w:sz="4" w:space="0"/>
              <w:bottom w:val="single" w:color="000000" w:sz="8" w:space="0"/>
              <w:right w:val="single" w:color="000000" w:sz="8" w:space="0"/>
            </w:tcBorders>
            <w:vAlign w:val="center"/>
          </w:tcPr>
          <w:p>
            <w:pPr>
              <w:jc w:val="both"/>
              <w:textAlignment w:val="baseline"/>
              <w:rPr>
                <w:rStyle w:val="11"/>
                <w:rFonts w:ascii="宋体" w:hAnsi="宋体" w:eastAsia="宋体"/>
                <w:i w:val="0"/>
                <w:color w:val="000000"/>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5000" w:type="pct"/>
            <w:gridSpan w:val="6"/>
            <w:tcBorders>
              <w:top w:val="nil"/>
              <w:left w:val="nil"/>
              <w:bottom w:val="nil"/>
              <w:right w:val="nil"/>
            </w:tcBorders>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注：本表反映部门本年度一般公共预算财政拨款支出情况。本表金额转换为万元时，因四舍五入可能存在尾差。</w:t>
            </w:r>
          </w:p>
        </w:tc>
      </w:tr>
    </w:tbl>
    <w:p>
      <w:pPr>
        <w:jc w:val="both"/>
        <w:textAlignment w:val="baseline"/>
        <w:rPr>
          <w:rStyle w:val="11"/>
          <w:rFonts w:ascii="仿宋_GB2312" w:hAnsi="仿宋_GB2312" w:eastAsia="仿宋_GB2312"/>
          <w:color w:val="000000"/>
          <w:kern w:val="2"/>
          <w:sz w:val="32"/>
          <w:szCs w:val="32"/>
          <w:lang w:val="en-US" w:eastAsia="zh-CN" w:bidi="ar-SA"/>
        </w:rPr>
        <w:sectPr>
          <w:pgSz w:w="16838" w:h="11906"/>
          <w:pgMar w:top="1800" w:right="1440" w:bottom="1800" w:left="1440" w:header="720" w:footer="720" w:gutter="0"/>
          <w:lnNumType w:countBy="0"/>
          <w:cols w:space="720" w:num="1"/>
          <w:vAlign w:val="top"/>
          <w:docGrid w:type="lines" w:linePitch="312" w:charSpace="0"/>
        </w:sectPr>
      </w:pPr>
    </w:p>
    <w:tbl>
      <w:tblPr>
        <w:tblStyle w:val="5"/>
        <w:tblW w:w="1392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0"/>
        <w:gridCol w:w="2923"/>
        <w:gridCol w:w="938"/>
        <w:gridCol w:w="870"/>
        <w:gridCol w:w="2066"/>
        <w:gridCol w:w="938"/>
        <w:gridCol w:w="870"/>
        <w:gridCol w:w="3382"/>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3925" w:type="dxa"/>
            <w:gridSpan w:val="9"/>
            <w:tcBorders>
              <w:top w:val="nil"/>
              <w:left w:val="nil"/>
              <w:bottom w:val="nil"/>
              <w:right w:val="nil"/>
            </w:tcBorders>
            <w:noWrap/>
            <w:vAlign w:val="center"/>
          </w:tcPr>
          <w:p>
            <w:pPr>
              <w:widowControl/>
              <w:jc w:val="center"/>
              <w:textAlignment w:val="center"/>
              <w:rPr>
                <w:rStyle w:val="11"/>
                <w:rFonts w:ascii="华文中宋" w:hAnsi="华文中宋" w:eastAsia="华文中宋"/>
                <w:i w:val="0"/>
                <w:color w:val="000000"/>
                <w:kern w:val="2"/>
                <w:sz w:val="32"/>
                <w:szCs w:val="32"/>
                <w:lang w:val="en-US" w:eastAsia="zh-CN" w:bidi="ar-SA"/>
              </w:rPr>
            </w:pPr>
            <w:r>
              <w:rPr>
                <w:rStyle w:val="11"/>
                <w:rFonts w:ascii="华文中宋" w:hAnsi="华文中宋" w:eastAsia="华文中宋"/>
                <w:i w:val="0"/>
                <w:color w:val="000000"/>
                <w:kern w:val="0"/>
                <w:sz w:val="32"/>
                <w:szCs w:val="32"/>
                <w:lang w:val="en-US" w:eastAsia="zh-CN"/>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2923" w:type="dxa"/>
            <w:tcBorders>
              <w:top w:val="nil"/>
              <w:left w:val="nil"/>
              <w:bottom w:val="nil"/>
              <w:right w:val="nil"/>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938" w:type="dxa"/>
            <w:tcBorders>
              <w:top w:val="nil"/>
              <w:left w:val="nil"/>
              <w:bottom w:val="nil"/>
              <w:right w:val="nil"/>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870"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2066"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938"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3382"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068" w:type="dxa"/>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731" w:type="dxa"/>
            <w:gridSpan w:val="3"/>
            <w:tcBorders>
              <w:top w:val="nil"/>
              <w:left w:val="nil"/>
              <w:bottom w:val="nil"/>
              <w:right w:val="nil"/>
            </w:tcBorders>
            <w:noWrap/>
            <w:vAlign w:val="center"/>
          </w:tcPr>
          <w:p>
            <w:pPr>
              <w:jc w:val="both"/>
              <w:textAlignment w:val="baseline"/>
              <w:rPr>
                <w:rStyle w:val="11"/>
                <w:rFonts w:ascii="Arial" w:hAnsi="Arial" w:eastAsia="宋体"/>
                <w:i w:val="0"/>
                <w:color w:val="000000"/>
                <w:kern w:val="2"/>
                <w:sz w:val="20"/>
                <w:szCs w:val="20"/>
                <w:lang w:val="en-US" w:eastAsia="zh-CN" w:bidi="ar-SA"/>
              </w:rPr>
            </w:pPr>
            <w:r>
              <w:rPr>
                <w:rStyle w:val="11"/>
                <w:rFonts w:ascii="Arial" w:hAnsi="Arial" w:eastAsia="宋体"/>
                <w:i w:val="0"/>
                <w:color w:val="000000"/>
                <w:kern w:val="0"/>
                <w:sz w:val="20"/>
                <w:szCs w:val="20"/>
                <w:lang w:val="en-US" w:eastAsia="zh-CN"/>
              </w:rPr>
              <w:t>部门：罗山县董寨国家级自然保护区管理局</w:t>
            </w:r>
          </w:p>
        </w:tc>
        <w:tc>
          <w:tcPr>
            <w:tcW w:w="870" w:type="dxa"/>
            <w:tcBorders>
              <w:top w:val="nil"/>
              <w:left w:val="nil"/>
              <w:bottom w:val="nil"/>
              <w:right w:val="nil"/>
            </w:tcBorders>
            <w:noWrap/>
            <w:vAlign w:val="center"/>
          </w:tcPr>
          <w:p>
            <w:pPr>
              <w:jc w:val="both"/>
              <w:textAlignment w:val="baseline"/>
              <w:rPr>
                <w:rStyle w:val="11"/>
                <w:rFonts w:ascii="Arial" w:hAnsi="Arial" w:eastAsia="宋体"/>
                <w:i w:val="0"/>
                <w:color w:val="000000"/>
                <w:kern w:val="2"/>
                <w:sz w:val="20"/>
                <w:szCs w:val="20"/>
                <w:lang w:val="en-US" w:eastAsia="zh-CN" w:bidi="ar-SA"/>
              </w:rPr>
            </w:pPr>
          </w:p>
        </w:tc>
        <w:tc>
          <w:tcPr>
            <w:tcW w:w="2066" w:type="dxa"/>
            <w:tcBorders>
              <w:top w:val="nil"/>
              <w:left w:val="nil"/>
              <w:bottom w:val="nil"/>
              <w:right w:val="nil"/>
            </w:tcBorders>
            <w:noWrap/>
            <w:vAlign w:val="center"/>
          </w:tcPr>
          <w:p>
            <w:pPr>
              <w:jc w:val="both"/>
              <w:textAlignment w:val="baseline"/>
              <w:rPr>
                <w:rStyle w:val="11"/>
                <w:rFonts w:ascii="Arial" w:hAnsi="Arial" w:eastAsia="宋体"/>
                <w:i w:val="0"/>
                <w:color w:val="000000"/>
                <w:kern w:val="2"/>
                <w:sz w:val="20"/>
                <w:szCs w:val="20"/>
                <w:lang w:val="en-US" w:eastAsia="zh-CN" w:bidi="ar-SA"/>
              </w:rPr>
            </w:pPr>
          </w:p>
        </w:tc>
        <w:tc>
          <w:tcPr>
            <w:tcW w:w="938" w:type="dxa"/>
            <w:tcBorders>
              <w:top w:val="nil"/>
              <w:left w:val="nil"/>
              <w:bottom w:val="nil"/>
              <w:right w:val="nil"/>
            </w:tcBorders>
            <w:noWrap/>
            <w:vAlign w:val="center"/>
          </w:tcPr>
          <w:p>
            <w:pPr>
              <w:jc w:val="both"/>
              <w:textAlignment w:val="baseline"/>
              <w:rPr>
                <w:rStyle w:val="11"/>
                <w:rFonts w:ascii="Arial" w:hAnsi="Arial" w:eastAsia="宋体"/>
                <w:i w:val="0"/>
                <w:color w:val="000000"/>
                <w:kern w:val="2"/>
                <w:sz w:val="20"/>
                <w:szCs w:val="20"/>
                <w:lang w:val="en-US" w:eastAsia="zh-CN" w:bidi="ar-SA"/>
              </w:rPr>
            </w:pPr>
          </w:p>
        </w:tc>
        <w:tc>
          <w:tcPr>
            <w:tcW w:w="870" w:type="dxa"/>
            <w:tcBorders>
              <w:top w:val="nil"/>
              <w:left w:val="nil"/>
              <w:bottom w:val="nil"/>
              <w:right w:val="nil"/>
            </w:tcBorders>
            <w:noWrap/>
            <w:vAlign w:val="center"/>
          </w:tcPr>
          <w:p>
            <w:pPr>
              <w:jc w:val="both"/>
              <w:textAlignment w:val="baseline"/>
              <w:rPr>
                <w:rStyle w:val="11"/>
                <w:rFonts w:ascii="Arial" w:hAnsi="Arial" w:eastAsia="宋体"/>
                <w:i w:val="0"/>
                <w:color w:val="000000"/>
                <w:kern w:val="2"/>
                <w:sz w:val="20"/>
                <w:szCs w:val="20"/>
                <w:lang w:val="en-US" w:eastAsia="zh-CN" w:bidi="ar-SA"/>
              </w:rPr>
            </w:pPr>
          </w:p>
        </w:tc>
        <w:tc>
          <w:tcPr>
            <w:tcW w:w="3382" w:type="dxa"/>
            <w:tcBorders>
              <w:top w:val="nil"/>
              <w:left w:val="nil"/>
              <w:bottom w:val="nil"/>
              <w:right w:val="nil"/>
            </w:tcBorders>
            <w:noWrap/>
            <w:vAlign w:val="center"/>
          </w:tcPr>
          <w:p>
            <w:pPr>
              <w:jc w:val="both"/>
              <w:textAlignment w:val="baseline"/>
              <w:rPr>
                <w:rStyle w:val="11"/>
                <w:rFonts w:ascii="Arial" w:hAnsi="Arial" w:eastAsia="宋体"/>
                <w:i w:val="0"/>
                <w:color w:val="000000"/>
                <w:kern w:val="2"/>
                <w:sz w:val="20"/>
                <w:szCs w:val="20"/>
                <w:lang w:val="en-US" w:eastAsia="zh-CN" w:bidi="ar-SA"/>
              </w:rPr>
            </w:pPr>
          </w:p>
        </w:tc>
        <w:tc>
          <w:tcPr>
            <w:tcW w:w="1068" w:type="dxa"/>
            <w:tcBorders>
              <w:top w:val="nil"/>
              <w:left w:val="nil"/>
              <w:bottom w:val="nil"/>
              <w:right w:val="nil"/>
            </w:tcBorders>
            <w:noWrap/>
            <w:vAlign w:val="center"/>
          </w:tcPr>
          <w:p>
            <w:pPr>
              <w:widowControl/>
              <w:jc w:val="righ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经济分类科目编码</w:t>
            </w:r>
          </w:p>
        </w:tc>
        <w:tc>
          <w:tcPr>
            <w:tcW w:w="2923"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科目名称</w:t>
            </w:r>
          </w:p>
        </w:tc>
        <w:tc>
          <w:tcPr>
            <w:tcW w:w="938"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决算数</w:t>
            </w:r>
          </w:p>
        </w:tc>
        <w:tc>
          <w:tcPr>
            <w:tcW w:w="870" w:type="dxa"/>
            <w:tcBorders>
              <w:top w:val="single" w:color="000000" w:sz="8" w:space="0"/>
              <w:left w:val="single" w:color="000000" w:sz="8"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经济分类科目编码</w:t>
            </w:r>
          </w:p>
        </w:tc>
        <w:tc>
          <w:tcPr>
            <w:tcW w:w="2066"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科目名称</w:t>
            </w:r>
          </w:p>
        </w:tc>
        <w:tc>
          <w:tcPr>
            <w:tcW w:w="938"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决算数</w:t>
            </w:r>
          </w:p>
        </w:tc>
        <w:tc>
          <w:tcPr>
            <w:tcW w:w="870" w:type="dxa"/>
            <w:tcBorders>
              <w:top w:val="single" w:color="000000" w:sz="8" w:space="0"/>
              <w:left w:val="single" w:color="000000" w:sz="8"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经济分类科目编码</w:t>
            </w:r>
          </w:p>
        </w:tc>
        <w:tc>
          <w:tcPr>
            <w:tcW w:w="3382"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科目名称</w:t>
            </w:r>
          </w:p>
        </w:tc>
        <w:tc>
          <w:tcPr>
            <w:tcW w:w="1068" w:type="dxa"/>
            <w:tcBorders>
              <w:top w:val="single" w:color="000000" w:sz="8" w:space="0"/>
              <w:left w:val="single" w:color="000000" w:sz="4" w:space="0"/>
              <w:bottom w:val="single" w:color="000000" w:sz="4" w:space="0"/>
              <w:right w:val="single" w:color="000000" w:sz="8"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cs="宋体"/>
                <w:b/>
                <w:bCs/>
                <w:i w:val="0"/>
                <w:color w:val="000000"/>
                <w:kern w:val="2"/>
                <w:sz w:val="20"/>
                <w:szCs w:val="20"/>
                <w:lang w:val="en-US" w:eastAsia="zh-CN" w:bidi="ar-SA"/>
              </w:rPr>
            </w:pPr>
            <w:r>
              <w:rPr>
                <w:rStyle w:val="11"/>
                <w:rFonts w:ascii="宋体" w:hAnsi="宋体" w:eastAsia="宋体" w:cs="宋体"/>
                <w:b/>
                <w:bCs/>
                <w:i w:val="0"/>
                <w:color w:val="000000"/>
                <w:kern w:val="0"/>
                <w:sz w:val="20"/>
                <w:szCs w:val="20"/>
                <w:lang w:val="en-US" w:eastAsia="zh-CN"/>
              </w:rPr>
              <w:t>301</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cs="宋体"/>
                <w:b/>
                <w:bCs/>
                <w:i w:val="0"/>
                <w:color w:val="000000"/>
                <w:kern w:val="2"/>
                <w:sz w:val="20"/>
                <w:szCs w:val="20"/>
                <w:lang w:val="en-US" w:eastAsia="zh-CN" w:bidi="ar-SA"/>
              </w:rPr>
            </w:pPr>
            <w:r>
              <w:rPr>
                <w:rStyle w:val="11"/>
                <w:rFonts w:ascii="宋体" w:hAnsi="宋体" w:eastAsia="宋体" w:cs="宋体"/>
                <w:b/>
                <w:bCs/>
                <w:i w:val="0"/>
                <w:color w:val="000000"/>
                <w:kern w:val="0"/>
                <w:sz w:val="20"/>
                <w:szCs w:val="20"/>
                <w:lang w:val="en-US" w:eastAsia="zh-CN"/>
              </w:rPr>
              <w:t>工资福利支出</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cs="宋体"/>
                <w:b/>
                <w:bCs/>
                <w:i w:val="0"/>
                <w:color w:val="000000"/>
                <w:kern w:val="2"/>
                <w:sz w:val="20"/>
                <w:szCs w:val="20"/>
                <w:lang w:val="en-US" w:eastAsia="zh-CN" w:bidi="ar-SA"/>
              </w:rPr>
            </w:pPr>
            <w:r>
              <w:rPr>
                <w:rStyle w:val="11"/>
                <w:rFonts w:ascii="宋体" w:hAnsi="宋体" w:eastAsia="宋体" w:cs="宋体"/>
                <w:b/>
                <w:bCs/>
                <w:i w:val="0"/>
                <w:color w:val="000000"/>
                <w:kern w:val="2"/>
                <w:sz w:val="20"/>
                <w:szCs w:val="20"/>
                <w:lang w:val="en-US" w:eastAsia="zh-CN" w:bidi="ar-SA"/>
              </w:rPr>
              <w:t>904.69</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cs="宋体"/>
                <w:b/>
                <w:bCs/>
                <w:i w:val="0"/>
                <w:color w:val="000000"/>
                <w:kern w:val="2"/>
                <w:sz w:val="20"/>
                <w:szCs w:val="20"/>
                <w:lang w:val="en-US" w:eastAsia="zh-CN" w:bidi="ar-SA"/>
              </w:rPr>
            </w:pPr>
            <w:r>
              <w:rPr>
                <w:rStyle w:val="11"/>
                <w:rFonts w:ascii="宋体" w:hAnsi="宋体" w:eastAsia="宋体" w:cs="宋体"/>
                <w:b/>
                <w:bCs/>
                <w:i w:val="0"/>
                <w:color w:val="000000"/>
                <w:kern w:val="0"/>
                <w:sz w:val="20"/>
                <w:szCs w:val="20"/>
                <w:lang w:val="en-US" w:eastAsia="zh-CN"/>
              </w:rPr>
              <w:t>302</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cs="宋体"/>
                <w:b/>
                <w:bCs/>
                <w:i w:val="0"/>
                <w:color w:val="000000"/>
                <w:kern w:val="2"/>
                <w:sz w:val="20"/>
                <w:szCs w:val="20"/>
                <w:lang w:val="en-US" w:eastAsia="zh-CN" w:bidi="ar-SA"/>
              </w:rPr>
            </w:pPr>
            <w:r>
              <w:rPr>
                <w:rStyle w:val="11"/>
                <w:rFonts w:ascii="宋体" w:hAnsi="宋体" w:eastAsia="宋体" w:cs="宋体"/>
                <w:b/>
                <w:bCs/>
                <w:i w:val="0"/>
                <w:color w:val="000000"/>
                <w:kern w:val="0"/>
                <w:sz w:val="20"/>
                <w:szCs w:val="20"/>
                <w:lang w:val="en-US" w:eastAsia="zh-CN"/>
              </w:rPr>
              <w:t>商品和服务支出</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cs="宋体"/>
                <w:b/>
                <w:bCs/>
                <w:i w:val="0"/>
                <w:color w:val="000000"/>
                <w:kern w:val="2"/>
                <w:sz w:val="20"/>
                <w:szCs w:val="20"/>
                <w:lang w:val="en-US" w:eastAsia="zh-CN" w:bidi="ar-SA"/>
              </w:rPr>
            </w:pPr>
            <w:r>
              <w:rPr>
                <w:rStyle w:val="11"/>
                <w:rFonts w:ascii="宋体" w:hAnsi="宋体" w:eastAsia="宋体" w:cs="宋体"/>
                <w:b/>
                <w:bCs/>
                <w:i w:val="0"/>
                <w:color w:val="000000"/>
                <w:kern w:val="2"/>
                <w:sz w:val="20"/>
                <w:szCs w:val="20"/>
                <w:lang w:val="en-US" w:eastAsia="zh-CN" w:bidi="ar-SA"/>
              </w:rPr>
              <w:t>248.06</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cs="宋体"/>
                <w:b/>
                <w:bCs/>
                <w:i w:val="0"/>
                <w:color w:val="000000"/>
                <w:kern w:val="2"/>
                <w:sz w:val="20"/>
                <w:szCs w:val="20"/>
                <w:lang w:val="en-US" w:eastAsia="zh-CN" w:bidi="ar-SA"/>
              </w:rPr>
            </w:pPr>
            <w:r>
              <w:rPr>
                <w:rStyle w:val="11"/>
                <w:rFonts w:ascii="宋体" w:hAnsi="宋体" w:eastAsia="宋体" w:cs="宋体"/>
                <w:b/>
                <w:bCs/>
                <w:i w:val="0"/>
                <w:color w:val="000000"/>
                <w:kern w:val="0"/>
                <w:sz w:val="20"/>
                <w:szCs w:val="20"/>
                <w:lang w:val="en-US" w:eastAsia="zh-CN"/>
              </w:rPr>
              <w:t>310</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cs="宋体"/>
                <w:b/>
                <w:bCs/>
                <w:i w:val="0"/>
                <w:color w:val="000000"/>
                <w:kern w:val="2"/>
                <w:sz w:val="20"/>
                <w:szCs w:val="20"/>
                <w:lang w:val="en-US" w:eastAsia="zh-CN" w:bidi="ar-SA"/>
              </w:rPr>
            </w:pPr>
            <w:r>
              <w:rPr>
                <w:rStyle w:val="11"/>
                <w:rFonts w:ascii="宋体" w:hAnsi="宋体" w:eastAsia="宋体" w:cs="宋体"/>
                <w:b/>
                <w:bCs/>
                <w:i w:val="0"/>
                <w:color w:val="000000"/>
                <w:kern w:val="0"/>
                <w:sz w:val="20"/>
                <w:szCs w:val="20"/>
                <w:lang w:val="en-US" w:eastAsia="zh-CN"/>
              </w:rPr>
              <w:t>资本性支出</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cs="宋体"/>
                <w:b/>
                <w:bCs/>
                <w:i w:val="0"/>
                <w:color w:val="000000"/>
                <w:kern w:val="2"/>
                <w:sz w:val="20"/>
                <w:szCs w:val="20"/>
                <w:lang w:val="en-US" w:eastAsia="zh-CN" w:bidi="ar-SA"/>
              </w:rPr>
            </w:pPr>
            <w:r>
              <w:rPr>
                <w:rStyle w:val="11"/>
                <w:rFonts w:ascii="宋体" w:hAnsi="宋体" w:eastAsia="宋体" w:cs="宋体"/>
                <w:b/>
                <w:bCs/>
                <w:i w:val="0"/>
                <w:color w:val="000000"/>
                <w:kern w:val="2"/>
                <w:sz w:val="20"/>
                <w:szCs w:val="20"/>
                <w:lang w:val="en-US" w:eastAsia="zh-CN" w:bidi="ar-SA"/>
              </w:rPr>
              <w:t>25.42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30101</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408.64</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30201</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25.11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31001</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房屋建筑物购建</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30102</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80.06</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30202</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31002</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办公设备购置</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30103</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87.56</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30203</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77.22</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31003</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专用设备购置</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30106</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30204</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31005</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基础设施建设</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30107</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128.65</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30205</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0.71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31006</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大型修缮</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30108</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99.89</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30206</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11.1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31007</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信息网络及软件购置更新</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30109</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30207</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0.9</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31008</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物资储备</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30110</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39.95</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30208</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31009</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土地补偿</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30111</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30209</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31010</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安置补助</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30112</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30211</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17.65</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31011</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地上附着物和青苗补偿</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30113</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59.93</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30212</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31012</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拆迁补偿</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30114</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30213</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2.12</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31013</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公务用车购置</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30199</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30214</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10.89</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31019</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其他交通工具购置</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cs="宋体"/>
                <w:b/>
                <w:bCs/>
                <w:i w:val="0"/>
                <w:color w:val="000000"/>
                <w:kern w:val="2"/>
                <w:sz w:val="20"/>
                <w:szCs w:val="20"/>
                <w:lang w:val="en-US" w:eastAsia="zh-CN" w:bidi="ar-SA"/>
              </w:rPr>
            </w:pPr>
            <w:r>
              <w:rPr>
                <w:rStyle w:val="11"/>
                <w:rFonts w:ascii="宋体" w:hAnsi="宋体" w:eastAsia="宋体" w:cs="宋体"/>
                <w:b/>
                <w:bCs/>
                <w:i w:val="0"/>
                <w:color w:val="000000"/>
                <w:kern w:val="0"/>
                <w:sz w:val="20"/>
                <w:szCs w:val="20"/>
                <w:lang w:val="en-US" w:eastAsia="zh-CN"/>
              </w:rPr>
              <w:t>303</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cs="宋体"/>
                <w:b/>
                <w:bCs/>
                <w:i w:val="0"/>
                <w:color w:val="000000"/>
                <w:kern w:val="2"/>
                <w:sz w:val="20"/>
                <w:szCs w:val="20"/>
                <w:lang w:val="en-US" w:eastAsia="zh-CN" w:bidi="ar-SA"/>
              </w:rPr>
            </w:pPr>
            <w:r>
              <w:rPr>
                <w:rStyle w:val="11"/>
                <w:rFonts w:ascii="宋体" w:hAnsi="宋体" w:eastAsia="宋体" w:cs="宋体"/>
                <w:b/>
                <w:bCs/>
                <w:i w:val="0"/>
                <w:color w:val="000000"/>
                <w:kern w:val="0"/>
                <w:sz w:val="20"/>
                <w:szCs w:val="20"/>
                <w:lang w:val="en-US" w:eastAsia="zh-CN"/>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cs="宋体"/>
                <w:b/>
                <w:bCs/>
                <w:i w:val="0"/>
                <w:color w:val="000000"/>
                <w:kern w:val="2"/>
                <w:sz w:val="20"/>
                <w:szCs w:val="20"/>
                <w:lang w:val="en-US" w:eastAsia="zh-CN" w:bidi="ar-SA"/>
              </w:rPr>
            </w:pPr>
            <w:r>
              <w:rPr>
                <w:rStyle w:val="11"/>
                <w:rFonts w:ascii="宋体" w:hAnsi="宋体" w:eastAsia="宋体" w:cs="宋体"/>
                <w:b/>
                <w:bCs/>
                <w:i w:val="0"/>
                <w:color w:val="000000"/>
                <w:kern w:val="2"/>
                <w:sz w:val="20"/>
                <w:szCs w:val="20"/>
                <w:lang w:val="en-US" w:eastAsia="zh-CN" w:bidi="ar-SA"/>
              </w:rPr>
              <w:t>35.14</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30215</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0.26</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31021</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文物和陈列品购置</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30301</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30216</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0.56</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31022</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无形资产购置</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30302</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30217</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4.31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31099</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其他资本性支出</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30303</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0.81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30218</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9.23</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312</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对企业补助</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30304</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4.62</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30224</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31201</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资本金注入</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30305</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8.69</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30225</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31203</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政府投资基金股权投资</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30306</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6.5</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30226</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46.75</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31204</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费用补贴</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30307</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30227</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31205</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利息补贴</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30308</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30228</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31299</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其他对企业补助</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30309</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30229</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11.43</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313</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对社会保障基金补助</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30310</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13.81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30231</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13.23</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31302</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对社会保险基金补助</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30399</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0.7</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30239</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31303</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补充全国社会保障基金</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2923"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30240</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399</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其他支出</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2923"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30299</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16.6</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39906</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赠与</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2923"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307</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39907</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国家赔偿费用支出</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2923"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30701</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39908</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对民间非营利组织和群众性自治组织补贴</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2923"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30702</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39999</w:t>
            </w:r>
          </w:p>
        </w:tc>
        <w:tc>
          <w:tcPr>
            <w:tcW w:w="33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其他支出</w:t>
            </w: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2923"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30703</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3382"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30704</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18"/>
                <w:szCs w:val="18"/>
                <w:lang w:val="en-US" w:eastAsia="zh-CN" w:bidi="ar-SA"/>
              </w:rPr>
            </w:pPr>
          </w:p>
        </w:tc>
        <w:tc>
          <w:tcPr>
            <w:tcW w:w="3382"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11"/>
                <w:rFonts w:ascii="宋体" w:hAnsi="宋体" w:eastAsia="宋体"/>
                <w:i w:val="0"/>
                <w:color w:val="000000"/>
                <w:kern w:val="2"/>
                <w:sz w:val="18"/>
                <w:szCs w:val="18"/>
                <w:lang w:val="en-US" w:eastAsia="zh-CN" w:bidi="ar-SA"/>
              </w:rPr>
            </w:pPr>
          </w:p>
        </w:tc>
        <w:tc>
          <w:tcPr>
            <w:tcW w:w="1068" w:type="dxa"/>
            <w:tcBorders>
              <w:top w:val="single" w:color="000000" w:sz="4" w:space="0"/>
              <w:left w:val="single" w:color="000000" w:sz="4" w:space="0"/>
              <w:bottom w:val="single" w:color="000000" w:sz="4" w:space="0"/>
              <w:right w:val="single" w:color="000000" w:sz="8" w:space="0"/>
            </w:tcBorders>
            <w:noWrap/>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vAlign w:val="center"/>
          </w:tcPr>
          <w:p>
            <w:pPr>
              <w:widowControl/>
              <w:jc w:val="center"/>
              <w:textAlignment w:val="center"/>
              <w:rPr>
                <w:rStyle w:val="11"/>
                <w:rFonts w:ascii="宋体" w:hAnsi="宋体" w:eastAsia="宋体" w:cs="宋体"/>
                <w:b/>
                <w:bCs/>
                <w:i w:val="0"/>
                <w:color w:val="000000"/>
                <w:kern w:val="2"/>
                <w:sz w:val="20"/>
                <w:szCs w:val="20"/>
                <w:lang w:val="en-US" w:eastAsia="zh-CN" w:bidi="ar-SA"/>
              </w:rPr>
            </w:pPr>
            <w:r>
              <w:rPr>
                <w:rStyle w:val="11"/>
                <w:rFonts w:ascii="宋体" w:hAnsi="宋体" w:eastAsia="宋体" w:cs="宋体"/>
                <w:b/>
                <w:bCs/>
                <w:i w:val="0"/>
                <w:color w:val="000000"/>
                <w:kern w:val="0"/>
                <w:sz w:val="20"/>
                <w:szCs w:val="20"/>
                <w:lang w:val="en-US" w:eastAsia="zh-CN"/>
              </w:rPr>
              <w:t>人员经费合计</w:t>
            </w:r>
          </w:p>
        </w:tc>
        <w:tc>
          <w:tcPr>
            <w:tcW w:w="938" w:type="dxa"/>
            <w:tcBorders>
              <w:top w:val="single" w:color="000000" w:sz="4" w:space="0"/>
              <w:left w:val="single" w:color="000000" w:sz="4" w:space="0"/>
              <w:bottom w:val="single" w:color="000000" w:sz="8" w:space="0"/>
              <w:right w:val="single" w:color="000000" w:sz="4" w:space="0"/>
            </w:tcBorders>
            <w:noWrap/>
            <w:vAlign w:val="center"/>
          </w:tcPr>
          <w:p>
            <w:pPr>
              <w:jc w:val="both"/>
              <w:textAlignment w:val="baseline"/>
              <w:rPr>
                <w:rStyle w:val="11"/>
                <w:rFonts w:ascii="宋体" w:hAnsi="宋体" w:eastAsia="宋体" w:cs="宋体"/>
                <w:b/>
                <w:bCs/>
                <w:i w:val="0"/>
                <w:color w:val="000000"/>
                <w:kern w:val="2"/>
                <w:sz w:val="20"/>
                <w:szCs w:val="20"/>
                <w:lang w:val="en-US" w:eastAsia="zh-CN" w:bidi="ar-SA"/>
              </w:rPr>
            </w:pPr>
            <w:r>
              <w:rPr>
                <w:rStyle w:val="11"/>
                <w:rFonts w:ascii="宋体" w:hAnsi="宋体" w:eastAsia="宋体" w:cs="宋体"/>
                <w:b/>
                <w:bCs/>
                <w:i w:val="0"/>
                <w:color w:val="000000"/>
                <w:kern w:val="2"/>
                <w:sz w:val="20"/>
                <w:szCs w:val="20"/>
                <w:lang w:val="en-US" w:eastAsia="zh-CN" w:bidi="ar-SA"/>
              </w:rPr>
              <w:t>939.83</w:t>
            </w:r>
          </w:p>
        </w:tc>
        <w:tc>
          <w:tcPr>
            <w:tcW w:w="8126" w:type="dxa"/>
            <w:gridSpan w:val="5"/>
            <w:tcBorders>
              <w:top w:val="single" w:color="000000" w:sz="4" w:space="0"/>
              <w:left w:val="single" w:color="000000" w:sz="4" w:space="0"/>
              <w:bottom w:val="single" w:color="000000" w:sz="8" w:space="0"/>
              <w:right w:val="single" w:color="000000" w:sz="4" w:space="0"/>
            </w:tcBorders>
            <w:noWrap/>
            <w:vAlign w:val="center"/>
          </w:tcPr>
          <w:p>
            <w:pPr>
              <w:widowControl/>
              <w:jc w:val="center"/>
              <w:textAlignment w:val="center"/>
              <w:rPr>
                <w:rStyle w:val="11"/>
                <w:rFonts w:ascii="宋体" w:hAnsi="宋体" w:eastAsia="宋体" w:cs="宋体"/>
                <w:b/>
                <w:bCs/>
                <w:i w:val="0"/>
                <w:color w:val="000000"/>
                <w:kern w:val="2"/>
                <w:sz w:val="20"/>
                <w:szCs w:val="20"/>
                <w:lang w:val="en-US" w:eastAsia="zh-CN" w:bidi="ar-SA"/>
              </w:rPr>
            </w:pPr>
            <w:r>
              <w:rPr>
                <w:rStyle w:val="11"/>
                <w:rFonts w:ascii="宋体" w:hAnsi="宋体" w:eastAsia="宋体" w:cs="宋体"/>
                <w:b/>
                <w:bCs/>
                <w:i w:val="0"/>
                <w:color w:val="000000"/>
                <w:kern w:val="0"/>
                <w:sz w:val="20"/>
                <w:szCs w:val="20"/>
                <w:lang w:val="en-US" w:eastAsia="zh-CN"/>
              </w:rPr>
              <w:t>公用经费合计</w:t>
            </w:r>
          </w:p>
        </w:tc>
        <w:tc>
          <w:tcPr>
            <w:tcW w:w="1068" w:type="dxa"/>
            <w:tcBorders>
              <w:top w:val="single" w:color="000000" w:sz="4" w:space="0"/>
              <w:left w:val="single" w:color="000000" w:sz="4" w:space="0"/>
              <w:bottom w:val="single" w:color="000000" w:sz="8" w:space="0"/>
              <w:right w:val="single" w:color="000000" w:sz="8" w:space="0"/>
            </w:tcBorders>
            <w:noWrap/>
            <w:vAlign w:val="center"/>
          </w:tcPr>
          <w:p>
            <w:pPr>
              <w:jc w:val="both"/>
              <w:textAlignment w:val="baseline"/>
              <w:rPr>
                <w:rStyle w:val="11"/>
                <w:rFonts w:ascii="宋体" w:hAnsi="宋体" w:eastAsia="宋体" w:cs="宋体"/>
                <w:b/>
                <w:bCs/>
                <w:i w:val="0"/>
                <w:color w:val="000000"/>
                <w:kern w:val="2"/>
                <w:sz w:val="20"/>
                <w:szCs w:val="20"/>
                <w:lang w:val="en-US" w:eastAsia="zh-CN" w:bidi="ar-SA"/>
              </w:rPr>
            </w:pPr>
            <w:r>
              <w:rPr>
                <w:rStyle w:val="11"/>
                <w:rFonts w:ascii="宋体" w:hAnsi="宋体" w:eastAsia="宋体" w:cs="宋体"/>
                <w:b/>
                <w:bCs/>
                <w:i w:val="0"/>
                <w:color w:val="000000"/>
                <w:kern w:val="2"/>
                <w:sz w:val="20"/>
                <w:szCs w:val="20"/>
                <w:lang w:val="en-US" w:eastAsia="zh-CN" w:bidi="ar-SA"/>
              </w:rPr>
              <w:t>273.48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3925" w:type="dxa"/>
            <w:gridSpan w:val="9"/>
            <w:tcBorders>
              <w:top w:val="nil"/>
              <w:left w:val="nil"/>
              <w:bottom w:val="nil"/>
              <w:right w:val="nil"/>
            </w:tcBorders>
            <w:noWrap/>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注：本表反映部门本年度一般公共预算财政拨款基本支出明细情况。本表金额转换为万元时，因四舍五入可能存在尾差。</w:t>
            </w:r>
          </w:p>
        </w:tc>
      </w:tr>
    </w:tbl>
    <w:p>
      <w:pPr>
        <w:jc w:val="both"/>
        <w:textAlignment w:val="baseline"/>
        <w:rPr>
          <w:rStyle w:val="11"/>
          <w:rFonts w:ascii="仿宋_GB2312" w:hAnsi="仿宋_GB2312" w:eastAsia="仿宋_GB2312"/>
          <w:color w:val="000000"/>
          <w:kern w:val="2"/>
          <w:sz w:val="32"/>
          <w:szCs w:val="32"/>
          <w:lang w:val="en-US" w:eastAsia="zh-CN" w:bidi="ar-SA"/>
        </w:rPr>
        <w:sectPr>
          <w:pgSz w:w="16838" w:h="11906"/>
          <w:pgMar w:top="1800" w:right="1440" w:bottom="1800" w:left="1440" w:header="720" w:footer="720" w:gutter="0"/>
          <w:lnNumType w:countBy="0"/>
          <w:cols w:space="720" w:num="1"/>
          <w:vAlign w:val="top"/>
          <w:docGrid w:type="lines" w:linePitch="312" w:charSpace="0"/>
        </w:sectPr>
      </w:pPr>
    </w:p>
    <w:tbl>
      <w:tblPr>
        <w:tblStyle w:val="5"/>
        <w:tblW w:w="1380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vAlign w:val="center"/>
          </w:tcPr>
          <w:p>
            <w:pPr>
              <w:widowControl/>
              <w:jc w:val="center"/>
              <w:textAlignment w:val="center"/>
              <w:rPr>
                <w:rStyle w:val="11"/>
                <w:rFonts w:ascii="华文中宋" w:hAnsi="华文中宋" w:eastAsia="华文中宋"/>
                <w:i w:val="0"/>
                <w:color w:val="000000"/>
                <w:kern w:val="2"/>
                <w:sz w:val="32"/>
                <w:szCs w:val="32"/>
                <w:lang w:val="en-US" w:eastAsia="zh-CN" w:bidi="ar-SA"/>
              </w:rPr>
            </w:pPr>
            <w:r>
              <w:rPr>
                <w:rStyle w:val="11"/>
                <w:rFonts w:ascii="华文中宋" w:hAnsi="华文中宋" w:eastAsia="华文中宋"/>
                <w:i w:val="0"/>
                <w:color w:val="000000"/>
                <w:kern w:val="0"/>
                <w:sz w:val="32"/>
                <w:szCs w:val="32"/>
                <w:lang w:val="en-US" w:eastAsia="zh-CN"/>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49"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50"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50"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51"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50"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51"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51"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51"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51"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51"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51" w:type="dxa"/>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51" w:type="dxa"/>
            <w:gridSpan w:val="5"/>
            <w:tcBorders>
              <w:top w:val="nil"/>
              <w:left w:val="nil"/>
              <w:bottom w:val="nil"/>
              <w:right w:val="nil"/>
            </w:tcBorders>
            <w:shd w:val="clear" w:color="auto" w:fill="FFFFFF"/>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部门：罗山县董寨国家级自然保护区管理局</w:t>
            </w:r>
          </w:p>
        </w:tc>
        <w:tc>
          <w:tcPr>
            <w:tcW w:w="1150" w:type="dxa"/>
            <w:tcBorders>
              <w:top w:val="nil"/>
              <w:left w:val="nil"/>
              <w:bottom w:val="single" w:color="000000" w:sz="8" w:space="0"/>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51" w:type="dxa"/>
            <w:tcBorders>
              <w:top w:val="nil"/>
              <w:left w:val="nil"/>
              <w:bottom w:val="single" w:color="000000" w:sz="8" w:space="0"/>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51" w:type="dxa"/>
            <w:tcBorders>
              <w:top w:val="nil"/>
              <w:left w:val="nil"/>
              <w:bottom w:val="single" w:color="000000" w:sz="8" w:space="0"/>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51" w:type="dxa"/>
            <w:tcBorders>
              <w:top w:val="nil"/>
              <w:left w:val="nil"/>
              <w:bottom w:val="single" w:color="000000" w:sz="8" w:space="0"/>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51" w:type="dxa"/>
            <w:tcBorders>
              <w:top w:val="nil"/>
              <w:left w:val="nil"/>
              <w:bottom w:val="single" w:color="000000" w:sz="8" w:space="0"/>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51"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151" w:type="dxa"/>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预算数</w:t>
            </w:r>
          </w:p>
        </w:tc>
        <w:tc>
          <w:tcPr>
            <w:tcW w:w="6906" w:type="dxa"/>
            <w:gridSpan w:val="6"/>
            <w:tcBorders>
              <w:top w:val="single" w:color="000000" w:sz="8" w:space="0"/>
              <w:left w:val="single" w:color="000000" w:sz="4" w:space="0"/>
              <w:bottom w:val="single" w:color="000000" w:sz="4" w:space="0"/>
              <w:right w:val="single" w:color="000000" w:sz="8"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合计</w:t>
            </w:r>
          </w:p>
        </w:tc>
        <w:tc>
          <w:tcPr>
            <w:tcW w:w="11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公务接待费</w:t>
            </w:r>
          </w:p>
        </w:tc>
        <w:tc>
          <w:tcPr>
            <w:tcW w:w="1151"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合计</w:t>
            </w:r>
          </w:p>
        </w:tc>
        <w:tc>
          <w:tcPr>
            <w:tcW w:w="11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150" w:type="dxa"/>
            <w:tcBorders>
              <w:top w:val="nil"/>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小计</w:t>
            </w:r>
          </w:p>
        </w:tc>
        <w:tc>
          <w:tcPr>
            <w:tcW w:w="1150" w:type="dxa"/>
            <w:tcBorders>
              <w:top w:val="nil"/>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公务用车购置费</w:t>
            </w:r>
          </w:p>
        </w:tc>
        <w:tc>
          <w:tcPr>
            <w:tcW w:w="1151" w:type="dxa"/>
            <w:tcBorders>
              <w:top w:val="nil"/>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公务用车运行费</w:t>
            </w:r>
          </w:p>
        </w:tc>
        <w:tc>
          <w:tcPr>
            <w:tcW w:w="1150"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151" w:type="dxa"/>
            <w:vMerge w:val="continue"/>
            <w:tcBorders>
              <w:top w:val="single" w:color="000000" w:sz="4" w:space="0"/>
              <w:left w:val="nil"/>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151"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151" w:type="dxa"/>
            <w:tcBorders>
              <w:top w:val="nil"/>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小计</w:t>
            </w:r>
          </w:p>
        </w:tc>
        <w:tc>
          <w:tcPr>
            <w:tcW w:w="1151" w:type="dxa"/>
            <w:tcBorders>
              <w:top w:val="nil"/>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公务用车购置费</w:t>
            </w:r>
          </w:p>
        </w:tc>
        <w:tc>
          <w:tcPr>
            <w:tcW w:w="1151" w:type="dxa"/>
            <w:tcBorders>
              <w:top w:val="nil"/>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公务用车运行费</w:t>
            </w:r>
          </w:p>
        </w:tc>
        <w:tc>
          <w:tcPr>
            <w:tcW w:w="1151" w:type="dxa"/>
            <w:vMerge w:val="continue"/>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4</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5</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6</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7</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8</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9</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10</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11</w:t>
            </w:r>
          </w:p>
        </w:tc>
        <w:tc>
          <w:tcPr>
            <w:tcW w:w="1151"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20</w:t>
            </w:r>
          </w:p>
        </w:tc>
        <w:tc>
          <w:tcPr>
            <w:tcW w:w="1149" w:type="dxa"/>
            <w:tcBorders>
              <w:top w:val="single" w:color="000000" w:sz="4" w:space="0"/>
              <w:left w:val="single" w:color="000000" w:sz="4" w:space="0"/>
              <w:bottom w:val="single" w:color="000000" w:sz="8"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0</w:t>
            </w:r>
          </w:p>
        </w:tc>
        <w:tc>
          <w:tcPr>
            <w:tcW w:w="1150" w:type="dxa"/>
            <w:tcBorders>
              <w:top w:val="single" w:color="000000" w:sz="4" w:space="0"/>
              <w:left w:val="single" w:color="000000" w:sz="4" w:space="0"/>
              <w:bottom w:val="single" w:color="000000" w:sz="8"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15</w:t>
            </w:r>
          </w:p>
        </w:tc>
        <w:tc>
          <w:tcPr>
            <w:tcW w:w="1150" w:type="dxa"/>
            <w:tcBorders>
              <w:top w:val="single" w:color="000000" w:sz="4" w:space="0"/>
              <w:left w:val="single" w:color="000000" w:sz="4" w:space="0"/>
              <w:bottom w:val="single" w:color="000000" w:sz="8"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0</w:t>
            </w:r>
          </w:p>
        </w:tc>
        <w:tc>
          <w:tcPr>
            <w:tcW w:w="1151" w:type="dxa"/>
            <w:tcBorders>
              <w:top w:val="single" w:color="000000" w:sz="4" w:space="0"/>
              <w:left w:val="single" w:color="000000" w:sz="4" w:space="0"/>
              <w:bottom w:val="single" w:color="000000" w:sz="8"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15</w:t>
            </w:r>
          </w:p>
        </w:tc>
        <w:tc>
          <w:tcPr>
            <w:tcW w:w="1150" w:type="dxa"/>
            <w:tcBorders>
              <w:top w:val="single" w:color="000000" w:sz="4" w:space="0"/>
              <w:left w:val="single" w:color="000000" w:sz="4" w:space="0"/>
              <w:bottom w:val="single" w:color="000000" w:sz="8"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5</w:t>
            </w:r>
          </w:p>
        </w:tc>
        <w:tc>
          <w:tcPr>
            <w:tcW w:w="1151" w:type="dxa"/>
            <w:tcBorders>
              <w:top w:val="single" w:color="000000" w:sz="4" w:space="0"/>
              <w:left w:val="single" w:color="000000" w:sz="4" w:space="0"/>
              <w:bottom w:val="single" w:color="000000" w:sz="8"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17.54</w:t>
            </w:r>
          </w:p>
        </w:tc>
        <w:tc>
          <w:tcPr>
            <w:tcW w:w="1151" w:type="dxa"/>
            <w:tcBorders>
              <w:top w:val="single" w:color="000000" w:sz="4" w:space="0"/>
              <w:left w:val="single" w:color="000000" w:sz="4" w:space="0"/>
              <w:bottom w:val="single" w:color="000000" w:sz="8"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0</w:t>
            </w:r>
          </w:p>
        </w:tc>
        <w:tc>
          <w:tcPr>
            <w:tcW w:w="1151" w:type="dxa"/>
            <w:tcBorders>
              <w:top w:val="single" w:color="000000" w:sz="4" w:space="0"/>
              <w:left w:val="single" w:color="000000" w:sz="4" w:space="0"/>
              <w:bottom w:val="single" w:color="000000" w:sz="8"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13.23</w:t>
            </w:r>
          </w:p>
        </w:tc>
        <w:tc>
          <w:tcPr>
            <w:tcW w:w="1151" w:type="dxa"/>
            <w:tcBorders>
              <w:top w:val="single" w:color="000000" w:sz="4" w:space="0"/>
              <w:left w:val="single" w:color="000000" w:sz="4" w:space="0"/>
              <w:bottom w:val="single" w:color="000000" w:sz="8"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0</w:t>
            </w:r>
          </w:p>
        </w:tc>
        <w:tc>
          <w:tcPr>
            <w:tcW w:w="1151" w:type="dxa"/>
            <w:tcBorders>
              <w:top w:val="single" w:color="000000" w:sz="4" w:space="0"/>
              <w:left w:val="single" w:color="000000" w:sz="4" w:space="0"/>
              <w:bottom w:val="single" w:color="000000" w:sz="8" w:space="0"/>
              <w:right w:val="nil"/>
            </w:tcBorders>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13.23</w:t>
            </w:r>
          </w:p>
        </w:tc>
        <w:tc>
          <w:tcPr>
            <w:tcW w:w="1151" w:type="dxa"/>
            <w:tcBorders>
              <w:top w:val="single" w:color="000000" w:sz="4" w:space="0"/>
              <w:left w:val="single" w:color="000000" w:sz="4" w:space="0"/>
              <w:bottom w:val="single" w:color="000000" w:sz="8" w:space="0"/>
              <w:right w:val="single" w:color="000000" w:sz="8" w:space="0"/>
            </w:tcBorders>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2"/>
                <w:sz w:val="20"/>
                <w:szCs w:val="20"/>
                <w:lang w:val="en-US" w:eastAsia="zh-CN" w:bidi="ar-SA"/>
              </w:rPr>
              <w:t>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注：本表反映部门本年度“三公”经费支出预决算情况。其中，</w:t>
            </w:r>
            <w:r>
              <w:rPr>
                <w:rStyle w:val="15"/>
                <w:rFonts w:ascii="宋体" w:hAnsi="宋体" w:eastAsia="宋体"/>
                <w:i w:val="0"/>
                <w:color w:val="000000"/>
                <w:kern w:val="2"/>
                <w:sz w:val="20"/>
                <w:szCs w:val="20"/>
                <w:lang w:val="en-US" w:eastAsia="zh-CN"/>
              </w:rPr>
              <w:t>预算数为“三公”经费年初预算数，决算数是包括当年一般公共预算财政拨款和以前年度结转资金安排的实际支出。</w:t>
            </w:r>
            <w:r>
              <w:rPr>
                <w:rStyle w:val="11"/>
                <w:rFonts w:ascii="宋体" w:hAnsi="宋体" w:eastAsia="宋体"/>
                <w:i w:val="0"/>
                <w:color w:val="000000"/>
                <w:kern w:val="0"/>
                <w:sz w:val="20"/>
                <w:szCs w:val="20"/>
                <w:lang w:val="en-US" w:eastAsia="zh-CN"/>
              </w:rPr>
              <w:t>本表金额转换为万元时，因四舍五入可能存在尾差。</w:t>
            </w:r>
          </w:p>
        </w:tc>
      </w:tr>
    </w:tbl>
    <w:p>
      <w:pPr>
        <w:jc w:val="both"/>
        <w:textAlignment w:val="baseline"/>
        <w:rPr>
          <w:rStyle w:val="11"/>
          <w:rFonts w:ascii="仿宋_GB2312" w:hAnsi="仿宋_GB2312" w:eastAsia="仿宋_GB2312"/>
          <w:color w:val="000000"/>
          <w:kern w:val="2"/>
          <w:sz w:val="32"/>
          <w:szCs w:val="32"/>
          <w:lang w:val="en-US" w:eastAsia="zh-CN" w:bidi="ar-SA"/>
        </w:rPr>
        <w:sectPr>
          <w:pgSz w:w="16838" w:h="11906"/>
          <w:pgMar w:top="2098" w:right="1474" w:bottom="1984" w:left="1587" w:header="720" w:footer="720" w:gutter="0"/>
          <w:lnNumType w:countBy="0"/>
          <w:cols w:space="720" w:num="1"/>
          <w:vAlign w:val="top"/>
          <w:docGrid w:type="lines" w:linePitch="312" w:charSpace="0"/>
        </w:sectPr>
      </w:pPr>
    </w:p>
    <w:tbl>
      <w:tblPr>
        <w:tblStyle w:val="5"/>
        <w:tblW w:w="1398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vAlign w:val="center"/>
          </w:tcPr>
          <w:p>
            <w:pPr>
              <w:widowControl/>
              <w:jc w:val="center"/>
              <w:textAlignment w:val="center"/>
              <w:rPr>
                <w:rStyle w:val="11"/>
                <w:rFonts w:ascii="华文中宋" w:hAnsi="华文中宋" w:eastAsia="华文中宋"/>
                <w:i w:val="0"/>
                <w:color w:val="000000"/>
                <w:kern w:val="2"/>
                <w:sz w:val="32"/>
                <w:szCs w:val="32"/>
                <w:lang w:val="en-US" w:eastAsia="zh-CN" w:bidi="ar-SA"/>
              </w:rPr>
            </w:pPr>
            <w:r>
              <w:rPr>
                <w:rStyle w:val="11"/>
                <w:rFonts w:ascii="华文中宋" w:hAnsi="华文中宋" w:eastAsia="华文中宋"/>
                <w:i w:val="0"/>
                <w:color w:val="000000"/>
                <w:kern w:val="0"/>
                <w:sz w:val="32"/>
                <w:szCs w:val="32"/>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536" w:type="dxa"/>
            <w:tcBorders>
              <w:top w:val="nil"/>
              <w:left w:val="nil"/>
              <w:bottom w:val="nil"/>
              <w:right w:val="nil"/>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276" w:type="dxa"/>
            <w:tcBorders>
              <w:top w:val="nil"/>
              <w:left w:val="nil"/>
              <w:bottom w:val="nil"/>
              <w:right w:val="nil"/>
            </w:tcBorders>
            <w:shd w:val="clear" w:color="auto" w:fill="FFFFFF"/>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26"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7"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33" w:type="dxa"/>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50" w:type="dxa"/>
            <w:gridSpan w:val="4"/>
            <w:tcBorders>
              <w:top w:val="nil"/>
              <w:left w:val="nil"/>
              <w:bottom w:val="nil"/>
              <w:right w:val="nil"/>
            </w:tcBorders>
            <w:shd w:val="clear" w:color="auto" w:fill="FFFFFF"/>
            <w:noWrap/>
            <w:vAlign w:val="center"/>
          </w:tcPr>
          <w:p>
            <w:pPr>
              <w:jc w:val="both"/>
              <w:textAlignment w:val="baseline"/>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部门：罗山县董寨国家级自然保护区管理局</w:t>
            </w:r>
          </w:p>
        </w:tc>
        <w:tc>
          <w:tcPr>
            <w:tcW w:w="1926" w:type="dxa"/>
            <w:tcBorders>
              <w:top w:val="nil"/>
              <w:left w:val="nil"/>
              <w:bottom w:val="single" w:color="000000" w:sz="8" w:space="0"/>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nil"/>
              <w:left w:val="nil"/>
              <w:bottom w:val="single" w:color="000000" w:sz="8" w:space="0"/>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7" w:type="dxa"/>
            <w:tcBorders>
              <w:top w:val="nil"/>
              <w:left w:val="nil"/>
              <w:bottom w:val="single" w:color="000000" w:sz="8" w:space="0"/>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nil"/>
              <w:left w:val="nil"/>
              <w:bottom w:val="nil"/>
              <w:right w:val="nil"/>
            </w:tcBorders>
            <w:shd w:val="clear" w:color="auto" w:fill="FFFFFF"/>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33" w:type="dxa"/>
            <w:tcBorders>
              <w:top w:val="nil"/>
              <w:left w:val="nil"/>
              <w:bottom w:val="nil"/>
              <w:right w:val="nil"/>
            </w:tcBorders>
            <w:shd w:val="clear" w:color="auto" w:fill="FFFFFF"/>
            <w:noWrap/>
            <w:vAlign w:val="center"/>
          </w:tcPr>
          <w:p>
            <w:pPr>
              <w:widowControl/>
              <w:jc w:val="righ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项    目</w:t>
            </w:r>
          </w:p>
        </w:tc>
        <w:tc>
          <w:tcPr>
            <w:tcW w:w="1926" w:type="dxa"/>
            <w:vMerge w:val="restart"/>
            <w:tcBorders>
              <w:top w:val="single" w:color="000000" w:sz="8" w:space="0"/>
              <w:left w:val="single" w:color="000000" w:sz="4" w:space="0"/>
              <w:bottom w:val="single" w:color="000000" w:sz="4" w:space="0"/>
              <w:right w:val="nil"/>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本年收入</w:t>
            </w:r>
          </w:p>
        </w:tc>
        <w:tc>
          <w:tcPr>
            <w:tcW w:w="5779" w:type="dxa"/>
            <w:gridSpan w:val="3"/>
            <w:tcBorders>
              <w:top w:val="single" w:color="000000" w:sz="8" w:space="0"/>
              <w:left w:val="single" w:color="000000" w:sz="4" w:space="0"/>
              <w:bottom w:val="single" w:color="000000" w:sz="4" w:space="0"/>
              <w:right w:val="nil"/>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0"/>
                <w:sz w:val="20"/>
                <w:szCs w:val="20"/>
                <w:lang w:val="en-US" w:eastAsia="zh-CN"/>
              </w:rPr>
            </w:pPr>
            <w:r>
              <w:rPr>
                <w:rStyle w:val="11"/>
                <w:rFonts w:ascii="宋体" w:hAnsi="宋体" w:eastAsia="宋体"/>
                <w:i w:val="0"/>
                <w:color w:val="000000"/>
                <w:kern w:val="0"/>
                <w:sz w:val="20"/>
                <w:szCs w:val="20"/>
                <w:lang w:val="en-US" w:eastAsia="zh-CN"/>
              </w:rPr>
              <w:t>功能分类</w:t>
            </w:r>
          </w:p>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科目名称</w:t>
            </w:r>
          </w:p>
        </w:tc>
        <w:tc>
          <w:tcPr>
            <w:tcW w:w="1926" w:type="dxa"/>
            <w:vMerge w:val="continue"/>
            <w:tcBorders>
              <w:top w:val="single" w:color="000000" w:sz="8" w:space="0"/>
              <w:left w:val="single" w:color="000000" w:sz="4" w:space="0"/>
              <w:bottom w:val="single" w:color="000000" w:sz="4" w:space="0"/>
              <w:right w:val="nil"/>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26" w:type="dxa"/>
            <w:vMerge w:val="continue"/>
            <w:tcBorders>
              <w:top w:val="single" w:color="000000" w:sz="8"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2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小计</w:t>
            </w:r>
          </w:p>
        </w:tc>
        <w:tc>
          <w:tcPr>
            <w:tcW w:w="1927"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基本支出</w:t>
            </w:r>
          </w:p>
        </w:tc>
        <w:tc>
          <w:tcPr>
            <w:tcW w:w="1926" w:type="dxa"/>
            <w:vMerge w:val="restart"/>
            <w:tcBorders>
              <w:top w:val="nil"/>
              <w:left w:val="single" w:color="000000" w:sz="4" w:space="0"/>
              <w:bottom w:val="single" w:color="000000" w:sz="4" w:space="0"/>
              <w:right w:val="nil"/>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26" w:type="dxa"/>
            <w:vMerge w:val="continue"/>
            <w:tcBorders>
              <w:top w:val="single" w:color="000000" w:sz="8" w:space="0"/>
              <w:left w:val="single" w:color="000000" w:sz="4" w:space="0"/>
              <w:bottom w:val="single" w:color="000000" w:sz="4" w:space="0"/>
              <w:right w:val="nil"/>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26" w:type="dxa"/>
            <w:vMerge w:val="continue"/>
            <w:tcBorders>
              <w:top w:val="single" w:color="000000" w:sz="8"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26" w:type="dxa"/>
            <w:vMerge w:val="continue"/>
            <w:tcBorders>
              <w:top w:val="nil"/>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27" w:type="dxa"/>
            <w:vMerge w:val="continue"/>
            <w:tcBorders>
              <w:top w:val="nil"/>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26" w:type="dxa"/>
            <w:vMerge w:val="continue"/>
            <w:tcBorders>
              <w:top w:val="nil"/>
              <w:left w:val="single" w:color="000000" w:sz="4" w:space="0"/>
              <w:bottom w:val="single" w:color="000000" w:sz="4" w:space="0"/>
              <w:right w:val="nil"/>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33" w:type="dxa"/>
            <w:vMerge w:val="continue"/>
            <w:tcBorders>
              <w:top w:val="single" w:color="000000" w:sz="8" w:space="0"/>
              <w:left w:val="single" w:color="000000" w:sz="4" w:space="0"/>
              <w:bottom w:val="single" w:color="000000" w:sz="4" w:space="0"/>
              <w:right w:val="single" w:color="000000" w:sz="8"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26" w:type="dxa"/>
            <w:vMerge w:val="continue"/>
            <w:tcBorders>
              <w:top w:val="single" w:color="000000" w:sz="8" w:space="0"/>
              <w:left w:val="single" w:color="000000" w:sz="4" w:space="0"/>
              <w:bottom w:val="single" w:color="000000" w:sz="4" w:space="0"/>
              <w:right w:val="nil"/>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26" w:type="dxa"/>
            <w:vMerge w:val="continue"/>
            <w:tcBorders>
              <w:top w:val="single" w:color="000000" w:sz="8"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26" w:type="dxa"/>
            <w:vMerge w:val="continue"/>
            <w:tcBorders>
              <w:top w:val="nil"/>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27" w:type="dxa"/>
            <w:vMerge w:val="continue"/>
            <w:tcBorders>
              <w:top w:val="nil"/>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26" w:type="dxa"/>
            <w:vMerge w:val="continue"/>
            <w:tcBorders>
              <w:top w:val="nil"/>
              <w:left w:val="single" w:color="000000" w:sz="4" w:space="0"/>
              <w:bottom w:val="single" w:color="000000" w:sz="4" w:space="0"/>
              <w:right w:val="nil"/>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33" w:type="dxa"/>
            <w:vMerge w:val="continue"/>
            <w:tcBorders>
              <w:top w:val="single" w:color="000000" w:sz="8" w:space="0"/>
              <w:left w:val="single" w:color="000000" w:sz="4" w:space="0"/>
              <w:bottom w:val="single" w:color="000000" w:sz="4" w:space="0"/>
              <w:right w:val="single" w:color="000000" w:sz="8"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栏次</w:t>
            </w:r>
          </w:p>
        </w:tc>
        <w:tc>
          <w:tcPr>
            <w:tcW w:w="1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1</w:t>
            </w:r>
          </w:p>
        </w:tc>
        <w:tc>
          <w:tcPr>
            <w:tcW w:w="1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2</w:t>
            </w:r>
          </w:p>
        </w:tc>
        <w:tc>
          <w:tcPr>
            <w:tcW w:w="1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4</w:t>
            </w:r>
          </w:p>
        </w:tc>
        <w:tc>
          <w:tcPr>
            <w:tcW w:w="1926" w:type="dxa"/>
            <w:tcBorders>
              <w:top w:val="single" w:color="000000" w:sz="4" w:space="0"/>
              <w:left w:val="single" w:color="000000" w:sz="4" w:space="0"/>
              <w:bottom w:val="single" w:color="000000" w:sz="4" w:space="0"/>
              <w:right w:val="nil"/>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5</w:t>
            </w:r>
          </w:p>
        </w:tc>
        <w:tc>
          <w:tcPr>
            <w:tcW w:w="1933"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vAlign w:val="center"/>
          </w:tcPr>
          <w:p>
            <w:pPr>
              <w:widowControl/>
              <w:jc w:val="center"/>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合计</w:t>
            </w:r>
          </w:p>
        </w:tc>
        <w:tc>
          <w:tcPr>
            <w:tcW w:w="192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nil"/>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933" w:type="dxa"/>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nil"/>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33" w:type="dxa"/>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nil"/>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33" w:type="dxa"/>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nil"/>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33" w:type="dxa"/>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nil"/>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33" w:type="dxa"/>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4" w:space="0"/>
              <w:right w:val="nil"/>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33" w:type="dxa"/>
            <w:tcBorders>
              <w:top w:val="single" w:color="000000" w:sz="4" w:space="0"/>
              <w:left w:val="single" w:color="000000" w:sz="4" w:space="0"/>
              <w:bottom w:val="single" w:color="000000" w:sz="4" w:space="0"/>
              <w:right w:val="single" w:color="000000" w:sz="8"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vAlign w:val="center"/>
          </w:tcPr>
          <w:p>
            <w:pPr>
              <w:jc w:val="center"/>
              <w:textAlignment w:val="baseline"/>
              <w:rPr>
                <w:rStyle w:val="11"/>
                <w:rFonts w:ascii="宋体" w:hAnsi="宋体" w:eastAsia="宋体"/>
                <w:i w:val="0"/>
                <w:color w:val="000000"/>
                <w:kern w:val="2"/>
                <w:sz w:val="20"/>
                <w:szCs w:val="20"/>
                <w:lang w:val="en-US" w:eastAsia="zh-CN" w:bidi="ar-SA"/>
              </w:rPr>
            </w:pPr>
          </w:p>
        </w:tc>
        <w:tc>
          <w:tcPr>
            <w:tcW w:w="1276" w:type="dxa"/>
            <w:tcBorders>
              <w:top w:val="single" w:color="000000" w:sz="4" w:space="0"/>
              <w:left w:val="single" w:color="000000" w:sz="4" w:space="0"/>
              <w:bottom w:val="single" w:color="000000" w:sz="8"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8"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8"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8"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7" w:type="dxa"/>
            <w:tcBorders>
              <w:top w:val="single" w:color="000000" w:sz="4" w:space="0"/>
              <w:left w:val="single" w:color="000000" w:sz="4" w:space="0"/>
              <w:bottom w:val="single" w:color="000000" w:sz="8" w:space="0"/>
              <w:right w:val="single" w:color="000000" w:sz="4"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26" w:type="dxa"/>
            <w:tcBorders>
              <w:top w:val="single" w:color="000000" w:sz="4" w:space="0"/>
              <w:left w:val="single" w:color="000000" w:sz="4" w:space="0"/>
              <w:bottom w:val="single" w:color="000000" w:sz="8" w:space="0"/>
              <w:right w:val="nil"/>
            </w:tcBorders>
            <w:vAlign w:val="center"/>
          </w:tcPr>
          <w:p>
            <w:pPr>
              <w:jc w:val="both"/>
              <w:textAlignment w:val="baseline"/>
              <w:rPr>
                <w:rStyle w:val="11"/>
                <w:rFonts w:ascii="宋体" w:hAnsi="宋体" w:eastAsia="宋体"/>
                <w:i w:val="0"/>
                <w:color w:val="000000"/>
                <w:kern w:val="2"/>
                <w:sz w:val="20"/>
                <w:szCs w:val="20"/>
                <w:lang w:val="en-US" w:eastAsia="zh-CN" w:bidi="ar-SA"/>
              </w:rPr>
            </w:pPr>
          </w:p>
        </w:tc>
        <w:tc>
          <w:tcPr>
            <w:tcW w:w="1933" w:type="dxa"/>
            <w:tcBorders>
              <w:top w:val="single" w:color="000000" w:sz="4" w:space="0"/>
              <w:left w:val="single" w:color="000000" w:sz="4" w:space="0"/>
              <w:bottom w:val="single" w:color="000000" w:sz="8" w:space="0"/>
              <w:right w:val="single" w:color="000000" w:sz="8" w:space="0"/>
            </w:tcBorders>
            <w:vAlign w:val="center"/>
          </w:tcPr>
          <w:p>
            <w:pPr>
              <w:jc w:val="both"/>
              <w:textAlignment w:val="baseline"/>
              <w:rPr>
                <w:rStyle w:val="11"/>
                <w:rFonts w:ascii="宋体" w:hAnsi="宋体" w:eastAsia="宋体"/>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vAlign w:val="center"/>
          </w:tcPr>
          <w:p>
            <w:pPr>
              <w:widowControl/>
              <w:jc w:val="left"/>
              <w:textAlignment w:val="center"/>
              <w:rPr>
                <w:rStyle w:val="11"/>
                <w:rFonts w:ascii="宋体" w:hAnsi="宋体" w:eastAsia="宋体"/>
                <w:i w:val="0"/>
                <w:color w:val="000000"/>
                <w:kern w:val="2"/>
                <w:sz w:val="20"/>
                <w:szCs w:val="20"/>
                <w:lang w:val="en-US" w:eastAsia="zh-CN" w:bidi="ar-SA"/>
              </w:rPr>
            </w:pPr>
            <w:r>
              <w:rPr>
                <w:rStyle w:val="11"/>
                <w:rFonts w:ascii="宋体" w:hAnsi="宋体" w:eastAsia="宋体"/>
                <w:i w:val="0"/>
                <w:color w:val="000000"/>
                <w:kern w:val="0"/>
                <w:sz w:val="20"/>
                <w:szCs w:val="20"/>
                <w:lang w:val="en-US" w:eastAsia="zh-CN"/>
              </w:rPr>
              <w:t>注：本表反映部门本年度政府性基金预算财政拨款收入、支出及结转和结余情况。</w:t>
            </w:r>
          </w:p>
        </w:tc>
      </w:tr>
    </w:tbl>
    <w:p>
      <w:pPr>
        <w:jc w:val="center"/>
        <w:textAlignment w:val="baseline"/>
        <w:rPr>
          <w:rStyle w:val="11"/>
          <w:rFonts w:ascii="仿宋_GB2312" w:hAnsi="仿宋_GB2312" w:eastAsia="仿宋_GB2312"/>
          <w:color w:val="000000"/>
          <w:kern w:val="2"/>
          <w:sz w:val="32"/>
          <w:szCs w:val="32"/>
          <w:highlight w:val="yellow"/>
          <w:lang w:val="en-US" w:eastAsia="zh-CN" w:bidi="ar-SA"/>
        </w:rPr>
        <w:sectPr>
          <w:pgSz w:w="16838" w:h="11906"/>
          <w:pgMar w:top="1800" w:right="1440" w:bottom="1800" w:left="1440" w:header="720" w:footer="720" w:gutter="0"/>
          <w:lnNumType w:countBy="0"/>
          <w:cols w:space="720" w:num="1"/>
          <w:vAlign w:val="top"/>
          <w:docGrid w:type="lines" w:linePitch="312" w:charSpace="0"/>
        </w:sectPr>
      </w:pPr>
      <w:r>
        <w:rPr>
          <w:rStyle w:val="11"/>
          <w:rFonts w:ascii="仿宋_GB2312" w:hAnsi="仿宋_GB2312" w:eastAsia="仿宋_GB2312"/>
          <w:color w:val="000000"/>
          <w:kern w:val="2"/>
          <w:sz w:val="32"/>
          <w:szCs w:val="32"/>
          <w:highlight w:val="yellow"/>
          <w:lang w:val="en-US" w:eastAsia="zh-CN" w:bidi="ar-SA"/>
        </w:rPr>
        <w:t>说明：我部门没有政府性基金收入，也没有使用政府性基金安排的支出，故本表无数据。</w:t>
      </w: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widowControl/>
        <w:jc w:val="left"/>
        <w:textAlignment w:val="baseline"/>
        <w:rPr>
          <w:rStyle w:val="11"/>
          <w:rFonts w:ascii="黑体" w:hAnsi="宋体" w:eastAsia="黑体"/>
          <w:color w:val="000000"/>
          <w:kern w:val="0"/>
          <w:sz w:val="28"/>
          <w:szCs w:val="28"/>
          <w:lang w:val="en-US" w:eastAsia="zh-CN" w:bidi="ar-SA"/>
        </w:rPr>
      </w:pPr>
    </w:p>
    <w:p>
      <w:pPr>
        <w:jc w:val="center"/>
        <w:textAlignment w:val="baseline"/>
        <w:rPr>
          <w:rStyle w:val="11"/>
          <w:rFonts w:ascii="黑体" w:hAnsi="黑体" w:eastAsia="黑体"/>
          <w:color w:val="000000"/>
          <w:kern w:val="2"/>
          <w:sz w:val="48"/>
          <w:szCs w:val="48"/>
          <w:lang w:val="en-US" w:eastAsia="zh-CN" w:bidi="ar-SA"/>
        </w:rPr>
      </w:pPr>
      <w:r>
        <w:rPr>
          <w:rStyle w:val="11"/>
          <w:rFonts w:ascii="黑体" w:hAnsi="黑体" w:eastAsia="黑体"/>
          <w:color w:val="000000"/>
          <w:kern w:val="2"/>
          <w:sz w:val="48"/>
          <w:szCs w:val="48"/>
          <w:lang w:val="en-US" w:eastAsia="zh-CN" w:bidi="ar-SA"/>
        </w:rPr>
        <w:t>第三部分  2018年度部门决算情况说明</w:t>
      </w:r>
    </w:p>
    <w:p>
      <w:pPr>
        <w:widowControl/>
        <w:jc w:val="left"/>
        <w:textAlignment w:val="baseline"/>
        <w:rPr>
          <w:rStyle w:val="11"/>
          <w:rFonts w:ascii="黑体" w:hAnsi="黑体" w:eastAsia="黑体"/>
          <w:color w:val="000000"/>
          <w:kern w:val="2"/>
          <w:sz w:val="48"/>
          <w:szCs w:val="48"/>
          <w:lang w:val="en-US" w:eastAsia="zh-CN" w:bidi="ar-SA"/>
        </w:rPr>
        <w:sectPr>
          <w:pgSz w:w="11906" w:h="16838"/>
          <w:pgMar w:top="1440" w:right="1800" w:bottom="1440" w:left="1800" w:header="720" w:footer="720" w:gutter="0"/>
          <w:lnNumType w:countBy="0"/>
          <w:cols w:space="720" w:num="1"/>
          <w:vAlign w:val="top"/>
          <w:docGrid w:type="lines" w:linePitch="312" w:charSpace="0"/>
        </w:sectPr>
      </w:pP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黑体" w:hAnsi="黑体" w:eastAsia="黑体"/>
          <w:color w:val="000000"/>
          <w:kern w:val="2"/>
          <w:sz w:val="32"/>
          <w:szCs w:val="32"/>
          <w:lang w:val="en-US" w:eastAsia="zh-CN" w:bidi="ar-SA"/>
        </w:rPr>
      </w:pPr>
      <w:r>
        <w:rPr>
          <w:rStyle w:val="11"/>
          <w:rFonts w:ascii="黑体" w:hAnsi="黑体" w:eastAsia="黑体"/>
          <w:color w:val="000000"/>
          <w:kern w:val="2"/>
          <w:sz w:val="32"/>
          <w:szCs w:val="32"/>
          <w:lang w:val="en-US" w:eastAsia="zh-CN" w:bidi="ar-SA"/>
        </w:rPr>
        <w:t>一、收入支出决算总体情况说明</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黑体" w:hAnsi="黑体" w:eastAsia="黑体"/>
          <w:color w:val="000000"/>
          <w:kern w:val="2"/>
          <w:sz w:val="32"/>
          <w:szCs w:val="32"/>
          <w:lang w:val="en-US" w:eastAsia="zh-CN" w:bidi="ar-SA"/>
        </w:rPr>
      </w:pPr>
      <w:r>
        <w:rPr>
          <w:rStyle w:val="11"/>
          <w:rFonts w:ascii="仿宋_GB2312" w:hAnsi="仿宋_GB2312" w:eastAsia="仿宋_GB2312"/>
          <w:color w:val="000000"/>
          <w:kern w:val="2"/>
          <w:sz w:val="32"/>
          <w:szCs w:val="32"/>
          <w:lang w:val="en-US" w:eastAsia="zh-CN" w:bidi="ar-SA"/>
        </w:rPr>
        <w:t>2018年度收、支总计均为2090.86万元。与上年度相比，收、支总计各增加581.51万元，增长38.53%。主要原因是2018年单位进行了改革，纳入财政全额供给，纳入决算的人员及办公经费大幅增加。</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黑体" w:hAnsi="黑体" w:eastAsia="黑体"/>
          <w:color w:val="000000"/>
          <w:kern w:val="2"/>
          <w:sz w:val="32"/>
          <w:szCs w:val="32"/>
          <w:lang w:val="en-US" w:eastAsia="zh-CN" w:bidi="ar-SA"/>
        </w:rPr>
      </w:pPr>
      <w:r>
        <w:rPr>
          <w:rStyle w:val="11"/>
          <w:rFonts w:ascii="黑体" w:hAnsi="黑体" w:eastAsia="黑体"/>
          <w:color w:val="000000"/>
          <w:kern w:val="2"/>
          <w:sz w:val="32"/>
          <w:szCs w:val="32"/>
          <w:lang w:val="en-US" w:eastAsia="zh-CN" w:bidi="ar-SA"/>
        </w:rPr>
        <w:t>二、收入决算情况说明</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黑体" w:hAnsi="黑体" w:eastAsia="黑体"/>
          <w:color w:val="000000"/>
          <w:kern w:val="2"/>
          <w:sz w:val="32"/>
          <w:szCs w:val="32"/>
          <w:lang w:val="en-US" w:eastAsia="zh-CN" w:bidi="ar-SA"/>
        </w:rPr>
      </w:pPr>
      <w:r>
        <w:rPr>
          <w:rStyle w:val="11"/>
          <w:rFonts w:ascii="仿宋_GB2312" w:hAnsi="仿宋_GB2312" w:eastAsia="仿宋_GB2312"/>
          <w:color w:val="000000"/>
          <w:kern w:val="2"/>
          <w:sz w:val="32"/>
          <w:szCs w:val="32"/>
          <w:lang w:val="en-US" w:eastAsia="zh-CN" w:bidi="ar-SA"/>
        </w:rPr>
        <w:t>2018年度收入合计2090.86万元，其中：财政拨款收入2090.86万元，占100%。</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黑体" w:hAnsi="黑体" w:eastAsia="黑体"/>
          <w:color w:val="000000"/>
          <w:kern w:val="2"/>
          <w:sz w:val="32"/>
          <w:szCs w:val="32"/>
          <w:lang w:val="en-US" w:eastAsia="zh-CN" w:bidi="ar-SA"/>
        </w:rPr>
      </w:pPr>
      <w:r>
        <w:rPr>
          <w:rStyle w:val="11"/>
          <w:rFonts w:ascii="黑体" w:hAnsi="黑体" w:eastAsia="黑体"/>
          <w:color w:val="000000"/>
          <w:kern w:val="2"/>
          <w:sz w:val="32"/>
          <w:szCs w:val="32"/>
          <w:lang w:val="en-US" w:eastAsia="zh-CN" w:bidi="ar-SA"/>
        </w:rPr>
        <w:t>三、支出决算情况说明</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ascii="仿宋_GB2312" w:hAnsi="仿宋_GB2312" w:eastAsia="仿宋_GB2312"/>
          <w:color w:val="000000"/>
          <w:kern w:val="2"/>
          <w:sz w:val="32"/>
          <w:szCs w:val="32"/>
          <w:lang w:val="en-US" w:eastAsia="zh-CN" w:bidi="ar-SA"/>
        </w:rPr>
        <w:t>2018年度支出合计2090.86万元，其中：基本支出1213.31万元，占58.03%；项目支出877.55万元，占41.97%。</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黑体" w:hAnsi="黑体" w:eastAsia="黑体"/>
          <w:color w:val="000000"/>
          <w:kern w:val="2"/>
          <w:sz w:val="32"/>
          <w:szCs w:val="32"/>
          <w:lang w:val="en-US" w:eastAsia="zh-CN" w:bidi="ar-SA"/>
        </w:rPr>
      </w:pPr>
      <w:r>
        <w:rPr>
          <w:rStyle w:val="11"/>
          <w:rFonts w:ascii="黑体" w:hAnsi="黑体" w:eastAsia="黑体"/>
          <w:color w:val="000000"/>
          <w:kern w:val="2"/>
          <w:sz w:val="32"/>
          <w:szCs w:val="32"/>
          <w:lang w:val="en-US" w:eastAsia="zh-CN" w:bidi="ar-SA"/>
        </w:rPr>
        <w:t>四、财政拨款收入支出决算总体情况说明</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ascii="仿宋_GB2312" w:hAnsi="仿宋_GB2312" w:eastAsia="仿宋_GB2312"/>
          <w:color w:val="000000"/>
          <w:kern w:val="2"/>
          <w:sz w:val="32"/>
          <w:szCs w:val="32"/>
          <w:lang w:val="en-US" w:eastAsia="zh-CN" w:bidi="ar-SA"/>
        </w:rPr>
        <w:t>2018年度财政拨款收、支总计均为2090.86万元。与上年度相比，财政拨款收、支总计各增加581.51万元，增长38.53%。主要原因是2018年单位进行了改革，纳入财政全额供给，纳入决算的人员及办公经费大幅增加。。</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黑体" w:hAnsi="黑体" w:eastAsia="黑体"/>
          <w:color w:val="000000"/>
          <w:kern w:val="2"/>
          <w:sz w:val="32"/>
          <w:szCs w:val="32"/>
          <w:lang w:val="en-US" w:eastAsia="zh-CN" w:bidi="ar-SA"/>
        </w:rPr>
      </w:pPr>
      <w:r>
        <w:rPr>
          <w:rStyle w:val="11"/>
          <w:rFonts w:ascii="黑体" w:hAnsi="黑体" w:eastAsia="黑体"/>
          <w:color w:val="000000"/>
          <w:kern w:val="2"/>
          <w:sz w:val="32"/>
          <w:szCs w:val="32"/>
          <w:lang w:val="en-US" w:eastAsia="zh-CN" w:bidi="ar-SA"/>
        </w:rPr>
        <w:t>五、一般公共预算财政拨款支出决算情况说明</w:t>
      </w:r>
    </w:p>
    <w:p>
      <w:pPr>
        <w:widowControl/>
        <w:kinsoku/>
        <w:wordWrap/>
        <w:overflowPunct/>
        <w:autoSpaceDE/>
        <w:autoSpaceDN/>
        <w:bidi w:val="0"/>
        <w:spacing w:line="590" w:lineRule="exact"/>
        <w:ind w:left="0" w:leftChars="0" w:right="0" w:rightChars="0" w:firstLine="643" w:firstLineChars="200"/>
        <w:jc w:val="both"/>
        <w:textAlignment w:val="auto"/>
        <w:rPr>
          <w:rStyle w:val="11"/>
          <w:rFonts w:ascii="楷体_GB2312" w:hAnsi="楷体_GB2312" w:eastAsia="楷体_GB2312" w:cs="楷体_GB2312"/>
          <w:b/>
          <w:bCs/>
          <w:color w:val="000000"/>
          <w:kern w:val="2"/>
          <w:sz w:val="32"/>
          <w:szCs w:val="32"/>
          <w:lang w:val="en-US" w:eastAsia="zh-CN" w:bidi="ar-SA"/>
        </w:rPr>
      </w:pPr>
      <w:r>
        <w:rPr>
          <w:rStyle w:val="11"/>
          <w:rFonts w:ascii="楷体_GB2312" w:hAnsi="楷体_GB2312" w:eastAsia="楷体_GB2312" w:cs="楷体_GB2312"/>
          <w:b/>
          <w:bCs/>
          <w:color w:val="000000"/>
          <w:kern w:val="2"/>
          <w:sz w:val="32"/>
          <w:szCs w:val="32"/>
          <w:lang w:val="en-US" w:eastAsia="zh-CN" w:bidi="ar-SA"/>
        </w:rPr>
        <w:t>（一）总体情况。</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ascii="仿宋_GB2312" w:hAnsi="仿宋_GB2312" w:eastAsia="仿宋_GB2312"/>
          <w:color w:val="000000"/>
          <w:kern w:val="2"/>
          <w:sz w:val="32"/>
          <w:szCs w:val="32"/>
          <w:lang w:val="en-US" w:eastAsia="zh-CN" w:bidi="ar-SA"/>
        </w:rPr>
        <w:t>2018年度一般公共预算财政拨款支出2090.86万元，占本年支出合计的100%。与上年度相比，一般公共预算财政拨款支出增加581.51万元，增长38.53%。主要原因是2018年单位进行了改革，纳入财政全额供给，纳入决算的人员及办公经费大幅增加。</w:t>
      </w:r>
    </w:p>
    <w:p>
      <w:pPr>
        <w:widowControl/>
        <w:kinsoku/>
        <w:wordWrap/>
        <w:overflowPunct/>
        <w:autoSpaceDE/>
        <w:autoSpaceDN/>
        <w:bidi w:val="0"/>
        <w:spacing w:line="590" w:lineRule="exact"/>
        <w:ind w:left="0" w:leftChars="0" w:right="0" w:rightChars="0" w:firstLine="643" w:firstLineChars="200"/>
        <w:jc w:val="both"/>
        <w:textAlignment w:val="auto"/>
        <w:rPr>
          <w:rStyle w:val="11"/>
          <w:rFonts w:ascii="楷体_GB2312" w:hAnsi="楷体_GB2312" w:eastAsia="楷体_GB2312" w:cs="楷体_GB2312"/>
          <w:b/>
          <w:bCs/>
          <w:color w:val="000000"/>
          <w:kern w:val="2"/>
          <w:sz w:val="32"/>
          <w:szCs w:val="32"/>
          <w:lang w:val="en-US" w:eastAsia="zh-CN" w:bidi="ar-SA"/>
        </w:rPr>
      </w:pPr>
      <w:r>
        <w:rPr>
          <w:rStyle w:val="11"/>
          <w:rFonts w:ascii="楷体_GB2312" w:hAnsi="楷体_GB2312" w:eastAsia="楷体_GB2312" w:cs="楷体_GB2312"/>
          <w:b/>
          <w:bCs/>
          <w:color w:val="000000"/>
          <w:kern w:val="2"/>
          <w:sz w:val="32"/>
          <w:szCs w:val="32"/>
          <w:lang w:val="en-US" w:eastAsia="zh-CN" w:bidi="ar-SA"/>
        </w:rPr>
        <w:t>（二）结构情况。</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ascii="仿宋_GB2312" w:hAnsi="仿宋_GB2312" w:eastAsia="仿宋_GB2312"/>
          <w:color w:val="000000"/>
          <w:kern w:val="2"/>
          <w:sz w:val="32"/>
          <w:szCs w:val="32"/>
          <w:lang w:val="en-US" w:eastAsia="zh-CN" w:bidi="ar-SA"/>
        </w:rPr>
        <w:t>2018年度一般公共预算财政拨款支出2090.86万元，主要用于以下方面：社会保障和就业支出100.7万元，占4.82%；医疗卫生与计划生育支出39.95万元，占1.91%；农林水支出1890.28万元，占90.41%；住房保障支出59.93万元，占2.87%。</w:t>
      </w:r>
    </w:p>
    <w:p>
      <w:pPr>
        <w:widowControl/>
        <w:kinsoku/>
        <w:wordWrap/>
        <w:overflowPunct/>
        <w:autoSpaceDE/>
        <w:autoSpaceDN/>
        <w:bidi w:val="0"/>
        <w:spacing w:line="590" w:lineRule="exact"/>
        <w:ind w:left="0" w:leftChars="0" w:right="0" w:rightChars="0" w:firstLine="643" w:firstLineChars="200"/>
        <w:jc w:val="both"/>
        <w:textAlignment w:val="auto"/>
        <w:rPr>
          <w:rStyle w:val="11"/>
          <w:rFonts w:ascii="楷体_GB2312" w:hAnsi="楷体_GB2312" w:eastAsia="楷体_GB2312" w:cs="楷体_GB2312"/>
          <w:b/>
          <w:bCs/>
          <w:color w:val="000000"/>
          <w:kern w:val="2"/>
          <w:sz w:val="32"/>
          <w:szCs w:val="32"/>
          <w:lang w:val="en-US" w:eastAsia="zh-CN" w:bidi="ar-SA"/>
        </w:rPr>
      </w:pPr>
      <w:r>
        <w:rPr>
          <w:rStyle w:val="11"/>
          <w:rFonts w:ascii="楷体_GB2312" w:hAnsi="楷体_GB2312" w:eastAsia="楷体_GB2312" w:cs="楷体_GB2312"/>
          <w:b/>
          <w:bCs/>
          <w:color w:val="000000"/>
          <w:kern w:val="2"/>
          <w:sz w:val="32"/>
          <w:szCs w:val="32"/>
          <w:lang w:val="en-US" w:eastAsia="zh-CN" w:bidi="ar-SA"/>
        </w:rPr>
        <w:t>（三）具体情况。</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ascii="仿宋_GB2312" w:hAnsi="仿宋_GB2312" w:eastAsia="仿宋_GB2312"/>
          <w:color w:val="000000"/>
          <w:kern w:val="2"/>
          <w:sz w:val="32"/>
          <w:szCs w:val="32"/>
          <w:lang w:val="en-US" w:eastAsia="zh-CN" w:bidi="ar-SA"/>
        </w:rPr>
        <w:t>2018年度一般公共预算财政拨款支出年初预算为849.35万元，支出决算为2090.86万元，完成年初预算的246.17%。其中：</w:t>
      </w:r>
    </w:p>
    <w:p>
      <w:pPr>
        <w:widowControl/>
        <w:numPr>
          <w:ilvl w:val="0"/>
          <w:numId w:val="2"/>
        </w:numPr>
        <w:kinsoku/>
        <w:wordWrap/>
        <w:overflowPunct/>
        <w:autoSpaceDE/>
        <w:autoSpaceDN/>
        <w:bidi w:val="0"/>
        <w:spacing w:line="590" w:lineRule="exact"/>
        <w:ind w:left="0" w:leftChars="0" w:right="0" w:rightChars="0" w:firstLine="643"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hint="eastAsia" w:ascii="仿宋_GB2312" w:hAnsi="仿宋_GB2312" w:eastAsia="仿宋_GB2312" w:cs="仿宋_GB2312"/>
          <w:b/>
          <w:bCs/>
          <w:color w:val="000000"/>
          <w:kern w:val="2"/>
          <w:sz w:val="32"/>
          <w:szCs w:val="32"/>
          <w:lang w:val="en-US" w:eastAsia="zh-CN" w:bidi="ar-SA"/>
        </w:rPr>
        <w:t>社会保障和就业（类）行政事业单位离退休（款）</w:t>
      </w:r>
      <w:r>
        <w:rPr>
          <w:rStyle w:val="11"/>
          <w:rFonts w:ascii="仿宋_GB2312" w:hAnsi="仿宋_GB2312" w:eastAsia="仿宋_GB2312" w:cs="仿宋_GB2312"/>
          <w:b/>
          <w:bCs/>
          <w:color w:val="000000"/>
          <w:kern w:val="2"/>
          <w:sz w:val="32"/>
          <w:szCs w:val="32"/>
          <w:lang w:val="en-US" w:eastAsia="zh-CN" w:bidi="ar-SA"/>
        </w:rPr>
        <w:t>机关事业单位基本养老保险缴费</w:t>
      </w:r>
      <w:r>
        <w:rPr>
          <w:rStyle w:val="11"/>
          <w:rFonts w:hint="eastAsia" w:ascii="仿宋_GB2312" w:hAnsi="仿宋_GB2312" w:eastAsia="仿宋_GB2312" w:cs="仿宋_GB2312"/>
          <w:b/>
          <w:bCs/>
          <w:color w:val="000000"/>
          <w:kern w:val="2"/>
          <w:sz w:val="32"/>
          <w:szCs w:val="32"/>
          <w:lang w:val="en-US" w:eastAsia="zh-CN" w:bidi="ar-SA"/>
        </w:rPr>
        <w:t>（项）</w:t>
      </w:r>
      <w:r>
        <w:rPr>
          <w:rStyle w:val="11"/>
          <w:rFonts w:ascii="仿宋_GB2312" w:hAnsi="仿宋_GB2312" w:eastAsia="仿宋_GB2312" w:cs="仿宋_GB2312"/>
          <w:b/>
          <w:bCs/>
          <w:color w:val="000000"/>
          <w:kern w:val="2"/>
          <w:sz w:val="32"/>
          <w:szCs w:val="32"/>
          <w:lang w:val="en-US" w:eastAsia="zh-CN" w:bidi="ar-SA"/>
        </w:rPr>
        <w:t>支出</w:t>
      </w:r>
      <w:r>
        <w:rPr>
          <w:rStyle w:val="11"/>
          <w:rFonts w:ascii="仿宋_GB2312" w:hAnsi="仿宋_GB2312" w:eastAsia="仿宋_GB2312"/>
          <w:color w:val="000000"/>
          <w:kern w:val="2"/>
          <w:sz w:val="32"/>
          <w:szCs w:val="32"/>
          <w:lang w:val="en-US" w:eastAsia="zh-CN" w:bidi="ar-SA"/>
        </w:rPr>
        <w:t>年初预算为99.89万元，支出决算为99.89万元，完成年初预算的100%。</w:t>
      </w:r>
    </w:p>
    <w:p>
      <w:pPr>
        <w:widowControl/>
        <w:numPr>
          <w:ilvl w:val="0"/>
          <w:numId w:val="2"/>
        </w:numPr>
        <w:kinsoku/>
        <w:wordWrap/>
        <w:overflowPunct/>
        <w:autoSpaceDE/>
        <w:autoSpaceDN/>
        <w:bidi w:val="0"/>
        <w:spacing w:line="590" w:lineRule="exact"/>
        <w:ind w:left="0" w:leftChars="0" w:right="0" w:rightChars="0" w:firstLine="643"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hint="eastAsia" w:ascii="仿宋_GB2312" w:hAnsi="仿宋_GB2312" w:eastAsia="仿宋_GB2312" w:cs="仿宋_GB2312"/>
          <w:b/>
          <w:bCs/>
          <w:color w:val="000000"/>
          <w:kern w:val="2"/>
          <w:sz w:val="32"/>
          <w:szCs w:val="32"/>
          <w:lang w:val="en-US" w:eastAsia="zh-CN" w:bidi="ar-SA"/>
        </w:rPr>
        <w:t>社会保障和就业（类）退役和安置（款）</w:t>
      </w:r>
      <w:r>
        <w:rPr>
          <w:rStyle w:val="11"/>
          <w:rFonts w:ascii="仿宋_GB2312" w:hAnsi="仿宋_GB2312" w:eastAsia="仿宋_GB2312" w:cs="仿宋_GB2312"/>
          <w:b/>
          <w:bCs/>
          <w:color w:val="000000"/>
          <w:kern w:val="2"/>
          <w:sz w:val="32"/>
          <w:szCs w:val="32"/>
          <w:lang w:val="en-US" w:eastAsia="zh-CN" w:bidi="ar-SA"/>
        </w:rPr>
        <w:t>退役士兵安置</w:t>
      </w:r>
      <w:r>
        <w:rPr>
          <w:rStyle w:val="11"/>
          <w:rFonts w:hint="eastAsia" w:ascii="仿宋_GB2312" w:hAnsi="仿宋_GB2312" w:eastAsia="仿宋_GB2312" w:cs="仿宋_GB2312"/>
          <w:b/>
          <w:bCs/>
          <w:color w:val="000000"/>
          <w:kern w:val="2"/>
          <w:sz w:val="32"/>
          <w:szCs w:val="32"/>
          <w:lang w:val="en-US" w:eastAsia="zh-CN" w:bidi="ar-SA"/>
        </w:rPr>
        <w:t>（项）</w:t>
      </w:r>
      <w:r>
        <w:rPr>
          <w:rStyle w:val="11"/>
          <w:rFonts w:ascii="仿宋_GB2312" w:hAnsi="仿宋_GB2312" w:eastAsia="仿宋_GB2312" w:cs="仿宋_GB2312"/>
          <w:b/>
          <w:bCs/>
          <w:color w:val="000000"/>
          <w:kern w:val="2"/>
          <w:sz w:val="32"/>
          <w:szCs w:val="32"/>
          <w:lang w:val="en-US" w:eastAsia="zh-CN" w:bidi="ar-SA"/>
        </w:rPr>
        <w:t>支出</w:t>
      </w:r>
      <w:r>
        <w:rPr>
          <w:rStyle w:val="11"/>
          <w:rFonts w:ascii="仿宋_GB2312" w:hAnsi="仿宋_GB2312" w:eastAsia="仿宋_GB2312"/>
          <w:color w:val="000000"/>
          <w:kern w:val="2"/>
          <w:sz w:val="32"/>
          <w:szCs w:val="32"/>
          <w:lang w:val="en-US" w:eastAsia="zh-CN" w:bidi="ar-SA"/>
        </w:rPr>
        <w:t>年初预算为0万元，支出决算为0.81万元。决算数与年初预算数存在差异的主要原因是年初未将退役士兵生活安置费列入预算。</w:t>
      </w:r>
    </w:p>
    <w:p>
      <w:pPr>
        <w:widowControl/>
        <w:kinsoku/>
        <w:wordWrap/>
        <w:overflowPunct/>
        <w:autoSpaceDE/>
        <w:autoSpaceDN/>
        <w:bidi w:val="0"/>
        <w:spacing w:line="590" w:lineRule="exact"/>
        <w:ind w:left="0" w:leftChars="0" w:right="0" w:rightChars="0" w:firstLine="643" w:firstLineChars="200"/>
        <w:jc w:val="both"/>
        <w:textAlignment w:val="auto"/>
        <w:rPr>
          <w:rStyle w:val="11"/>
          <w:rFonts w:hint="default" w:ascii="仿宋_GB2312" w:hAnsi="仿宋_GB2312" w:eastAsia="仿宋_GB2312" w:cs="仿宋_GB2312"/>
          <w:b/>
          <w:bCs/>
          <w:color w:val="000000"/>
          <w:kern w:val="2"/>
          <w:sz w:val="32"/>
          <w:szCs w:val="32"/>
          <w:lang w:val="en-US" w:eastAsia="zh-CN" w:bidi="ar-SA"/>
        </w:rPr>
      </w:pPr>
      <w:r>
        <w:rPr>
          <w:rStyle w:val="11"/>
          <w:rFonts w:hint="eastAsia" w:ascii="仿宋_GB2312" w:hAnsi="仿宋_GB2312" w:eastAsia="仿宋_GB2312" w:cs="仿宋_GB2312"/>
          <w:b/>
          <w:bCs/>
          <w:color w:val="000000"/>
          <w:kern w:val="2"/>
          <w:sz w:val="32"/>
          <w:szCs w:val="32"/>
          <w:lang w:val="en-US" w:eastAsia="zh-CN" w:bidi="ar-SA"/>
        </w:rPr>
        <w:t>3、医疗卫生与计划生育（类）行政事业单位医疗（款）事业单位医疗（项）</w:t>
      </w:r>
      <w:r>
        <w:rPr>
          <w:rStyle w:val="11"/>
          <w:rFonts w:hint="eastAsia" w:ascii="仿宋_GB2312" w:hAnsi="仿宋_GB2312" w:eastAsia="仿宋_GB2312" w:cs="仿宋_GB2312"/>
          <w:b w:val="0"/>
          <w:bCs w:val="0"/>
          <w:color w:val="000000"/>
          <w:kern w:val="2"/>
          <w:sz w:val="32"/>
          <w:szCs w:val="32"/>
          <w:lang w:val="en-US" w:eastAsia="zh-CN" w:bidi="ar-SA"/>
        </w:rPr>
        <w:t>年初预算支出39.95万元，支出决算为39.95万元，完成年初预算的100%。</w:t>
      </w:r>
    </w:p>
    <w:p>
      <w:pPr>
        <w:widowControl/>
        <w:kinsoku/>
        <w:wordWrap/>
        <w:overflowPunct/>
        <w:autoSpaceDE/>
        <w:autoSpaceDN/>
        <w:bidi w:val="0"/>
        <w:spacing w:line="590" w:lineRule="exact"/>
        <w:ind w:left="0" w:leftChars="0" w:right="0" w:rightChars="0" w:firstLine="643"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hint="eastAsia" w:ascii="仿宋_GB2312" w:hAnsi="仿宋_GB2312" w:eastAsia="仿宋_GB2312" w:cs="仿宋_GB2312"/>
          <w:b/>
          <w:bCs/>
          <w:color w:val="000000"/>
          <w:kern w:val="2"/>
          <w:sz w:val="32"/>
          <w:szCs w:val="32"/>
          <w:lang w:val="en-US" w:eastAsia="zh-CN" w:bidi="ar-SA"/>
        </w:rPr>
        <w:t>4</w:t>
      </w:r>
      <w:r>
        <w:rPr>
          <w:rStyle w:val="11"/>
          <w:rFonts w:ascii="仿宋_GB2312" w:hAnsi="仿宋_GB2312" w:eastAsia="仿宋_GB2312" w:cs="仿宋_GB2312"/>
          <w:b/>
          <w:bCs/>
          <w:color w:val="000000"/>
          <w:kern w:val="2"/>
          <w:sz w:val="32"/>
          <w:szCs w:val="32"/>
          <w:lang w:val="en-US" w:eastAsia="zh-CN" w:bidi="ar-SA"/>
        </w:rPr>
        <w:t>、</w:t>
      </w:r>
      <w:r>
        <w:rPr>
          <w:rStyle w:val="11"/>
          <w:rFonts w:hint="eastAsia" w:ascii="仿宋_GB2312" w:hAnsi="仿宋_GB2312" w:eastAsia="仿宋_GB2312" w:cs="仿宋_GB2312"/>
          <w:b/>
          <w:bCs/>
          <w:color w:val="000000"/>
          <w:kern w:val="2"/>
          <w:sz w:val="32"/>
          <w:szCs w:val="32"/>
          <w:lang w:val="en-US" w:eastAsia="zh-CN" w:bidi="ar-SA"/>
        </w:rPr>
        <w:t>农林水支出（类）林业（款）</w:t>
      </w:r>
      <w:r>
        <w:rPr>
          <w:rStyle w:val="11"/>
          <w:rFonts w:ascii="仿宋_GB2312" w:hAnsi="仿宋_GB2312" w:eastAsia="仿宋_GB2312" w:cs="仿宋_GB2312"/>
          <w:b/>
          <w:bCs/>
          <w:color w:val="000000"/>
          <w:kern w:val="2"/>
          <w:sz w:val="32"/>
          <w:szCs w:val="32"/>
          <w:lang w:val="en-US" w:eastAsia="zh-CN" w:bidi="ar-SA"/>
        </w:rPr>
        <w:t>林业自然保护区</w:t>
      </w:r>
      <w:r>
        <w:rPr>
          <w:rStyle w:val="11"/>
          <w:rFonts w:hint="eastAsia" w:ascii="仿宋_GB2312" w:hAnsi="仿宋_GB2312" w:eastAsia="仿宋_GB2312" w:cs="仿宋_GB2312"/>
          <w:b/>
          <w:bCs/>
          <w:color w:val="000000"/>
          <w:kern w:val="2"/>
          <w:sz w:val="32"/>
          <w:szCs w:val="32"/>
          <w:lang w:val="en-US" w:eastAsia="zh-CN" w:bidi="ar-SA"/>
        </w:rPr>
        <w:t>（项）</w:t>
      </w:r>
      <w:r>
        <w:rPr>
          <w:rStyle w:val="11"/>
          <w:rFonts w:ascii="仿宋_GB2312" w:hAnsi="仿宋_GB2312" w:eastAsia="仿宋_GB2312" w:cs="仿宋_GB2312"/>
          <w:b/>
          <w:bCs/>
          <w:color w:val="000000"/>
          <w:kern w:val="2"/>
          <w:sz w:val="32"/>
          <w:szCs w:val="32"/>
          <w:lang w:val="en-US" w:eastAsia="zh-CN" w:bidi="ar-SA"/>
        </w:rPr>
        <w:t>支出</w:t>
      </w:r>
      <w:r>
        <w:rPr>
          <w:rStyle w:val="11"/>
          <w:rFonts w:ascii="仿宋_GB2312" w:hAnsi="仿宋_GB2312" w:eastAsia="仿宋_GB2312"/>
          <w:color w:val="000000"/>
          <w:kern w:val="2"/>
          <w:sz w:val="32"/>
          <w:szCs w:val="32"/>
          <w:lang w:val="en-US" w:eastAsia="zh-CN" w:bidi="ar-SA"/>
        </w:rPr>
        <w:t>年初预算为648.77万元，支出决算为1890.28万元。完成年初预算的291.36%。决算数与年初预算数存在巨大差异的主要原因是年初未将项目支出列入预算。</w:t>
      </w:r>
    </w:p>
    <w:p>
      <w:pPr>
        <w:widowControl/>
        <w:kinsoku/>
        <w:wordWrap/>
        <w:overflowPunct/>
        <w:autoSpaceDE/>
        <w:autoSpaceDN/>
        <w:bidi w:val="0"/>
        <w:spacing w:line="590" w:lineRule="exact"/>
        <w:ind w:left="0" w:leftChars="0" w:right="0" w:rightChars="0" w:firstLine="643"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hint="eastAsia" w:ascii="仿宋_GB2312" w:hAnsi="仿宋_GB2312" w:eastAsia="仿宋_GB2312" w:cs="仿宋_GB2312"/>
          <w:b/>
          <w:bCs/>
          <w:color w:val="000000"/>
          <w:kern w:val="2"/>
          <w:sz w:val="32"/>
          <w:szCs w:val="32"/>
          <w:lang w:val="en-US" w:eastAsia="zh-CN" w:bidi="ar-SA"/>
        </w:rPr>
        <w:t>5、住房保障（类）住房改革（款）</w:t>
      </w:r>
      <w:r>
        <w:rPr>
          <w:rStyle w:val="11"/>
          <w:rFonts w:ascii="仿宋_GB2312" w:hAnsi="仿宋_GB2312" w:eastAsia="仿宋_GB2312" w:cs="仿宋_GB2312"/>
          <w:b/>
          <w:bCs/>
          <w:color w:val="000000"/>
          <w:kern w:val="2"/>
          <w:sz w:val="32"/>
          <w:szCs w:val="32"/>
          <w:lang w:val="en-US" w:eastAsia="zh-CN" w:bidi="ar-SA"/>
        </w:rPr>
        <w:t>住房公积金</w:t>
      </w:r>
      <w:r>
        <w:rPr>
          <w:rStyle w:val="11"/>
          <w:rFonts w:hint="eastAsia" w:ascii="仿宋_GB2312" w:hAnsi="仿宋_GB2312" w:eastAsia="仿宋_GB2312" w:cs="仿宋_GB2312"/>
          <w:b/>
          <w:bCs/>
          <w:color w:val="000000"/>
          <w:kern w:val="2"/>
          <w:sz w:val="32"/>
          <w:szCs w:val="32"/>
          <w:lang w:val="en-US" w:eastAsia="zh-CN" w:bidi="ar-SA"/>
        </w:rPr>
        <w:t>（项）</w:t>
      </w:r>
      <w:r>
        <w:rPr>
          <w:rStyle w:val="11"/>
          <w:rFonts w:ascii="仿宋_GB2312" w:hAnsi="仿宋_GB2312" w:eastAsia="仿宋_GB2312" w:cs="仿宋_GB2312"/>
          <w:b/>
          <w:bCs/>
          <w:color w:val="000000"/>
          <w:kern w:val="2"/>
          <w:sz w:val="32"/>
          <w:szCs w:val="32"/>
          <w:lang w:val="en-US" w:eastAsia="zh-CN" w:bidi="ar-SA"/>
        </w:rPr>
        <w:t>支出</w:t>
      </w:r>
      <w:r>
        <w:rPr>
          <w:rStyle w:val="11"/>
          <w:rFonts w:ascii="仿宋_GB2312" w:hAnsi="仿宋_GB2312" w:eastAsia="仿宋_GB2312"/>
          <w:color w:val="000000"/>
          <w:kern w:val="2"/>
          <w:sz w:val="32"/>
          <w:szCs w:val="32"/>
          <w:lang w:val="en-US" w:eastAsia="zh-CN" w:bidi="ar-SA"/>
        </w:rPr>
        <w:t>年初预算数为59.93万元，支出决算数为59.93万元，完成年初预算的100%。</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黑体" w:hAnsi="黑体" w:eastAsia="黑体"/>
          <w:color w:val="000000"/>
          <w:kern w:val="2"/>
          <w:sz w:val="32"/>
          <w:szCs w:val="32"/>
          <w:lang w:val="en-US" w:eastAsia="zh-CN" w:bidi="ar-SA"/>
        </w:rPr>
      </w:pPr>
      <w:r>
        <w:rPr>
          <w:rStyle w:val="11"/>
          <w:rFonts w:ascii="黑体" w:hAnsi="黑体" w:eastAsia="黑体"/>
          <w:color w:val="000000"/>
          <w:kern w:val="2"/>
          <w:sz w:val="32"/>
          <w:szCs w:val="32"/>
          <w:lang w:val="en-US" w:eastAsia="zh-CN" w:bidi="ar-SA"/>
        </w:rPr>
        <w:t>六、一般公共预算财政拨款基本支出决算情况说明</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ascii="仿宋_GB2312" w:hAnsi="仿宋_GB2312" w:eastAsia="仿宋_GB2312"/>
          <w:color w:val="000000"/>
          <w:kern w:val="2"/>
          <w:sz w:val="32"/>
          <w:szCs w:val="32"/>
          <w:lang w:val="en-US" w:eastAsia="zh-CN" w:bidi="ar-SA"/>
        </w:rPr>
        <w:t>2018年度一般公共预算财政拨款基本支出1213.31万元。其中：人员经费939.83万元，主要包括：基本工资、津贴补贴、奖金、绩效工资、机关事业单位基本养老保险缴费、职业年金缴费、职工基本医疗保险缴费、退役费、抚恤金、生活补助、住房公积金、其他对个人和家庭的补助支出等；公用经费273.48万元，主要包括：办公费、咨询费、水费、电费、邮电费、差旅费、维修（护）费、租赁费、会议费、培训费、公务接待费、专用材料费、劳务费、工会经费、福利费、公务用车运行维护费、其他商品和服务支出、办公设备购置等。</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黑体" w:hAnsi="黑体" w:eastAsia="黑体"/>
          <w:color w:val="000000"/>
          <w:kern w:val="2"/>
          <w:sz w:val="32"/>
          <w:szCs w:val="32"/>
          <w:lang w:val="en-US" w:eastAsia="zh-CN" w:bidi="ar-SA"/>
        </w:rPr>
      </w:pPr>
      <w:r>
        <w:rPr>
          <w:rStyle w:val="11"/>
          <w:rFonts w:ascii="黑体" w:hAnsi="黑体" w:eastAsia="黑体"/>
          <w:color w:val="000000"/>
          <w:kern w:val="2"/>
          <w:sz w:val="32"/>
          <w:szCs w:val="32"/>
          <w:lang w:val="en-US" w:eastAsia="zh-CN" w:bidi="ar-SA"/>
        </w:rPr>
        <w:t>七、一般公共预算财政拨款“三公”经费支出决算情况说明</w:t>
      </w:r>
    </w:p>
    <w:p>
      <w:pPr>
        <w:widowControl/>
        <w:kinsoku/>
        <w:wordWrap/>
        <w:overflowPunct/>
        <w:autoSpaceDE/>
        <w:autoSpaceDN/>
        <w:bidi w:val="0"/>
        <w:spacing w:line="590" w:lineRule="exact"/>
        <w:ind w:left="0" w:leftChars="0" w:right="0" w:rightChars="0" w:firstLine="643" w:firstLineChars="200"/>
        <w:jc w:val="both"/>
        <w:textAlignment w:val="auto"/>
        <w:rPr>
          <w:rStyle w:val="11"/>
          <w:rFonts w:ascii="楷体_GB2312" w:hAnsi="楷体_GB2312" w:eastAsia="楷体_GB2312" w:cs="楷体_GB2312"/>
          <w:b/>
          <w:bCs/>
          <w:color w:val="000000"/>
          <w:kern w:val="2"/>
          <w:sz w:val="32"/>
          <w:szCs w:val="32"/>
          <w:lang w:val="en-US" w:eastAsia="zh-CN" w:bidi="ar-SA"/>
        </w:rPr>
      </w:pPr>
      <w:r>
        <w:rPr>
          <w:rStyle w:val="11"/>
          <w:rFonts w:ascii="楷体_GB2312" w:hAnsi="楷体_GB2312" w:eastAsia="楷体_GB2312" w:cs="楷体_GB2312"/>
          <w:b/>
          <w:bCs/>
          <w:color w:val="000000"/>
          <w:kern w:val="2"/>
          <w:sz w:val="32"/>
          <w:szCs w:val="32"/>
          <w:lang w:val="en-US" w:eastAsia="zh-CN" w:bidi="ar-SA"/>
        </w:rPr>
        <w:t>（一）“三公”经费财政拨款支出决算总体情况说明。</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ascii="仿宋_GB2312" w:hAnsi="仿宋_GB2312" w:eastAsia="仿宋_GB2312"/>
          <w:color w:val="000000"/>
          <w:kern w:val="2"/>
          <w:sz w:val="32"/>
          <w:szCs w:val="32"/>
          <w:lang w:val="en-US" w:eastAsia="zh-CN" w:bidi="ar-SA"/>
        </w:rPr>
        <w:t>2018年度“三公”经费财政拨款支出预算为20万元，支出决算为17.54万元，完成预算的87.7%。2018年度“三公”经费支出决算数与预算数存在差异的主要原因是公务用车运行经费压缩了1.77万元，公务接待费压缩了0.69万元。</w:t>
      </w:r>
    </w:p>
    <w:p>
      <w:pPr>
        <w:widowControl/>
        <w:kinsoku/>
        <w:wordWrap/>
        <w:overflowPunct/>
        <w:autoSpaceDE/>
        <w:autoSpaceDN/>
        <w:bidi w:val="0"/>
        <w:spacing w:line="590" w:lineRule="exact"/>
        <w:ind w:left="0" w:leftChars="0" w:right="0" w:rightChars="0" w:firstLine="643" w:firstLineChars="200"/>
        <w:jc w:val="both"/>
        <w:textAlignment w:val="auto"/>
        <w:rPr>
          <w:rStyle w:val="11"/>
          <w:rFonts w:ascii="楷体_GB2312" w:hAnsi="楷体_GB2312" w:eastAsia="楷体_GB2312" w:cs="楷体_GB2312"/>
          <w:b/>
          <w:bCs/>
          <w:color w:val="000000"/>
          <w:kern w:val="2"/>
          <w:sz w:val="32"/>
          <w:szCs w:val="32"/>
          <w:lang w:val="en-US" w:eastAsia="zh-CN" w:bidi="ar-SA"/>
        </w:rPr>
      </w:pPr>
      <w:r>
        <w:rPr>
          <w:rStyle w:val="11"/>
          <w:rFonts w:ascii="楷体_GB2312" w:hAnsi="楷体_GB2312" w:eastAsia="楷体_GB2312" w:cs="楷体_GB2312"/>
          <w:b/>
          <w:bCs/>
          <w:color w:val="000000"/>
          <w:kern w:val="2"/>
          <w:sz w:val="32"/>
          <w:szCs w:val="32"/>
          <w:lang w:val="en-US" w:eastAsia="zh-CN" w:bidi="ar-SA"/>
        </w:rPr>
        <w:t>（二）“三公”经费财政拨款支出决算具体情况说明。</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ascii="仿宋_GB2312" w:hAnsi="仿宋_GB2312" w:eastAsia="仿宋_GB2312"/>
          <w:color w:val="000000"/>
          <w:kern w:val="2"/>
          <w:sz w:val="32"/>
          <w:szCs w:val="32"/>
          <w:lang w:val="en-US" w:eastAsia="zh-CN" w:bidi="ar-SA"/>
        </w:rPr>
        <w:t>2018年度“三公”经费财政拨款支出决算中，因公出国（境）费支出决算0万元；公务用车购置及运行费支出决算13.23万元，完成预算的88.2%，占75.43%；公务接待费支出决算4.31万元，完成预算的86.2%，占24.57%。具体情况如下：</w:t>
      </w:r>
    </w:p>
    <w:p>
      <w:pPr>
        <w:widowControl/>
        <w:kinsoku/>
        <w:wordWrap/>
        <w:overflowPunct/>
        <w:autoSpaceDE/>
        <w:autoSpaceDN/>
        <w:bidi w:val="0"/>
        <w:spacing w:line="590" w:lineRule="exact"/>
        <w:ind w:left="0" w:leftChars="0" w:right="0" w:rightChars="0" w:firstLine="643" w:firstLineChars="200"/>
        <w:jc w:val="both"/>
        <w:textAlignment w:val="auto"/>
        <w:rPr>
          <w:rStyle w:val="11"/>
          <w:rFonts w:ascii="仿宋_GB2312" w:hAnsi="仿宋_GB2312" w:eastAsia="仿宋_GB2312"/>
          <w:color w:val="000000"/>
          <w:kern w:val="2"/>
          <w:sz w:val="32"/>
          <w:szCs w:val="32"/>
          <w:u w:val="none"/>
          <w:lang w:val="en-US" w:eastAsia="zh-CN" w:bidi="ar-SA"/>
        </w:rPr>
      </w:pPr>
      <w:r>
        <w:rPr>
          <w:rStyle w:val="11"/>
          <w:rFonts w:ascii="仿宋_GB2312" w:hAnsi="仿宋_GB2312" w:eastAsia="仿宋_GB2312" w:cs="仿宋_GB2312"/>
          <w:b/>
          <w:bCs/>
          <w:color w:val="000000"/>
          <w:kern w:val="2"/>
          <w:sz w:val="32"/>
          <w:szCs w:val="32"/>
          <w:lang w:val="en-US" w:eastAsia="zh-CN" w:bidi="ar-SA"/>
        </w:rPr>
        <w:t>1．因公出国（境）费</w:t>
      </w:r>
      <w:r>
        <w:rPr>
          <w:rStyle w:val="11"/>
          <w:rFonts w:ascii="仿宋_GB2312" w:hAnsi="仿宋_GB2312" w:eastAsia="仿宋_GB2312"/>
          <w:color w:val="000000"/>
          <w:kern w:val="2"/>
          <w:sz w:val="32"/>
          <w:szCs w:val="32"/>
          <w:lang w:val="en-US" w:eastAsia="zh-CN" w:bidi="ar-SA"/>
        </w:rPr>
        <w:t>年初预算为0万元，支出决算为0万元。</w:t>
      </w:r>
      <w:r>
        <w:rPr>
          <w:rStyle w:val="11"/>
          <w:rFonts w:ascii="仿宋_GB2312" w:hAnsi="仿宋_GB2312" w:eastAsia="仿宋_GB2312"/>
          <w:color w:val="000000"/>
          <w:kern w:val="2"/>
          <w:sz w:val="32"/>
          <w:szCs w:val="32"/>
          <w:u w:val="none"/>
          <w:lang w:val="en-US" w:eastAsia="zh-CN" w:bidi="ar-SA"/>
        </w:rPr>
        <w:t>全年因公出国（境）团组0个，累计0人次。</w:t>
      </w:r>
    </w:p>
    <w:p>
      <w:pPr>
        <w:widowControl/>
        <w:kinsoku/>
        <w:wordWrap/>
        <w:overflowPunct/>
        <w:autoSpaceDE/>
        <w:autoSpaceDN/>
        <w:bidi w:val="0"/>
        <w:spacing w:line="590" w:lineRule="exact"/>
        <w:ind w:left="0" w:leftChars="0" w:right="0" w:rightChars="0" w:firstLine="643"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ascii="仿宋_GB2312" w:hAnsi="仿宋_GB2312" w:eastAsia="仿宋_GB2312" w:cs="仿宋_GB2312"/>
          <w:b/>
          <w:bCs/>
          <w:color w:val="000000"/>
          <w:kern w:val="2"/>
          <w:sz w:val="32"/>
          <w:szCs w:val="32"/>
          <w:lang w:val="en-US" w:eastAsia="zh-CN" w:bidi="ar-SA"/>
        </w:rPr>
        <w:t>2．公务用车购置及运行费</w:t>
      </w:r>
      <w:r>
        <w:rPr>
          <w:rStyle w:val="11"/>
          <w:rFonts w:ascii="仿宋_GB2312" w:hAnsi="仿宋_GB2312" w:eastAsia="仿宋_GB2312"/>
          <w:b w:val="0"/>
          <w:bCs w:val="0"/>
          <w:color w:val="000000"/>
          <w:kern w:val="2"/>
          <w:sz w:val="32"/>
          <w:szCs w:val="32"/>
          <w:u w:val="none"/>
          <w:lang w:val="en-US" w:eastAsia="zh-CN" w:bidi="ar-SA"/>
        </w:rPr>
        <w:t>年</w:t>
      </w:r>
      <w:r>
        <w:rPr>
          <w:rStyle w:val="11"/>
          <w:rFonts w:ascii="仿宋_GB2312" w:hAnsi="仿宋_GB2312" w:eastAsia="仿宋_GB2312"/>
          <w:color w:val="000000"/>
          <w:kern w:val="2"/>
          <w:sz w:val="32"/>
          <w:szCs w:val="32"/>
          <w:lang w:val="en-US" w:eastAsia="zh-CN" w:bidi="ar-SA"/>
        </w:rPr>
        <w:t>初预算为15万元，支出决算为13.72万元，完成年初预算的91.47%。决算数与年初预算数存在差异的主要原因是公务用车运行费经过压缩，减少了1.77万元。其中：</w:t>
      </w:r>
    </w:p>
    <w:p>
      <w:pPr>
        <w:widowControl/>
        <w:kinsoku/>
        <w:wordWrap/>
        <w:overflowPunct/>
        <w:autoSpaceDE/>
        <w:autoSpaceDN/>
        <w:bidi w:val="0"/>
        <w:spacing w:line="590" w:lineRule="exact"/>
        <w:ind w:left="0" w:leftChars="0" w:right="0" w:rightChars="0" w:firstLine="643"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ascii="仿宋_GB2312" w:hAnsi="仿宋_GB2312" w:eastAsia="仿宋_GB2312" w:cs="仿宋_GB2312"/>
          <w:b/>
          <w:bCs/>
          <w:color w:val="000000"/>
          <w:kern w:val="2"/>
          <w:sz w:val="32"/>
          <w:szCs w:val="32"/>
          <w:lang w:val="en-US" w:eastAsia="zh-CN" w:bidi="ar-SA"/>
        </w:rPr>
        <w:t>公务用车购置支出</w:t>
      </w:r>
      <w:r>
        <w:rPr>
          <w:rStyle w:val="11"/>
          <w:rFonts w:ascii="仿宋_GB2312" w:hAnsi="仿宋_GB2312" w:eastAsia="仿宋_GB2312"/>
          <w:color w:val="000000"/>
          <w:kern w:val="2"/>
          <w:sz w:val="32"/>
          <w:szCs w:val="32"/>
          <w:lang w:val="en-US" w:eastAsia="zh-CN" w:bidi="ar-SA"/>
        </w:rPr>
        <w:t>为0万元</w:t>
      </w:r>
      <w:r>
        <w:rPr>
          <w:rStyle w:val="11"/>
          <w:rFonts w:hint="eastAsia" w:ascii="仿宋_GB2312" w:hAnsi="仿宋_GB2312" w:eastAsia="仿宋_GB2312"/>
          <w:color w:val="000000"/>
          <w:kern w:val="2"/>
          <w:sz w:val="32"/>
          <w:szCs w:val="32"/>
          <w:lang w:val="en-US" w:eastAsia="zh-CN" w:bidi="ar-SA"/>
        </w:rPr>
        <w:t>，购置数量为0辆</w:t>
      </w:r>
      <w:r>
        <w:rPr>
          <w:rStyle w:val="11"/>
          <w:rFonts w:ascii="仿宋_GB2312" w:hAnsi="仿宋_GB2312" w:eastAsia="仿宋_GB2312"/>
          <w:color w:val="000000"/>
          <w:kern w:val="2"/>
          <w:sz w:val="32"/>
          <w:szCs w:val="32"/>
          <w:lang w:val="en-US" w:eastAsia="zh-CN" w:bidi="ar-SA"/>
        </w:rPr>
        <w:t>。</w:t>
      </w:r>
    </w:p>
    <w:p>
      <w:pPr>
        <w:widowControl/>
        <w:kinsoku/>
        <w:wordWrap/>
        <w:overflowPunct/>
        <w:autoSpaceDE/>
        <w:autoSpaceDN/>
        <w:bidi w:val="0"/>
        <w:spacing w:line="590" w:lineRule="exact"/>
        <w:ind w:left="0" w:leftChars="0" w:right="0" w:rightChars="0" w:firstLine="643"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ascii="仿宋_GB2312" w:hAnsi="仿宋_GB2312" w:eastAsia="仿宋_GB2312" w:cs="仿宋_GB2312"/>
          <w:b/>
          <w:bCs/>
          <w:color w:val="000000"/>
          <w:kern w:val="2"/>
          <w:sz w:val="32"/>
          <w:szCs w:val="32"/>
          <w:lang w:val="en-US" w:eastAsia="zh-CN" w:bidi="ar-SA"/>
        </w:rPr>
        <w:t>公务用车运行支出</w:t>
      </w:r>
      <w:r>
        <w:rPr>
          <w:rStyle w:val="11"/>
          <w:rFonts w:ascii="仿宋_GB2312" w:hAnsi="仿宋_GB2312" w:eastAsia="仿宋_GB2312"/>
          <w:color w:val="000000"/>
          <w:kern w:val="2"/>
          <w:sz w:val="32"/>
          <w:szCs w:val="32"/>
          <w:lang w:val="en-US" w:eastAsia="zh-CN" w:bidi="ar-SA"/>
        </w:rPr>
        <w:t>13.23万元。主要用于车辆燃油费、维修保养、车辆保险及过桥过路费。2018年期末，部门开支财政拨款的公务用车保有量为4辆。</w:t>
      </w:r>
    </w:p>
    <w:p>
      <w:pPr>
        <w:widowControl/>
        <w:numPr>
          <w:ilvl w:val="0"/>
          <w:numId w:val="0"/>
        </w:numPr>
        <w:kinsoku/>
        <w:wordWrap/>
        <w:overflowPunct/>
        <w:autoSpaceDE/>
        <w:autoSpaceDN/>
        <w:bidi w:val="0"/>
        <w:spacing w:line="590" w:lineRule="exact"/>
        <w:ind w:right="0" w:rightChars="0" w:firstLine="643"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ascii="仿宋_GB2312" w:hAnsi="仿宋_GB2312" w:eastAsia="仿宋_GB2312" w:cs="仿宋_GB2312"/>
          <w:b/>
          <w:bCs/>
          <w:color w:val="000000"/>
          <w:kern w:val="2"/>
          <w:sz w:val="32"/>
          <w:szCs w:val="32"/>
          <w:lang w:val="en-US" w:eastAsia="zh-CN" w:bidi="ar-SA"/>
        </w:rPr>
        <w:t>3.公务接待费</w:t>
      </w:r>
      <w:r>
        <w:rPr>
          <w:rStyle w:val="11"/>
          <w:rFonts w:ascii="仿宋_GB2312" w:hAnsi="仿宋_GB2312" w:eastAsia="仿宋_GB2312"/>
          <w:b w:val="0"/>
          <w:bCs w:val="0"/>
          <w:color w:val="000000"/>
          <w:kern w:val="2"/>
          <w:sz w:val="32"/>
          <w:szCs w:val="32"/>
          <w:u w:val="dotDash"/>
          <w:lang w:val="en-US" w:eastAsia="zh-CN" w:bidi="ar-SA"/>
        </w:rPr>
        <w:t>年</w:t>
      </w:r>
      <w:r>
        <w:rPr>
          <w:rStyle w:val="11"/>
          <w:rFonts w:ascii="仿宋_GB2312" w:hAnsi="仿宋_GB2312" w:eastAsia="仿宋_GB2312"/>
          <w:color w:val="000000"/>
          <w:kern w:val="2"/>
          <w:sz w:val="32"/>
          <w:szCs w:val="32"/>
          <w:lang w:val="en-US" w:eastAsia="zh-CN" w:bidi="ar-SA"/>
        </w:rPr>
        <w:t>初预算为5万元，支出决算为4.31万元，完成年初预算的86.2%。决算数与年初预算数存在差异的主要原因是压缩了公务接待费0.69万元。其中：</w:t>
      </w:r>
    </w:p>
    <w:p>
      <w:pPr>
        <w:widowControl/>
        <w:numPr>
          <w:ilvl w:val="0"/>
          <w:numId w:val="0"/>
        </w:numPr>
        <w:kinsoku/>
        <w:wordWrap/>
        <w:overflowPunct/>
        <w:autoSpaceDE/>
        <w:autoSpaceDN/>
        <w:bidi w:val="0"/>
        <w:spacing w:line="590" w:lineRule="exact"/>
        <w:ind w:right="0" w:rightChars="0" w:firstLine="643"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ascii="仿宋_GB2312" w:hAnsi="仿宋_GB2312" w:eastAsia="仿宋_GB2312" w:cs="仿宋_GB2312"/>
          <w:b/>
          <w:bCs/>
          <w:color w:val="000000"/>
          <w:kern w:val="2"/>
          <w:sz w:val="32"/>
          <w:szCs w:val="32"/>
          <w:lang w:val="en-US" w:eastAsia="zh-CN" w:bidi="ar-SA"/>
        </w:rPr>
        <w:t>外宾接待支出</w:t>
      </w:r>
      <w:r>
        <w:rPr>
          <w:rStyle w:val="11"/>
          <w:rFonts w:hint="eastAsia" w:ascii="仿宋_GB2312" w:hAnsi="仿宋_GB2312" w:eastAsia="仿宋_GB2312" w:cs="仿宋_GB2312"/>
          <w:b/>
          <w:bCs/>
          <w:color w:val="000000"/>
          <w:kern w:val="2"/>
          <w:sz w:val="32"/>
          <w:szCs w:val="32"/>
          <w:lang w:val="en-US" w:eastAsia="zh-CN" w:bidi="ar-SA"/>
        </w:rPr>
        <w:t>组团数及人数为0个，支出数</w:t>
      </w:r>
      <w:r>
        <w:rPr>
          <w:rStyle w:val="11"/>
          <w:rFonts w:ascii="仿宋_GB2312" w:hAnsi="仿宋_GB2312" w:eastAsia="仿宋_GB2312"/>
          <w:color w:val="000000"/>
          <w:kern w:val="2"/>
          <w:sz w:val="32"/>
          <w:szCs w:val="32"/>
          <w:lang w:val="en-US" w:eastAsia="zh-CN" w:bidi="ar-SA"/>
        </w:rPr>
        <w:t>0万元。</w:t>
      </w:r>
    </w:p>
    <w:p>
      <w:pPr>
        <w:widowControl/>
        <w:numPr>
          <w:ilvl w:val="0"/>
          <w:numId w:val="0"/>
        </w:numPr>
        <w:kinsoku/>
        <w:wordWrap/>
        <w:overflowPunct/>
        <w:autoSpaceDE/>
        <w:autoSpaceDN/>
        <w:bidi w:val="0"/>
        <w:spacing w:line="590" w:lineRule="exact"/>
        <w:ind w:right="0" w:rightChars="0" w:firstLine="643"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ascii="仿宋_GB2312" w:hAnsi="仿宋_GB2312" w:eastAsia="仿宋_GB2312" w:cs="仿宋_GB2312"/>
          <w:b/>
          <w:bCs/>
          <w:color w:val="000000"/>
          <w:kern w:val="2"/>
          <w:sz w:val="32"/>
          <w:szCs w:val="32"/>
          <w:lang w:val="en-US" w:eastAsia="zh-CN" w:bidi="ar-SA"/>
        </w:rPr>
        <w:t>其他国内公务接待支出</w:t>
      </w:r>
      <w:r>
        <w:rPr>
          <w:rStyle w:val="11"/>
          <w:rFonts w:ascii="仿宋_GB2312" w:hAnsi="仿宋_GB2312" w:eastAsia="仿宋_GB2312"/>
          <w:color w:val="000000"/>
          <w:kern w:val="2"/>
          <w:sz w:val="32"/>
          <w:szCs w:val="32"/>
          <w:lang w:val="en-US" w:eastAsia="zh-CN" w:bidi="ar-SA"/>
        </w:rPr>
        <w:t>4.31万元。主要用于上级政府及业务主管部门公务接待。2018年共接待国内来访团组185个、来宾869人次（不包括陪同人员）。</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黑体" w:hAnsi="黑体" w:eastAsia="黑体"/>
          <w:color w:val="000000"/>
          <w:kern w:val="2"/>
          <w:sz w:val="32"/>
          <w:szCs w:val="32"/>
          <w:lang w:val="en-US" w:eastAsia="zh-CN" w:bidi="ar-SA"/>
        </w:rPr>
      </w:pPr>
      <w:r>
        <w:rPr>
          <w:rStyle w:val="11"/>
          <w:rFonts w:ascii="黑体" w:hAnsi="黑体" w:eastAsia="黑体"/>
          <w:color w:val="000000"/>
          <w:kern w:val="2"/>
          <w:sz w:val="32"/>
          <w:szCs w:val="32"/>
          <w:lang w:val="en-US" w:eastAsia="zh-CN" w:bidi="ar-SA"/>
        </w:rPr>
        <w:t>八、预算绩效情况说明</w:t>
      </w:r>
    </w:p>
    <w:p>
      <w:pPr>
        <w:widowControl/>
        <w:kinsoku/>
        <w:wordWrap/>
        <w:overflowPunct/>
        <w:autoSpaceDE/>
        <w:autoSpaceDN/>
        <w:bidi w:val="0"/>
        <w:spacing w:line="590" w:lineRule="exact"/>
        <w:ind w:left="0" w:leftChars="0" w:right="0" w:rightChars="0" w:firstLine="643" w:firstLineChars="200"/>
        <w:jc w:val="both"/>
        <w:textAlignment w:val="auto"/>
        <w:rPr>
          <w:rStyle w:val="11"/>
          <w:rFonts w:ascii="楷体_GB2312" w:hAnsi="楷体_GB2312" w:eastAsia="楷体_GB2312" w:cs="楷体_GB2312"/>
          <w:b/>
          <w:bCs/>
          <w:color w:val="000000"/>
          <w:kern w:val="2"/>
          <w:sz w:val="32"/>
          <w:szCs w:val="32"/>
          <w:lang w:val="en-US" w:eastAsia="zh-CN" w:bidi="ar-SA"/>
        </w:rPr>
      </w:pPr>
      <w:r>
        <w:rPr>
          <w:rStyle w:val="11"/>
          <w:rFonts w:ascii="楷体_GB2312" w:hAnsi="楷体_GB2312" w:eastAsia="楷体_GB2312" w:cs="楷体_GB2312"/>
          <w:b/>
          <w:bCs/>
          <w:color w:val="000000"/>
          <w:kern w:val="2"/>
          <w:sz w:val="32"/>
          <w:szCs w:val="32"/>
          <w:lang w:val="en-US" w:eastAsia="zh-CN" w:bidi="ar-SA"/>
        </w:rPr>
        <w:t>（一）绩效管理工作开展情况。</w:t>
      </w:r>
    </w:p>
    <w:p>
      <w:pPr>
        <w:widowControl/>
        <w:ind w:firstLine="750" w:firstLineChars="250"/>
        <w:jc w:val="left"/>
        <w:textAlignment w:val="baseline"/>
        <w:rPr>
          <w:rStyle w:val="11"/>
          <w:rFonts w:ascii="仿宋" w:hAnsi="仿宋" w:eastAsia="仿宋"/>
          <w:kern w:val="2"/>
          <w:sz w:val="32"/>
          <w:szCs w:val="32"/>
          <w:lang w:val="en-US" w:eastAsia="zh-CN" w:bidi="ar-SA"/>
        </w:rPr>
      </w:pPr>
      <w:r>
        <w:rPr>
          <w:rStyle w:val="11"/>
          <w:rFonts w:ascii="仿宋" w:hAnsi="仿宋" w:eastAsia="仿宋"/>
          <w:kern w:val="2"/>
          <w:sz w:val="30"/>
          <w:szCs w:val="30"/>
          <w:lang w:val="en-US" w:eastAsia="zh-CN" w:bidi="ar-SA"/>
        </w:rPr>
        <w:t>结合县财政预算绩效管理，出台了相应的制度规定；建立了绩效管理的理念；同时也提高了财政资金的使用</w:t>
      </w:r>
      <w:r>
        <w:rPr>
          <w:rStyle w:val="11"/>
          <w:rFonts w:ascii="仿宋" w:hAnsi="仿宋" w:eastAsia="仿宋"/>
          <w:kern w:val="2"/>
          <w:sz w:val="32"/>
          <w:szCs w:val="32"/>
          <w:lang w:val="en-US" w:eastAsia="zh-CN" w:bidi="ar-SA"/>
        </w:rPr>
        <w:t>效益。</w:t>
      </w:r>
    </w:p>
    <w:p>
      <w:pPr>
        <w:widowControl/>
        <w:numPr>
          <w:ilvl w:val="0"/>
          <w:numId w:val="3"/>
        </w:numPr>
        <w:kinsoku/>
        <w:wordWrap/>
        <w:overflowPunct/>
        <w:autoSpaceDE/>
        <w:autoSpaceDN/>
        <w:bidi w:val="0"/>
        <w:spacing w:line="590" w:lineRule="exact"/>
        <w:ind w:left="0" w:leftChars="0" w:right="0" w:rightChars="0" w:firstLine="842" w:firstLineChars="262"/>
        <w:jc w:val="both"/>
        <w:textAlignment w:val="auto"/>
        <w:rPr>
          <w:rStyle w:val="11"/>
          <w:rFonts w:ascii="楷体_GB2312" w:hAnsi="楷体_GB2312" w:eastAsia="楷体_GB2312" w:cs="楷体_GB2312"/>
          <w:b/>
          <w:bCs/>
          <w:color w:val="000000"/>
          <w:kern w:val="2"/>
          <w:sz w:val="32"/>
          <w:szCs w:val="32"/>
          <w:lang w:val="en-US" w:eastAsia="zh-CN" w:bidi="ar-SA"/>
        </w:rPr>
      </w:pPr>
      <w:r>
        <w:rPr>
          <w:rStyle w:val="11"/>
          <w:rFonts w:ascii="楷体_GB2312" w:hAnsi="楷体_GB2312" w:eastAsia="楷体_GB2312" w:cs="楷体_GB2312"/>
          <w:b/>
          <w:bCs/>
          <w:color w:val="000000"/>
          <w:kern w:val="2"/>
          <w:sz w:val="32"/>
          <w:szCs w:val="32"/>
          <w:lang w:val="en-US" w:eastAsia="zh-CN" w:bidi="ar-SA"/>
        </w:rPr>
        <w:t>项目绩效自评结果。</w:t>
      </w:r>
    </w:p>
    <w:p>
      <w:pPr>
        <w:widowControl/>
        <w:numPr>
          <w:ilvl w:val="0"/>
          <w:numId w:val="0"/>
        </w:numPr>
        <w:kinsoku/>
        <w:wordWrap/>
        <w:overflowPunct/>
        <w:autoSpaceDE/>
        <w:autoSpaceDN/>
        <w:bidi w:val="0"/>
        <w:spacing w:line="590" w:lineRule="exact"/>
        <w:ind w:leftChars="200" w:right="0" w:rightChars="0" w:firstLine="640" w:firstLineChars="200"/>
        <w:jc w:val="both"/>
        <w:textAlignment w:val="auto"/>
        <w:rPr>
          <w:rStyle w:val="11"/>
          <w:rFonts w:ascii="楷体_GB2312" w:hAnsi="楷体_GB2312" w:eastAsia="楷体_GB2312" w:cs="楷体_GB2312"/>
          <w:b/>
          <w:bCs/>
          <w:color w:val="000000"/>
          <w:kern w:val="2"/>
          <w:sz w:val="32"/>
          <w:szCs w:val="32"/>
          <w:lang w:val="en-US" w:eastAsia="zh-CN" w:bidi="ar-SA"/>
        </w:rPr>
      </w:pPr>
      <w:r>
        <w:rPr>
          <w:rStyle w:val="11"/>
          <w:rFonts w:ascii="仿宋" w:hAnsi="仿宋" w:eastAsia="仿宋"/>
          <w:kern w:val="2"/>
          <w:sz w:val="32"/>
          <w:szCs w:val="32"/>
          <w:lang w:val="en-US" w:eastAsia="zh-CN" w:bidi="ar-SA"/>
        </w:rPr>
        <w:t>严格按照上级项目自评要求进行中央及省财政资金项目自评，2018年参与绩效自评的项目已达到省考核组要求。</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黑体" w:hAnsi="黑体" w:eastAsia="黑体"/>
          <w:color w:val="000000"/>
          <w:kern w:val="2"/>
          <w:sz w:val="32"/>
          <w:szCs w:val="32"/>
          <w:lang w:val="en-US" w:eastAsia="zh-CN" w:bidi="ar-SA"/>
        </w:rPr>
      </w:pPr>
      <w:r>
        <w:rPr>
          <w:rStyle w:val="11"/>
          <w:rFonts w:ascii="黑体" w:hAnsi="黑体" w:eastAsia="黑体"/>
          <w:color w:val="000000"/>
          <w:kern w:val="2"/>
          <w:sz w:val="32"/>
          <w:szCs w:val="32"/>
          <w:lang w:val="en-US" w:eastAsia="zh-CN" w:bidi="ar-SA"/>
        </w:rPr>
        <w:t>九、政府性基金预算财政拨款支出决算情况说明</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ascii="仿宋_GB2312" w:hAnsi="仿宋_GB2312" w:eastAsia="仿宋_GB2312"/>
          <w:color w:val="000000"/>
          <w:kern w:val="2"/>
          <w:sz w:val="32"/>
          <w:szCs w:val="32"/>
          <w:lang w:val="en-US" w:eastAsia="zh-CN" w:bidi="ar-SA"/>
        </w:rPr>
        <w:t>2018年度，我部门没有政府性基金收入，也没有使用政府性基金安排的支出。</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黑体" w:hAnsi="黑体" w:eastAsia="黑体"/>
          <w:color w:val="000000"/>
          <w:kern w:val="2"/>
          <w:sz w:val="32"/>
          <w:szCs w:val="32"/>
          <w:lang w:val="en-US" w:eastAsia="zh-CN" w:bidi="ar-SA"/>
        </w:rPr>
      </w:pPr>
      <w:r>
        <w:rPr>
          <w:rStyle w:val="11"/>
          <w:rFonts w:ascii="黑体" w:hAnsi="黑体" w:eastAsia="黑体"/>
          <w:color w:val="000000"/>
          <w:kern w:val="2"/>
          <w:sz w:val="32"/>
          <w:szCs w:val="32"/>
          <w:lang w:val="en-US" w:eastAsia="zh-CN" w:bidi="ar-SA"/>
        </w:rPr>
        <w:t>十、机关运行经费支出情况说明</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ascii="仿宋_GB2312" w:hAnsi="仿宋_GB2312" w:eastAsia="仿宋_GB2312"/>
          <w:color w:val="000000"/>
          <w:kern w:val="2"/>
          <w:sz w:val="32"/>
          <w:szCs w:val="32"/>
          <w:lang w:val="en-US" w:eastAsia="zh-CN" w:bidi="ar-SA"/>
        </w:rPr>
        <w:t>我单位不是行政单位，也不是参照公务员管理的事业单位，因此没机关运行经费。</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黑体" w:hAnsi="黑体" w:eastAsia="黑体"/>
          <w:color w:val="000000"/>
          <w:kern w:val="2"/>
          <w:sz w:val="32"/>
          <w:szCs w:val="32"/>
          <w:lang w:val="en-US" w:eastAsia="zh-CN" w:bidi="ar-SA"/>
        </w:rPr>
      </w:pPr>
      <w:r>
        <w:rPr>
          <w:rStyle w:val="11"/>
          <w:rFonts w:ascii="黑体" w:hAnsi="黑体" w:eastAsia="黑体"/>
          <w:color w:val="000000"/>
          <w:kern w:val="2"/>
          <w:sz w:val="32"/>
          <w:szCs w:val="32"/>
          <w:lang w:val="en-US" w:eastAsia="zh-CN" w:bidi="ar-SA"/>
        </w:rPr>
        <w:t>十一、政府采购支出情况说明</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ascii="仿宋_GB2312" w:hAnsi="仿宋_GB2312" w:eastAsia="仿宋_GB2312"/>
          <w:color w:val="000000"/>
          <w:kern w:val="2"/>
          <w:sz w:val="32"/>
          <w:szCs w:val="32"/>
          <w:lang w:val="en-US" w:eastAsia="zh-CN" w:bidi="ar-SA"/>
        </w:rPr>
        <w:t>2018年度政府采购支出总额25.42万元，其中：政府采购货物支出25.42万元、政府采购工程支出0万元、政府采购服务支出0万元。授予中小企业合同金额25.42万元，占政府采购支出总额的100%，其中：授予小微企业合同金额25.42万元，占政府采购支出总额的100%。</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黑体" w:hAnsi="黑体" w:eastAsia="黑体"/>
          <w:color w:val="000000"/>
          <w:kern w:val="2"/>
          <w:sz w:val="32"/>
          <w:szCs w:val="32"/>
          <w:lang w:val="en-US" w:eastAsia="zh-CN" w:bidi="ar-SA"/>
        </w:rPr>
      </w:pPr>
      <w:r>
        <w:rPr>
          <w:rStyle w:val="11"/>
          <w:rFonts w:ascii="黑体" w:hAnsi="黑体" w:eastAsia="黑体"/>
          <w:color w:val="000000"/>
          <w:kern w:val="2"/>
          <w:sz w:val="32"/>
          <w:szCs w:val="32"/>
          <w:lang w:val="en-US" w:eastAsia="zh-CN" w:bidi="ar-SA"/>
        </w:rPr>
        <w:t>十二、国有资产占用情况说明</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r>
        <w:rPr>
          <w:rStyle w:val="11"/>
          <w:rFonts w:hint="eastAsia" w:ascii="仿宋_GB2312" w:hAnsi="仿宋_GB2312" w:eastAsia="仿宋_GB2312"/>
          <w:color w:val="000000"/>
          <w:kern w:val="2"/>
          <w:sz w:val="32"/>
          <w:szCs w:val="32"/>
          <w:lang w:val="en-US" w:eastAsia="zh-CN" w:bidi="ar-SA"/>
        </w:rPr>
        <w:t>2018</w:t>
      </w:r>
      <w:r>
        <w:rPr>
          <w:rStyle w:val="11"/>
          <w:rFonts w:ascii="仿宋_GB2312" w:hAnsi="仿宋_GB2312" w:eastAsia="仿宋_GB2312"/>
          <w:color w:val="000000"/>
          <w:kern w:val="2"/>
          <w:sz w:val="32"/>
          <w:szCs w:val="32"/>
          <w:lang w:val="en-US" w:eastAsia="zh-CN" w:bidi="ar-SA"/>
        </w:rPr>
        <w:t>年期末，我部门共有车辆</w:t>
      </w:r>
      <w:r>
        <w:rPr>
          <w:rStyle w:val="11"/>
          <w:rFonts w:hint="eastAsia" w:ascii="仿宋_GB2312" w:hAnsi="仿宋_GB2312" w:eastAsia="仿宋_GB2312"/>
          <w:color w:val="000000"/>
          <w:kern w:val="2"/>
          <w:sz w:val="32"/>
          <w:szCs w:val="32"/>
          <w:lang w:val="en-US" w:eastAsia="zh-CN" w:bidi="ar-SA"/>
        </w:rPr>
        <w:t>4</w:t>
      </w:r>
      <w:r>
        <w:rPr>
          <w:rStyle w:val="11"/>
          <w:rFonts w:ascii="仿宋_GB2312" w:hAnsi="仿宋_GB2312" w:eastAsia="仿宋_GB2312"/>
          <w:color w:val="000000"/>
          <w:kern w:val="2"/>
          <w:sz w:val="32"/>
          <w:szCs w:val="32"/>
          <w:lang w:val="en-US" w:eastAsia="zh-CN" w:bidi="ar-SA"/>
        </w:rPr>
        <w:t>辆，其中：</w:t>
      </w:r>
      <w:r>
        <w:rPr>
          <w:rStyle w:val="11"/>
          <w:rFonts w:hint="eastAsia" w:ascii="仿宋_GB2312" w:hAnsi="仿宋_GB2312" w:eastAsia="仿宋_GB2312"/>
          <w:color w:val="000000"/>
          <w:kern w:val="2"/>
          <w:sz w:val="32"/>
          <w:szCs w:val="32"/>
          <w:lang w:val="en-US" w:eastAsia="zh-CN" w:bidi="ar-SA"/>
        </w:rPr>
        <w:t>一般公务用车1辆、一般执法执勤用车1辆，特种用途车2辆</w:t>
      </w:r>
      <w:r>
        <w:rPr>
          <w:rStyle w:val="11"/>
          <w:rFonts w:ascii="仿宋_GB2312" w:hAnsi="仿宋_GB2312" w:eastAsia="仿宋_GB2312"/>
          <w:color w:val="000000"/>
          <w:kern w:val="2"/>
          <w:sz w:val="32"/>
          <w:szCs w:val="32"/>
          <w:lang w:val="en-US" w:eastAsia="zh-CN" w:bidi="ar-SA"/>
        </w:rPr>
        <w:t>。</w:t>
      </w:r>
      <w:r>
        <w:rPr>
          <w:rStyle w:val="11"/>
          <w:rFonts w:hint="eastAsia" w:ascii="仿宋_GB2312" w:hAnsi="仿宋_GB2312" w:eastAsia="仿宋_GB2312"/>
          <w:color w:val="000000"/>
          <w:kern w:val="2"/>
          <w:sz w:val="32"/>
          <w:szCs w:val="32"/>
          <w:lang w:val="en-US" w:eastAsia="zh-CN" w:bidi="ar-SA"/>
        </w:rPr>
        <w:t>单价50万元以上通用设备0套，单位价值100元以上专用设备0套。</w:t>
      </w: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p>
    <w:p>
      <w:pPr>
        <w:widowControl/>
        <w:kinsoku/>
        <w:wordWrap/>
        <w:overflowPunct/>
        <w:autoSpaceDE/>
        <w:autoSpaceDN/>
        <w:bidi w:val="0"/>
        <w:spacing w:line="590" w:lineRule="exact"/>
        <w:ind w:left="0" w:leftChars="0" w:right="0" w:rightChars="0" w:firstLine="640" w:firstLineChars="200"/>
        <w:jc w:val="both"/>
        <w:textAlignment w:val="auto"/>
        <w:rPr>
          <w:rStyle w:val="11"/>
          <w:rFonts w:ascii="仿宋_GB2312" w:hAnsi="仿宋_GB2312" w:eastAsia="仿宋_GB2312"/>
          <w:color w:val="000000"/>
          <w:kern w:val="2"/>
          <w:sz w:val="32"/>
          <w:szCs w:val="32"/>
          <w:lang w:val="en-US" w:eastAsia="zh-CN" w:bidi="ar-SA"/>
        </w:rPr>
      </w:pPr>
    </w:p>
    <w:p>
      <w:pPr>
        <w:numPr>
          <w:ilvl w:val="0"/>
          <w:numId w:val="4"/>
        </w:numPr>
        <w:jc w:val="center"/>
        <w:textAlignment w:val="baseline"/>
        <w:rPr>
          <w:rStyle w:val="11"/>
          <w:rFonts w:ascii="黑体" w:hAnsi="黑体" w:eastAsia="黑体"/>
          <w:color w:val="000000"/>
          <w:kern w:val="2"/>
          <w:sz w:val="48"/>
          <w:szCs w:val="48"/>
          <w:lang w:val="en-US" w:eastAsia="zh-CN" w:bidi="ar-SA"/>
        </w:rPr>
      </w:pPr>
      <w:r>
        <w:rPr>
          <w:rStyle w:val="11"/>
          <w:rFonts w:ascii="黑体" w:hAnsi="黑体" w:eastAsia="黑体"/>
          <w:color w:val="000000"/>
          <w:kern w:val="2"/>
          <w:sz w:val="48"/>
          <w:szCs w:val="48"/>
          <w:lang w:val="en-US" w:eastAsia="zh-CN" w:bidi="ar-SA"/>
        </w:rPr>
        <w:t xml:space="preserve"> 名词解释</w:t>
      </w:r>
    </w:p>
    <w:p>
      <w:pPr>
        <w:numPr>
          <w:ilvl w:val="0"/>
          <w:numId w:val="0"/>
        </w:numPr>
        <w:ind w:firstLine="640" w:firstLineChars="200"/>
        <w:jc w:val="both"/>
        <w:textAlignment w:val="baseline"/>
        <w:rPr>
          <w:rStyle w:val="11"/>
          <w:rFonts w:ascii="仿宋_GB2312" w:hAnsi="仿宋_GB2312" w:eastAsia="仿宋_GB2312"/>
          <w:kern w:val="2"/>
          <w:sz w:val="32"/>
          <w:szCs w:val="32"/>
          <w:lang w:val="en-US" w:eastAsia="zh-CN" w:bidi="ar-SA"/>
        </w:rPr>
      </w:pPr>
      <w:r>
        <w:rPr>
          <w:rStyle w:val="11"/>
          <w:rFonts w:ascii="仿宋_GB2312" w:hAnsi="仿宋_GB2312" w:eastAsia="仿宋_GB2312"/>
          <w:kern w:val="2"/>
          <w:sz w:val="32"/>
          <w:szCs w:val="32"/>
          <w:lang w:val="en-US" w:eastAsia="zh-CN" w:bidi="ar-SA"/>
        </w:rPr>
        <w:t>一、财政拨款收入：单位从同级政府财政部门取得的各类财政拨款。</w:t>
      </w:r>
    </w:p>
    <w:p>
      <w:pPr>
        <w:widowControl/>
        <w:ind w:firstLine="640" w:firstLineChars="200"/>
        <w:jc w:val="left"/>
        <w:textAlignment w:val="baseline"/>
        <w:rPr>
          <w:rStyle w:val="11"/>
          <w:rFonts w:ascii="仿宋_GB2312" w:hAnsi="仿宋_GB2312" w:eastAsia="仿宋_GB2312"/>
          <w:kern w:val="2"/>
          <w:sz w:val="32"/>
          <w:szCs w:val="32"/>
          <w:lang w:val="en-US" w:eastAsia="zh-CN" w:bidi="ar-SA"/>
        </w:rPr>
      </w:pPr>
      <w:r>
        <w:rPr>
          <w:rStyle w:val="11"/>
          <w:rFonts w:ascii="仿宋_GB2312" w:hAnsi="仿宋_GB2312" w:eastAsia="仿宋_GB2312"/>
          <w:kern w:val="2"/>
          <w:sz w:val="32"/>
          <w:szCs w:val="32"/>
          <w:lang w:val="en-US" w:eastAsia="zh-CN" w:bidi="ar-SA"/>
        </w:rPr>
        <w:t>二、事业收入：事业单位开展专业业务活动及其辅助活动取得的收入。</w:t>
      </w:r>
    </w:p>
    <w:p>
      <w:pPr>
        <w:widowControl/>
        <w:ind w:firstLine="640" w:firstLineChars="200"/>
        <w:jc w:val="left"/>
        <w:textAlignment w:val="baseline"/>
        <w:rPr>
          <w:rStyle w:val="11"/>
          <w:rFonts w:ascii="仿宋_GB2312" w:hAnsi="仿宋_GB2312" w:eastAsia="仿宋_GB2312"/>
          <w:kern w:val="2"/>
          <w:sz w:val="32"/>
          <w:szCs w:val="32"/>
          <w:lang w:val="en-US" w:eastAsia="zh-CN" w:bidi="ar-SA"/>
        </w:rPr>
      </w:pPr>
      <w:r>
        <w:rPr>
          <w:rStyle w:val="11"/>
          <w:rFonts w:ascii="仿宋_GB2312" w:hAnsi="仿宋_GB2312" w:eastAsia="仿宋_GB2312"/>
          <w:kern w:val="2"/>
          <w:sz w:val="32"/>
          <w:szCs w:val="32"/>
          <w:lang w:val="en-US" w:eastAsia="zh-CN" w:bidi="ar-SA"/>
        </w:rPr>
        <w:t>三、上级补助收入：事业单位从主管部门和上级单位取得的非财政补助收入。</w:t>
      </w:r>
    </w:p>
    <w:p>
      <w:pPr>
        <w:widowControl/>
        <w:ind w:firstLine="640" w:firstLineChars="200"/>
        <w:jc w:val="left"/>
        <w:textAlignment w:val="baseline"/>
        <w:rPr>
          <w:rStyle w:val="11"/>
          <w:rFonts w:ascii="仿宋_GB2312" w:hAnsi="仿宋_GB2312" w:eastAsia="仿宋_GB2312"/>
          <w:kern w:val="2"/>
          <w:sz w:val="32"/>
          <w:szCs w:val="32"/>
          <w:lang w:val="en-US" w:eastAsia="zh-CN" w:bidi="ar-SA"/>
        </w:rPr>
      </w:pPr>
      <w:r>
        <w:rPr>
          <w:rStyle w:val="11"/>
          <w:rFonts w:ascii="仿宋_GB2312" w:hAnsi="仿宋_GB2312" w:eastAsia="仿宋_GB2312"/>
          <w:kern w:val="2"/>
          <w:sz w:val="32"/>
          <w:szCs w:val="32"/>
          <w:lang w:val="en-US" w:eastAsia="zh-CN" w:bidi="ar-SA"/>
        </w:rPr>
        <w:t>四、附属单位上缴收入：事业单位取得附属独立核算单位根据有关规定上缴的收入。</w:t>
      </w:r>
    </w:p>
    <w:p>
      <w:pPr>
        <w:widowControl/>
        <w:ind w:firstLine="640" w:firstLineChars="200"/>
        <w:jc w:val="left"/>
        <w:textAlignment w:val="baseline"/>
        <w:rPr>
          <w:rStyle w:val="11"/>
          <w:rFonts w:ascii="仿宋_GB2312" w:hAnsi="仿宋_GB2312" w:eastAsia="仿宋_GB2312"/>
          <w:kern w:val="2"/>
          <w:sz w:val="32"/>
          <w:szCs w:val="32"/>
          <w:lang w:val="en-US" w:eastAsia="zh-CN" w:bidi="ar-SA"/>
        </w:rPr>
      </w:pPr>
      <w:r>
        <w:rPr>
          <w:rStyle w:val="11"/>
          <w:rFonts w:ascii="仿宋_GB2312" w:hAnsi="仿宋_GB2312" w:eastAsia="仿宋_GB2312"/>
          <w:kern w:val="2"/>
          <w:sz w:val="32"/>
          <w:szCs w:val="32"/>
          <w:lang w:val="en-US" w:eastAsia="zh-CN" w:bidi="ar-SA"/>
        </w:rPr>
        <w:t>五、经营收入：事业单位在专业业务活动及其辅助活动之外开展非独立核算经营活动取得的收入。</w:t>
      </w:r>
    </w:p>
    <w:p>
      <w:pPr>
        <w:widowControl/>
        <w:ind w:firstLine="640" w:firstLineChars="200"/>
        <w:jc w:val="left"/>
        <w:textAlignment w:val="baseline"/>
        <w:rPr>
          <w:rStyle w:val="11"/>
          <w:rFonts w:ascii="仿宋_GB2312" w:hAnsi="仿宋_GB2312" w:eastAsia="仿宋_GB2312"/>
          <w:kern w:val="2"/>
          <w:sz w:val="32"/>
          <w:szCs w:val="32"/>
          <w:lang w:val="en-US" w:eastAsia="zh-CN" w:bidi="ar-SA"/>
        </w:rPr>
      </w:pPr>
      <w:r>
        <w:rPr>
          <w:rStyle w:val="11"/>
          <w:rFonts w:ascii="仿宋_GB2312" w:hAnsi="仿宋_GB2312" w:eastAsia="仿宋_GB2312"/>
          <w:kern w:val="2"/>
          <w:sz w:val="32"/>
          <w:szCs w:val="32"/>
          <w:lang w:val="en-US" w:eastAsia="zh-CN" w:bidi="ar-SA"/>
        </w:rPr>
        <w:t>六、其他收入：单位取得的除“财政拨款收入”、“事业收入”、“上级补助收入”、“附属单位上缴收入”、“经营收入”等以外的收入。</w:t>
      </w:r>
    </w:p>
    <w:p>
      <w:pPr>
        <w:widowControl/>
        <w:ind w:firstLine="640" w:firstLineChars="200"/>
        <w:jc w:val="left"/>
        <w:textAlignment w:val="baseline"/>
        <w:rPr>
          <w:rStyle w:val="11"/>
          <w:rFonts w:ascii="仿宋_GB2312" w:hAnsi="仿宋_GB2312" w:eastAsia="仿宋_GB2312"/>
          <w:kern w:val="2"/>
          <w:sz w:val="32"/>
          <w:szCs w:val="32"/>
          <w:lang w:val="en-US" w:eastAsia="zh-CN" w:bidi="ar-SA"/>
        </w:rPr>
      </w:pPr>
      <w:r>
        <w:rPr>
          <w:rStyle w:val="11"/>
          <w:rFonts w:ascii="仿宋_GB2312" w:hAnsi="仿宋_GB2312" w:eastAsia="仿宋_GB2312"/>
          <w:kern w:val="2"/>
          <w:sz w:val="32"/>
          <w:szCs w:val="32"/>
          <w:lang w:val="en-US" w:eastAsia="zh-CN" w:bidi="ar-SA"/>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ind w:firstLine="640" w:firstLineChars="200"/>
        <w:jc w:val="left"/>
        <w:textAlignment w:val="baseline"/>
        <w:rPr>
          <w:rStyle w:val="11"/>
          <w:rFonts w:ascii="仿宋_GB2312" w:hAnsi="仿宋_GB2312" w:eastAsia="仿宋_GB2312"/>
          <w:kern w:val="2"/>
          <w:sz w:val="32"/>
          <w:szCs w:val="32"/>
          <w:lang w:val="en-US" w:eastAsia="zh-CN" w:bidi="ar-SA"/>
        </w:rPr>
      </w:pPr>
      <w:r>
        <w:rPr>
          <w:rStyle w:val="11"/>
          <w:rFonts w:ascii="仿宋_GB2312" w:hAnsi="仿宋_GB2312" w:eastAsia="仿宋_GB2312"/>
          <w:kern w:val="2"/>
          <w:sz w:val="32"/>
          <w:szCs w:val="32"/>
          <w:lang w:val="en-US" w:eastAsia="zh-CN" w:bidi="ar-SA"/>
        </w:rPr>
        <w:t>八、基本支出：为保障机构正常运转、完成日常工作任务而发生的人员支出和公用支出。</w:t>
      </w:r>
    </w:p>
    <w:p>
      <w:pPr>
        <w:widowControl/>
        <w:ind w:firstLine="640" w:firstLineChars="200"/>
        <w:jc w:val="left"/>
        <w:textAlignment w:val="baseline"/>
        <w:rPr>
          <w:rStyle w:val="11"/>
          <w:rFonts w:ascii="仿宋_GB2312" w:hAnsi="仿宋_GB2312" w:eastAsia="仿宋_GB2312"/>
          <w:kern w:val="2"/>
          <w:sz w:val="32"/>
          <w:szCs w:val="32"/>
          <w:lang w:val="en-US" w:eastAsia="zh-CN" w:bidi="ar-SA"/>
        </w:rPr>
      </w:pPr>
      <w:r>
        <w:rPr>
          <w:rStyle w:val="11"/>
          <w:rFonts w:ascii="仿宋_GB2312" w:hAnsi="仿宋_GB2312" w:eastAsia="仿宋_GB2312"/>
          <w:kern w:val="2"/>
          <w:sz w:val="32"/>
          <w:szCs w:val="32"/>
          <w:lang w:val="en-US" w:eastAsia="zh-CN" w:bidi="ar-SA"/>
        </w:rPr>
        <w:t>九、项目支出：基本支出之外为完成特定行政任务和事业发展目标所发生的支出。</w:t>
      </w:r>
    </w:p>
    <w:p>
      <w:pPr>
        <w:widowControl/>
        <w:ind w:firstLine="640" w:firstLineChars="200"/>
        <w:jc w:val="left"/>
        <w:textAlignment w:val="baseline"/>
        <w:rPr>
          <w:rStyle w:val="11"/>
          <w:rFonts w:ascii="仿宋_GB2312" w:hAnsi="仿宋_GB2312" w:eastAsia="仿宋_GB2312"/>
          <w:kern w:val="2"/>
          <w:sz w:val="32"/>
          <w:szCs w:val="32"/>
          <w:lang w:val="en-US" w:eastAsia="zh-CN" w:bidi="ar-SA"/>
        </w:rPr>
      </w:pPr>
      <w:r>
        <w:rPr>
          <w:rStyle w:val="11"/>
          <w:rFonts w:ascii="仿宋_GB2312" w:hAnsi="仿宋_GB2312" w:eastAsia="仿宋_GB2312"/>
          <w:kern w:val="2"/>
          <w:sz w:val="32"/>
          <w:szCs w:val="32"/>
          <w:lang w:val="en-US" w:eastAsia="zh-CN" w:bidi="ar-SA"/>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支出。</w:t>
      </w:r>
    </w:p>
    <w:p>
      <w:pPr>
        <w:widowControl/>
        <w:ind w:firstLine="640" w:firstLineChars="200"/>
        <w:jc w:val="left"/>
        <w:textAlignment w:val="baseline"/>
        <w:rPr>
          <w:rStyle w:val="11"/>
          <w:rFonts w:ascii="仿宋_GB2312" w:hAnsi="仿宋_GB2312" w:eastAsia="仿宋_GB2312"/>
          <w:kern w:val="2"/>
          <w:sz w:val="32"/>
          <w:szCs w:val="32"/>
          <w:lang w:val="en-US" w:eastAsia="zh-CN" w:bidi="ar-SA"/>
        </w:rPr>
      </w:pPr>
      <w:r>
        <w:rPr>
          <w:rStyle w:val="11"/>
          <w:rFonts w:ascii="仿宋_GB2312" w:hAnsi="仿宋_GB2312" w:eastAsia="仿宋_GB2312"/>
          <w:kern w:val="2"/>
          <w:sz w:val="32"/>
          <w:szCs w:val="32"/>
          <w:lang w:val="en-US" w:eastAsia="zh-CN" w:bidi="ar-SA"/>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ind w:firstLine="640" w:firstLineChars="200"/>
        <w:jc w:val="left"/>
        <w:textAlignment w:val="baseline"/>
        <w:rPr>
          <w:rStyle w:val="11"/>
          <w:rFonts w:ascii="仿宋_GB2312" w:hAnsi="仿宋_GB2312" w:eastAsia="仿宋_GB2312"/>
          <w:kern w:val="2"/>
          <w:sz w:val="32"/>
          <w:szCs w:val="32"/>
          <w:lang w:val="en-US" w:eastAsia="zh-CN" w:bidi="ar-SA"/>
        </w:rPr>
      </w:pPr>
      <w:r>
        <w:rPr>
          <w:rStyle w:val="11"/>
          <w:rFonts w:ascii="仿宋_GB2312" w:hAnsi="仿宋_GB2312" w:eastAsia="仿宋_GB2312"/>
          <w:kern w:val="2"/>
          <w:sz w:val="32"/>
          <w:szCs w:val="32"/>
          <w:lang w:val="en-US" w:eastAsia="zh-CN" w:bidi="ar-SA"/>
        </w:rPr>
        <w:t>十二、工资福利支出：单位支付给在职职工的各类劳动报酬，以及为上述人员缴纳的各项社会保险费等。</w:t>
      </w:r>
    </w:p>
    <w:p>
      <w:pPr>
        <w:widowControl/>
        <w:ind w:firstLine="640" w:firstLineChars="200"/>
        <w:jc w:val="left"/>
        <w:textAlignment w:val="baseline"/>
        <w:rPr>
          <w:rStyle w:val="11"/>
          <w:rFonts w:ascii="仿宋_GB2312" w:hAnsi="仿宋_GB2312" w:eastAsia="仿宋_GB2312"/>
          <w:kern w:val="2"/>
          <w:sz w:val="32"/>
          <w:szCs w:val="32"/>
          <w:lang w:val="en-US" w:eastAsia="zh-CN" w:bidi="ar-SA"/>
        </w:rPr>
      </w:pPr>
      <w:r>
        <w:rPr>
          <w:rStyle w:val="11"/>
          <w:rFonts w:ascii="仿宋_GB2312" w:hAnsi="仿宋_GB2312" w:eastAsia="仿宋_GB2312"/>
          <w:kern w:val="2"/>
          <w:sz w:val="32"/>
          <w:szCs w:val="32"/>
          <w:lang w:val="en-US" w:eastAsia="zh-CN" w:bidi="ar-SA"/>
        </w:rPr>
        <w:t>十三、商品和服务支出：单位购买商品和服务的支出。</w:t>
      </w:r>
    </w:p>
    <w:p>
      <w:pPr>
        <w:widowControl/>
        <w:ind w:firstLine="640" w:firstLineChars="200"/>
        <w:jc w:val="left"/>
        <w:textAlignment w:val="baseline"/>
        <w:rPr>
          <w:rStyle w:val="11"/>
          <w:rFonts w:ascii="仿宋_GB2312" w:hAnsi="仿宋_GB2312" w:eastAsia="仿宋_GB2312"/>
          <w:kern w:val="2"/>
          <w:sz w:val="32"/>
          <w:szCs w:val="32"/>
          <w:lang w:val="en-US" w:eastAsia="zh-CN" w:bidi="ar-SA"/>
        </w:rPr>
      </w:pPr>
      <w:r>
        <w:rPr>
          <w:rStyle w:val="11"/>
          <w:rFonts w:ascii="仿宋_GB2312" w:hAnsi="仿宋_GB2312" w:eastAsia="仿宋_GB2312"/>
          <w:kern w:val="2"/>
          <w:sz w:val="32"/>
          <w:szCs w:val="32"/>
          <w:lang w:val="en-US" w:eastAsia="zh-CN" w:bidi="ar-SA"/>
        </w:rPr>
        <w:t>十四、对个人和家庭的补助支出：单位用于对个人和家庭的补助支出。</w:t>
      </w:r>
    </w:p>
    <w:p>
      <w:pPr>
        <w:widowControl/>
        <w:ind w:firstLine="640" w:firstLineChars="200"/>
        <w:jc w:val="left"/>
        <w:textAlignment w:val="baseline"/>
        <w:rPr>
          <w:rStyle w:val="11"/>
          <w:rFonts w:ascii="仿宋_GB2312" w:hAnsi="仿宋_GB2312" w:eastAsia="仿宋_GB2312"/>
          <w:kern w:val="2"/>
          <w:sz w:val="32"/>
          <w:szCs w:val="32"/>
          <w:lang w:val="en-US" w:eastAsia="zh-CN" w:bidi="ar-SA"/>
        </w:rPr>
      </w:pPr>
      <w:r>
        <w:rPr>
          <w:rStyle w:val="11"/>
          <w:rFonts w:ascii="仿宋_GB2312" w:hAnsi="仿宋_GB2312" w:eastAsia="仿宋_GB2312"/>
          <w:kern w:val="2"/>
          <w:sz w:val="32"/>
          <w:szCs w:val="32"/>
          <w:lang w:val="en-US" w:eastAsia="zh-CN" w:bidi="ar-SA"/>
        </w:rPr>
        <w:t>十五、年末结转：本年度或以前年度预算安排，已执行但尚未完成或因客观条件发生变化无法按原计划实施，需延迟到以后年度按有关规定继续使用的资金。</w:t>
      </w:r>
    </w:p>
    <w:p>
      <w:pPr>
        <w:ind w:firstLine="640" w:firstLineChars="200"/>
      </w:pPr>
      <w:r>
        <w:rPr>
          <w:rStyle w:val="11"/>
          <w:rFonts w:ascii="仿宋_GB2312" w:hAnsi="仿宋_GB2312" w:eastAsia="仿宋_GB2312"/>
          <w:kern w:val="2"/>
          <w:sz w:val="32"/>
          <w:szCs w:val="32"/>
          <w:lang w:val="en-US" w:eastAsia="zh-CN" w:bidi="ar-SA"/>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7AD0F"/>
    <w:multiLevelType w:val="singleLevel"/>
    <w:tmpl w:val="E0F7AD0F"/>
    <w:lvl w:ilvl="0" w:tentative="0">
      <w:start w:val="2"/>
      <w:numFmt w:val="chineseCounting"/>
      <w:suff w:val="nothing"/>
      <w:lvlText w:val="（%1）"/>
      <w:lvlJc w:val="left"/>
      <w:pPr>
        <w:widowControl/>
        <w:textAlignment w:val="baseline"/>
      </w:pPr>
      <w:rPr>
        <w:rStyle w:val="11"/>
      </w:rPr>
    </w:lvl>
  </w:abstractNum>
  <w:abstractNum w:abstractNumId="1">
    <w:nsid w:val="36011D80"/>
    <w:multiLevelType w:val="singleLevel"/>
    <w:tmpl w:val="36011D80"/>
    <w:lvl w:ilvl="0" w:tentative="0">
      <w:start w:val="1"/>
      <w:numFmt w:val="decimal"/>
      <w:suff w:val="nothing"/>
      <w:lvlText w:val="%1．"/>
      <w:lvlJc w:val="left"/>
      <w:pPr>
        <w:widowControl/>
        <w:textAlignment w:val="baseline"/>
      </w:pPr>
      <w:rPr>
        <w:rStyle w:val="11"/>
      </w:rPr>
    </w:lvl>
  </w:abstractNum>
  <w:abstractNum w:abstractNumId="2">
    <w:nsid w:val="5971BE17"/>
    <w:multiLevelType w:val="singleLevel"/>
    <w:tmpl w:val="5971BE17"/>
    <w:lvl w:ilvl="0" w:tentative="0">
      <w:start w:val="1"/>
      <w:numFmt w:val="chineseCounting"/>
      <w:suff w:val="nothing"/>
      <w:lvlText w:val="%1、"/>
      <w:lvlJc w:val="left"/>
      <w:pPr>
        <w:widowControl/>
        <w:textAlignment w:val="baseline"/>
      </w:pPr>
      <w:rPr>
        <w:rStyle w:val="11"/>
      </w:rPr>
    </w:lvl>
  </w:abstractNum>
  <w:abstractNum w:abstractNumId="3">
    <w:nsid w:val="66090060"/>
    <w:multiLevelType w:val="singleLevel"/>
    <w:tmpl w:val="66090060"/>
    <w:lvl w:ilvl="0" w:tentative="0">
      <w:start w:val="4"/>
      <w:numFmt w:val="chineseCounting"/>
      <w:suff w:val="space"/>
      <w:lvlText w:val="第%1部分"/>
      <w:lvlJc w:val="left"/>
      <w:pPr>
        <w:widowControl/>
        <w:textAlignment w:val="baseline"/>
      </w:pPr>
      <w:rPr>
        <w:rStyle w:val="11"/>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isplayHorizontalDrawingGridEvery w:val="1"/>
  <w:displayVerticalDrawingGridEvery w:val="1"/>
  <w:doNotUseMarginsForDrawingGridOrigin w:val="1"/>
  <w:drawingGridHorizontalOrigin w:val="1800"/>
  <w:drawingGridVerticalOrigin w:val="1440"/>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71CC7"/>
    <w:rsid w:val="02946478"/>
    <w:rsid w:val="05452F4C"/>
    <w:rsid w:val="06BC3AE7"/>
    <w:rsid w:val="07BF75FA"/>
    <w:rsid w:val="0EDD695E"/>
    <w:rsid w:val="143F3719"/>
    <w:rsid w:val="18DB7EB9"/>
    <w:rsid w:val="1DF25E5D"/>
    <w:rsid w:val="1EC5374D"/>
    <w:rsid w:val="22322BAC"/>
    <w:rsid w:val="2B2A772E"/>
    <w:rsid w:val="30DA1756"/>
    <w:rsid w:val="3D1B3A6E"/>
    <w:rsid w:val="4C8353E1"/>
    <w:rsid w:val="57B42D7F"/>
    <w:rsid w:val="59CE4EEC"/>
    <w:rsid w:val="5AFA7562"/>
    <w:rsid w:val="5EEC6627"/>
    <w:rsid w:val="6C7D0DBB"/>
    <w:rsid w:val="749135B7"/>
    <w:rsid w:val="769C35DF"/>
    <w:rsid w:val="7BF16E1B"/>
    <w:rsid w:val="7C4F2C0D"/>
    <w:rsid w:val="7ECC66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uiPriority w:val="99"/>
    <w:rPr>
      <w:rFonts w:ascii="仿宋" w:hAnsi="仿宋" w:eastAsia="仿宋" w:cs="仿宋"/>
      <w:sz w:val="32"/>
      <w:szCs w:val="32"/>
    </w:rPr>
  </w:style>
  <w:style w:type="paragraph" w:styleId="3">
    <w:name w:val="footer"/>
    <w:basedOn w:val="1"/>
    <w:link w:val="13"/>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link w:val="14"/>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7">
    <w:name w:val="FollowedHyperlink"/>
    <w:link w:val="1"/>
    <w:qFormat/>
    <w:uiPriority w:val="0"/>
    <w:rPr>
      <w:color w:val="800080"/>
      <w:u w:val="single"/>
    </w:rPr>
  </w:style>
  <w:style w:type="character" w:styleId="8">
    <w:name w:val="Hyperlink"/>
    <w:link w:val="1"/>
    <w:qFormat/>
    <w:uiPriority w:val="0"/>
    <w:rPr>
      <w:color w:val="0000FF"/>
      <w:u w:val="single"/>
    </w:rPr>
  </w:style>
  <w:style w:type="paragraph" w:customStyle="1" w:styleId="9">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10">
    <w:name w:val="Heading3"/>
    <w:basedOn w:val="1"/>
    <w:next w:val="1"/>
    <w:qFormat/>
    <w:uiPriority w:val="0"/>
    <w:pPr>
      <w:spacing w:before="100" w:beforeAutospacing="1" w:after="100" w:afterAutospacing="1"/>
      <w:jc w:val="left"/>
      <w:textAlignment w:val="baseline"/>
    </w:pPr>
    <w:rPr>
      <w:rFonts w:ascii="宋体" w:hAnsi="宋体" w:eastAsia="宋体"/>
      <w:b/>
      <w:kern w:val="0"/>
      <w:sz w:val="27"/>
      <w:szCs w:val="27"/>
      <w:lang w:val="en-US" w:eastAsia="zh-CN"/>
    </w:rPr>
  </w:style>
  <w:style w:type="character" w:customStyle="1" w:styleId="11">
    <w:name w:val="NormalCharacter"/>
    <w:link w:val="1"/>
    <w:qFormat/>
    <w:uiPriority w:val="0"/>
  </w:style>
  <w:style w:type="table" w:customStyle="1" w:styleId="12">
    <w:name w:val="TableNormal"/>
    <w:qFormat/>
    <w:uiPriority w:val="0"/>
  </w:style>
  <w:style w:type="character" w:customStyle="1" w:styleId="13">
    <w:name w:val="UserStyle_0"/>
    <w:link w:val="3"/>
    <w:qFormat/>
    <w:uiPriority w:val="0"/>
    <w:rPr>
      <w:kern w:val="2"/>
      <w:sz w:val="18"/>
      <w:szCs w:val="18"/>
    </w:rPr>
  </w:style>
  <w:style w:type="character" w:customStyle="1" w:styleId="14">
    <w:name w:val="UserStyle_1"/>
    <w:link w:val="4"/>
    <w:qFormat/>
    <w:uiPriority w:val="0"/>
    <w:rPr>
      <w:kern w:val="2"/>
      <w:sz w:val="18"/>
      <w:szCs w:val="18"/>
    </w:rPr>
  </w:style>
  <w:style w:type="character" w:customStyle="1" w:styleId="15">
    <w:name w:val="UserStyle_2"/>
    <w:basedOn w:val="11"/>
    <w:link w:val="1"/>
    <w:qFormat/>
    <w:uiPriority w:val="0"/>
    <w:rPr>
      <w:rFonts w:ascii="宋体" w:hAnsi="宋体" w:eastAsia="宋体"/>
      <w:color w:val="000000"/>
      <w:sz w:val="24"/>
      <w:szCs w:val="24"/>
    </w:rPr>
  </w:style>
  <w:style w:type="character" w:customStyle="1" w:styleId="16">
    <w:name w:val="FootnoteReference"/>
    <w:basedOn w:val="11"/>
    <w:link w:val="1"/>
    <w:qFormat/>
    <w:uiPriority w:val="0"/>
    <w:rPr>
      <w:vertAlign w:val="superscript"/>
    </w:rPr>
  </w:style>
  <w:style w:type="character" w:customStyle="1" w:styleId="17">
    <w:name w:val="UserStyle_3"/>
    <w:basedOn w:val="11"/>
    <w:link w:val="1"/>
    <w:qFormat/>
    <w:uiPriority w:val="0"/>
    <w:rPr>
      <w:rFonts w:ascii="宋体" w:hAnsi="宋体" w:eastAsia="宋体"/>
      <w:color w:val="000000"/>
      <w:sz w:val="20"/>
      <w:szCs w:val="20"/>
    </w:rPr>
  </w:style>
  <w:style w:type="character" w:customStyle="1" w:styleId="18">
    <w:name w:val="UserStyle_4"/>
    <w:basedOn w:val="11"/>
    <w:link w:val="1"/>
    <w:qFormat/>
    <w:uiPriority w:val="0"/>
    <w:rPr>
      <w:rFonts w:ascii="宋体" w:hAnsi="宋体" w:eastAsia="宋体"/>
      <w:color w:val="000000"/>
      <w:sz w:val="22"/>
      <w:szCs w:val="22"/>
    </w:rPr>
  </w:style>
  <w:style w:type="character" w:customStyle="1" w:styleId="19">
    <w:name w:val="UserStyle_5"/>
    <w:basedOn w:val="11"/>
    <w:link w:val="20"/>
    <w:semiHidden/>
    <w:qFormat/>
    <w:uiPriority w:val="0"/>
    <w:rPr>
      <w:kern w:val="2"/>
      <w:sz w:val="18"/>
      <w:szCs w:val="18"/>
    </w:rPr>
  </w:style>
  <w:style w:type="paragraph" w:customStyle="1" w:styleId="20">
    <w:name w:val="Acetate"/>
    <w:basedOn w:val="1"/>
    <w:link w:val="19"/>
    <w:qFormat/>
    <w:uiPriority w:val="0"/>
    <w:pPr>
      <w:jc w:val="both"/>
      <w:textAlignment w:val="baseline"/>
    </w:pPr>
    <w:rPr>
      <w:kern w:val="2"/>
      <w:sz w:val="18"/>
      <w:szCs w:val="18"/>
      <w:lang w:val="en-US" w:eastAsia="zh-CN" w:bidi="ar-SA"/>
    </w:rPr>
  </w:style>
  <w:style w:type="character" w:customStyle="1" w:styleId="21">
    <w:name w:val="UserStyle_6"/>
    <w:basedOn w:val="11"/>
    <w:link w:val="1"/>
    <w:qFormat/>
    <w:uiPriority w:val="0"/>
    <w:rPr>
      <w:rFonts w:ascii="宋体" w:hAnsi="宋体" w:eastAsia="宋体"/>
      <w:color w:val="000000"/>
      <w:sz w:val="22"/>
      <w:szCs w:val="22"/>
    </w:rPr>
  </w:style>
  <w:style w:type="character" w:customStyle="1" w:styleId="22">
    <w:name w:val="UserStyle_7"/>
    <w:basedOn w:val="11"/>
    <w:link w:val="1"/>
    <w:qFormat/>
    <w:uiPriority w:val="0"/>
    <w:rPr>
      <w:rFonts w:ascii="宋体" w:hAnsi="宋体" w:eastAsia="宋体"/>
      <w:color w:val="000000"/>
      <w:sz w:val="24"/>
      <w:szCs w:val="24"/>
    </w:rPr>
  </w:style>
  <w:style w:type="paragraph" w:customStyle="1" w:styleId="23">
    <w:name w:val="FootnoteText"/>
    <w:basedOn w:val="1"/>
    <w:qFormat/>
    <w:uiPriority w:val="0"/>
    <w:pPr>
      <w:snapToGrid w:val="0"/>
      <w:jc w:val="left"/>
      <w:textAlignment w:val="baseline"/>
    </w:pPr>
    <w:rPr>
      <w:kern w:val="2"/>
      <w:sz w:val="18"/>
      <w:szCs w:val="22"/>
      <w:lang w:val="en-US" w:eastAsia="zh-CN" w:bidi="ar-SA"/>
    </w:rPr>
  </w:style>
  <w:style w:type="paragraph" w:customStyle="1" w:styleId="24">
    <w:name w:val="UserStyle_8"/>
    <w:basedOn w:val="9"/>
    <w:qFormat/>
    <w:uiPriority w:val="0"/>
    <w:pPr>
      <w:keepNext/>
      <w:keepLines/>
      <w:spacing w:before="0" w:after="0" w:line="240" w:lineRule="auto"/>
      <w:jc w:val="center"/>
      <w:textAlignment w:val="baseline"/>
    </w:pPr>
    <w:rPr>
      <w:rFonts w:ascii="华文中宋" w:hAnsi="华文中宋" w:eastAsia="华文中宋" w:cs="Times New Roman"/>
      <w:kern w:val="44"/>
      <w:sz w:val="36"/>
      <w:szCs w:val="36"/>
      <w:lang w:val="en-US" w:eastAsia="zh-CN" w:bidi="ar-SA"/>
    </w:rPr>
  </w:style>
  <w:style w:type="paragraph" w:customStyle="1" w:styleId="25">
    <w:name w:val="PlainText"/>
    <w:basedOn w:val="1"/>
    <w:qFormat/>
    <w:uiPriority w:val="0"/>
    <w:pPr>
      <w:jc w:val="both"/>
      <w:textAlignment w:val="baseline"/>
    </w:pPr>
    <w:rPr>
      <w:rFonts w:ascii="宋体" w:hAnsi="Courier New"/>
      <w:kern w:val="2"/>
      <w:sz w:val="21"/>
      <w:szCs w:val="21"/>
      <w:lang w:val="en-US" w:eastAsia="zh-CN" w:bidi="ar-SA"/>
    </w:rPr>
  </w:style>
  <w:style w:type="paragraph" w:customStyle="1" w:styleId="26">
    <w:name w:val="AnnotationText"/>
    <w:basedOn w:val="1"/>
    <w:qFormat/>
    <w:uiPriority w:val="0"/>
    <w:pPr>
      <w:jc w:val="left"/>
      <w:textAlignment w:val="baseline"/>
    </w:pPr>
  </w:style>
  <w:style w:type="table" w:customStyle="1" w:styleId="27">
    <w:name w:val="TableGrid"/>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2021-05-26T01:23:00Z</dcterms:created>
  <dc:creator>lenovo</dc:creator>
  <cp:lastModifiedBy>明焰</cp:lastModifiedBy>
  <dcterms:modified xsi:type="dcterms:W3CDTF">2021-06-10T04:00:07Z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8F33F8AD56F24564807B6843DABB8B10</vt:lpwstr>
  </property>
</Properties>
</file>