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/>
          <w:color w:val="666666"/>
          <w:kern w:val="0"/>
          <w:sz w:val="39"/>
          <w:szCs w:val="39"/>
          <w:shd w:val="clear" w:color="auto" w:fill="FFFFFF"/>
        </w:rPr>
        <w:t>2021</w:t>
      </w:r>
      <w:r>
        <w:rPr>
          <w:rStyle w:val="a6"/>
          <w:rFonts w:ascii="楷体" w:eastAsia="楷体" w:hAnsi="楷体" w:cs="楷体"/>
          <w:color w:val="666666"/>
          <w:kern w:val="0"/>
          <w:sz w:val="39"/>
          <w:szCs w:val="39"/>
          <w:shd w:val="clear" w:color="auto" w:fill="FFFFFF"/>
        </w:rPr>
        <w:t>年</w:t>
      </w:r>
      <w:r>
        <w:rPr>
          <w:rStyle w:val="a6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罗山县石山口水库灌区管理局</w:t>
      </w:r>
      <w:r>
        <w:rPr>
          <w:rStyle w:val="a6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部门预算公开</w:t>
      </w:r>
    </w:p>
    <w:p w:rsidR="00143A47" w:rsidRDefault="007650E1">
      <w:pPr>
        <w:widowControl/>
        <w:shd w:val="clear" w:color="auto" w:fill="FFFFFF"/>
        <w:spacing w:before="300" w:line="420" w:lineRule="atLeast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39"/>
          <w:szCs w:val="39"/>
          <w:shd w:val="clear" w:color="auto" w:fill="FFFFFF"/>
        </w:rPr>
        <w:t> 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36"/>
          <w:szCs w:val="36"/>
          <w:shd w:val="clear" w:color="auto" w:fill="FFFFFF"/>
        </w:rPr>
        <w:t>目</w:t>
      </w:r>
      <w:r>
        <w:rPr>
          <w:rStyle w:val="a6"/>
          <w:rFonts w:ascii="楷体" w:eastAsia="楷体" w:hAnsi="楷体" w:cs="楷体" w:hint="eastAsia"/>
          <w:color w:val="666666"/>
          <w:kern w:val="0"/>
          <w:sz w:val="36"/>
          <w:szCs w:val="36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36"/>
          <w:szCs w:val="36"/>
          <w:shd w:val="clear" w:color="auto" w:fill="FFFFFF"/>
        </w:rPr>
        <w:t>录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第一部分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罗山县石山口水库灌区管理局概况</w:t>
      </w:r>
      <w:r>
        <w:rPr>
          <w:rStyle w:val="a6"/>
          <w:rFonts w:ascii="楷体" w:eastAsia="楷体" w:hAnsi="楷体" w:cs="楷体" w:hint="eastAsia"/>
          <w:color w:val="666666"/>
          <w:kern w:val="0"/>
          <w:sz w:val="30"/>
          <w:szCs w:val="30"/>
          <w:shd w:val="clear" w:color="auto" w:fill="FFFFFF"/>
        </w:rPr>
        <w:t> 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一、主要职能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二、机构设置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年度部门预算情况明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第三部分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名词解释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附件：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年度部门预算表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一、部门收支总体情况表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二、部门收入总体情况表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三、部门支出总体情况表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四、财政拨款收支总体情况表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五、一般公共预算支出情况表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六、一般公共预算基本支出情况表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七、一般公共预算“三公”经费支出情况表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八、政府性基金预算支出情况表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</w:p>
    <w:p w:rsidR="00143A47" w:rsidRDefault="007650E1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第一部分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罗山县石山口水库灌区管理局概况</w:t>
      </w:r>
    </w:p>
    <w:p w:rsidR="00143A47" w:rsidRDefault="007650E1">
      <w:pPr>
        <w:widowControl/>
        <w:spacing w:before="300"/>
        <w:jc w:val="left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一、罗山县石山口水库灌区管理局主要职责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1</w:t>
      </w:r>
      <w:r>
        <w:rPr>
          <w:rFonts w:ascii="楷体" w:eastAsia="楷体" w:hAnsi="楷体" w:hint="eastAsia"/>
          <w:color w:val="000000"/>
          <w:sz w:val="27"/>
          <w:szCs w:val="27"/>
        </w:rPr>
        <w:t>、按照水利工程管理单位的职责要求，对石山口水库、灌区以及小龙山、子路河、养马河三座拦河枢纽，吴塘、鲁寨、曹门三座小型水库等水利工程进行科学管理，做好水利工程的检查、巡查、观测，掌握工程动态，消除工程及防洪隐患，确保工程和防洪安全；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2</w:t>
      </w:r>
      <w:r>
        <w:rPr>
          <w:rFonts w:ascii="楷体" w:eastAsia="楷体" w:hAnsi="楷体" w:hint="eastAsia"/>
          <w:color w:val="000000"/>
          <w:sz w:val="27"/>
          <w:szCs w:val="27"/>
        </w:rPr>
        <w:t>、监督保护好库区范围内的森林植被、生态环境；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3</w:t>
      </w:r>
      <w:r>
        <w:rPr>
          <w:rFonts w:ascii="楷体" w:eastAsia="楷体" w:hAnsi="楷体" w:hint="eastAsia"/>
          <w:color w:val="000000"/>
          <w:sz w:val="27"/>
          <w:szCs w:val="27"/>
        </w:rPr>
        <w:t>、监督、控制水资源污染，实现资源的永久利用；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4</w:t>
      </w:r>
      <w:r>
        <w:rPr>
          <w:rFonts w:ascii="楷体" w:eastAsia="楷体" w:hAnsi="楷体" w:hint="eastAsia"/>
          <w:color w:val="000000"/>
          <w:sz w:val="27"/>
          <w:szCs w:val="27"/>
        </w:rPr>
        <w:t>、加强对水资源的优化配置和科学管理，满足农业用水，服务和发展城市供水；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5</w:t>
      </w:r>
      <w:r>
        <w:rPr>
          <w:rFonts w:ascii="楷体" w:eastAsia="楷体" w:hAnsi="楷体" w:hint="eastAsia"/>
          <w:color w:val="000000"/>
          <w:sz w:val="27"/>
          <w:szCs w:val="27"/>
        </w:rPr>
        <w:t>、依托水土</w:t>
      </w:r>
      <w:r>
        <w:rPr>
          <w:rFonts w:ascii="楷体" w:eastAsia="楷体" w:hAnsi="楷体" w:hint="eastAsia"/>
          <w:color w:val="000000"/>
          <w:sz w:val="27"/>
          <w:szCs w:val="27"/>
        </w:rPr>
        <w:t>资源优势，指导发展供水、水力发电、水产养殖、旅游开发及其他综合经营，充分发挥水土资源的综合效益；</w:t>
      </w:r>
    </w:p>
    <w:p w:rsidR="00143A47" w:rsidRDefault="007650E1">
      <w:pPr>
        <w:spacing w:line="600" w:lineRule="exact"/>
        <w:ind w:firstLineChars="200" w:firstLine="540"/>
        <w:rPr>
          <w:rFonts w:ascii="楷体" w:eastAsia="楷体" w:hAnsi="楷体"/>
          <w:color w:val="000000"/>
          <w:sz w:val="27"/>
          <w:szCs w:val="27"/>
        </w:rPr>
      </w:pPr>
      <w:r>
        <w:rPr>
          <w:rFonts w:ascii="楷体" w:eastAsia="楷体" w:hAnsi="楷体" w:hint="eastAsia"/>
          <w:color w:val="000000"/>
          <w:sz w:val="27"/>
          <w:szCs w:val="27"/>
        </w:rPr>
        <w:t>6</w:t>
      </w:r>
      <w:r>
        <w:rPr>
          <w:rFonts w:ascii="楷体" w:eastAsia="楷体" w:hAnsi="楷体" w:hint="eastAsia"/>
          <w:color w:val="000000"/>
          <w:sz w:val="27"/>
          <w:szCs w:val="27"/>
        </w:rPr>
        <w:t>、完成县委、县政府交办的其他工作任务。</w:t>
      </w:r>
    </w:p>
    <w:p w:rsidR="00143A47" w:rsidRDefault="007650E1">
      <w:pPr>
        <w:widowControl/>
        <w:ind w:firstLineChars="200" w:firstLine="540"/>
        <w:jc w:val="left"/>
        <w:rPr>
          <w:rFonts w:ascii="楷体" w:eastAsia="楷体" w:hAnsi="楷体" w:cs="楷体"/>
          <w:kern w:val="0"/>
          <w:sz w:val="27"/>
          <w:szCs w:val="27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二、石山口水库灌区管理局机构设置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kern w:val="0"/>
          <w:sz w:val="27"/>
          <w:szCs w:val="27"/>
        </w:rPr>
        <w:t>罗山县石山口水库灌区管理局内设机构</w:t>
      </w:r>
      <w:r>
        <w:rPr>
          <w:rFonts w:ascii="楷体" w:eastAsia="楷体" w:hAnsi="楷体" w:cs="楷体" w:hint="eastAsia"/>
          <w:kern w:val="0"/>
          <w:sz w:val="27"/>
          <w:szCs w:val="27"/>
        </w:rPr>
        <w:t>5</w:t>
      </w:r>
      <w:r>
        <w:rPr>
          <w:rFonts w:ascii="楷体" w:eastAsia="楷体" w:hAnsi="楷体" w:cs="楷体" w:hint="eastAsia"/>
          <w:kern w:val="0"/>
          <w:sz w:val="27"/>
          <w:szCs w:val="27"/>
        </w:rPr>
        <w:t>个，包括：办公室、人事股、工程管理股、财务股、灌溉管理股。另设有党务办、综治办、水污染防治办、社会事务服务中心。</w:t>
      </w:r>
    </w:p>
    <w:p w:rsidR="00143A47" w:rsidRDefault="007650E1">
      <w:pPr>
        <w:widowControl/>
        <w:ind w:firstLineChars="200" w:firstLine="540"/>
        <w:jc w:val="left"/>
        <w:rPr>
          <w:rFonts w:ascii="楷体" w:eastAsia="楷体" w:hAnsi="楷体" w:cs="楷体"/>
          <w:kern w:val="0"/>
          <w:sz w:val="27"/>
          <w:szCs w:val="27"/>
        </w:rPr>
      </w:pPr>
      <w:r>
        <w:rPr>
          <w:rFonts w:ascii="楷体" w:eastAsia="楷体" w:hAnsi="楷体" w:cs="楷体" w:hint="eastAsia"/>
          <w:kern w:val="0"/>
          <w:sz w:val="27"/>
          <w:szCs w:val="27"/>
        </w:rPr>
        <w:t>从</w:t>
      </w:r>
      <w:r>
        <w:rPr>
          <w:rFonts w:ascii="楷体" w:eastAsia="楷体" w:hAnsi="楷体" w:cs="楷体" w:hint="eastAsia"/>
          <w:kern w:val="0"/>
          <w:sz w:val="27"/>
          <w:szCs w:val="27"/>
        </w:rPr>
        <w:t>预算</w:t>
      </w:r>
      <w:r>
        <w:rPr>
          <w:rFonts w:ascii="楷体" w:eastAsia="楷体" w:hAnsi="楷体" w:cs="楷体" w:hint="eastAsia"/>
          <w:kern w:val="0"/>
          <w:sz w:val="27"/>
          <w:szCs w:val="27"/>
        </w:rPr>
        <w:t>单位构成看，罗山县石山口水库灌区管理局</w:t>
      </w:r>
      <w:r>
        <w:rPr>
          <w:rFonts w:ascii="楷体" w:eastAsia="楷体" w:hAnsi="楷体" w:cs="楷体" w:hint="eastAsia"/>
          <w:kern w:val="0"/>
          <w:sz w:val="27"/>
          <w:szCs w:val="27"/>
        </w:rPr>
        <w:t>属于一级决算单位。</w:t>
      </w:r>
      <w:r>
        <w:rPr>
          <w:rFonts w:ascii="楷体" w:eastAsia="楷体" w:hAnsi="楷体" w:cs="楷体" w:hint="eastAsia"/>
          <w:kern w:val="0"/>
          <w:sz w:val="27"/>
          <w:szCs w:val="27"/>
        </w:rPr>
        <w:t>2021</w:t>
      </w:r>
      <w:r>
        <w:rPr>
          <w:rFonts w:ascii="楷体" w:eastAsia="楷体" w:hAnsi="楷体" w:cs="楷体" w:hint="eastAsia"/>
          <w:kern w:val="0"/>
          <w:sz w:val="27"/>
          <w:szCs w:val="27"/>
        </w:rPr>
        <w:t>年预算只包括本级预算。</w:t>
      </w:r>
    </w:p>
    <w:p w:rsidR="00143A47" w:rsidRDefault="007650E1">
      <w:pPr>
        <w:widowControl/>
        <w:ind w:firstLineChars="200" w:firstLine="540"/>
        <w:jc w:val="left"/>
        <w:rPr>
          <w:rFonts w:ascii="楷体" w:eastAsia="楷体" w:hAnsi="楷体" w:cs="楷体"/>
          <w:kern w:val="0"/>
          <w:sz w:val="27"/>
          <w:szCs w:val="27"/>
        </w:rPr>
      </w:pPr>
      <w:r>
        <w:rPr>
          <w:rFonts w:ascii="楷体" w:eastAsia="楷体" w:hAnsi="楷体" w:cs="楷体" w:hint="eastAsia"/>
          <w:kern w:val="0"/>
          <w:sz w:val="27"/>
          <w:szCs w:val="27"/>
        </w:rPr>
        <w:lastRenderedPageBreak/>
        <w:t>纳入本部门</w:t>
      </w:r>
      <w:r>
        <w:rPr>
          <w:rFonts w:ascii="楷体" w:eastAsia="楷体" w:hAnsi="楷体" w:cs="楷体" w:hint="eastAsia"/>
          <w:kern w:val="0"/>
          <w:sz w:val="27"/>
          <w:szCs w:val="27"/>
        </w:rPr>
        <w:t>2021</w:t>
      </w:r>
      <w:r>
        <w:rPr>
          <w:rFonts w:ascii="楷体" w:eastAsia="楷体" w:hAnsi="楷体" w:cs="楷体" w:hint="eastAsia"/>
          <w:kern w:val="0"/>
          <w:sz w:val="27"/>
          <w:szCs w:val="27"/>
        </w:rPr>
        <w:t>年度部门预算编制范围的单位共</w:t>
      </w:r>
      <w:r>
        <w:rPr>
          <w:rFonts w:ascii="楷体" w:eastAsia="楷体" w:hAnsi="楷体" w:cs="楷体" w:hint="eastAsia"/>
          <w:kern w:val="0"/>
          <w:sz w:val="27"/>
          <w:szCs w:val="27"/>
        </w:rPr>
        <w:t>1</w:t>
      </w:r>
      <w:r>
        <w:rPr>
          <w:rFonts w:ascii="楷体" w:eastAsia="楷体" w:hAnsi="楷体" w:cs="楷体" w:hint="eastAsia"/>
          <w:kern w:val="0"/>
          <w:sz w:val="27"/>
          <w:szCs w:val="27"/>
        </w:rPr>
        <w:t>个，具体是：</w:t>
      </w:r>
    </w:p>
    <w:p w:rsidR="00143A47" w:rsidRDefault="00143A47">
      <w:pPr>
        <w:widowControl/>
        <w:ind w:firstLineChars="200" w:firstLine="540"/>
        <w:jc w:val="left"/>
        <w:rPr>
          <w:rFonts w:ascii="楷体" w:eastAsia="楷体" w:hAnsi="楷体" w:cs="楷体"/>
          <w:kern w:val="0"/>
          <w:sz w:val="27"/>
          <w:szCs w:val="27"/>
        </w:rPr>
      </w:pPr>
    </w:p>
    <w:p w:rsidR="00143A47" w:rsidRDefault="007650E1">
      <w:pPr>
        <w:widowControl/>
        <w:ind w:firstLineChars="200" w:firstLine="540"/>
        <w:jc w:val="left"/>
        <w:rPr>
          <w:rFonts w:ascii="楷体" w:eastAsia="楷体" w:hAnsi="楷体" w:cs="楷体"/>
          <w:kern w:val="0"/>
          <w:sz w:val="27"/>
          <w:szCs w:val="27"/>
        </w:rPr>
      </w:pPr>
      <w:r>
        <w:rPr>
          <w:rFonts w:ascii="楷体" w:eastAsia="楷体" w:hAnsi="楷体" w:cs="楷体" w:hint="eastAsia"/>
          <w:kern w:val="0"/>
          <w:sz w:val="27"/>
          <w:szCs w:val="27"/>
        </w:rPr>
        <w:t>1.</w:t>
      </w:r>
      <w:r>
        <w:rPr>
          <w:rFonts w:ascii="楷体" w:eastAsia="楷体" w:hAnsi="楷体" w:cs="楷体" w:hint="eastAsia"/>
          <w:kern w:val="0"/>
          <w:sz w:val="27"/>
          <w:szCs w:val="27"/>
        </w:rPr>
        <w:t>罗山县石山口水库灌区管理局本级</w:t>
      </w:r>
    </w:p>
    <w:p w:rsidR="00143A47" w:rsidRDefault="00143A47">
      <w:pPr>
        <w:widowControl/>
        <w:jc w:val="left"/>
        <w:rPr>
          <w:rFonts w:ascii="楷体" w:eastAsia="楷体" w:hAnsi="楷体" w:cs="楷体"/>
          <w:kern w:val="0"/>
          <w:sz w:val="27"/>
          <w:szCs w:val="27"/>
        </w:rPr>
        <w:sectPr w:rsidR="00143A47">
          <w:pgSz w:w="11906" w:h="16838"/>
          <w:pgMar w:top="1440" w:right="1800" w:bottom="1440" w:left="1800" w:header="720" w:footer="720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143A47" w:rsidRDefault="00143A47">
      <w:pPr>
        <w:spacing w:line="600" w:lineRule="exact"/>
        <w:ind w:firstLine="630"/>
        <w:rPr>
          <w:rFonts w:ascii="楷体" w:eastAsia="楷体" w:hAnsi="楷体"/>
          <w:color w:val="000000"/>
          <w:sz w:val="27"/>
          <w:szCs w:val="27"/>
        </w:rPr>
      </w:pPr>
    </w:p>
    <w:p w:rsidR="00143A47" w:rsidRDefault="007650E1">
      <w:pPr>
        <w:widowControl/>
        <w:spacing w:before="300"/>
        <w:jc w:val="center"/>
        <w:rPr>
          <w:rFonts w:ascii="楷体" w:eastAsia="楷体" w:hAnsi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第二部分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年度部门预算情况说明</w:t>
      </w:r>
    </w:p>
    <w:p w:rsidR="00143A47" w:rsidRDefault="007650E1">
      <w:pPr>
        <w:widowControl/>
        <w:spacing w:line="600" w:lineRule="exact"/>
        <w:jc w:val="left"/>
        <w:rPr>
          <w:rFonts w:ascii="楷体" w:eastAsia="楷体" w:hAnsi="楷体" w:cs="楷体"/>
          <w:color w:val="000000"/>
          <w:kern w:val="0"/>
          <w:sz w:val="27"/>
          <w:szCs w:val="27"/>
        </w:rPr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年收入总计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万元，支出总计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年预算相比，收入增加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30.649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万元，增长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4.24%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。主要原因：人员经费增加，专项资金项目增加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;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支出增加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30.649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万元，增长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4.24%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。主要原因：人员经费增加，专项资金项目增加。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二、收入预算总体情况说明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年收入合计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万元，其中：一般公共预算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;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政府性基金收入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万元；专户管理的教育收费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年支出合计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万元，其中：基本支出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448.0417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59.49%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；项目支出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305.056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40.51%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四、财政拨款收入支出预算总体情况说明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年一般公共预算收支预算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万元，政府性基金收支预算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万元。与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年相比，一般公共预算收支预算各增加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30.649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万元，增长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4.24%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，主要原因：人员经费增加，专项资金项目增加；政府性基金收支预算增加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五、一般公共预算支出预算情况说明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年一般公共预算支出年初预算为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753.0977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万元。主要用于以下方面：人员工资及商品服务支出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413.6307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54.92%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；专项资金、其他业务项目支出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305.056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40.51%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；住房保障类支出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34.411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万元，占年初预算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4.57%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六、一般公共预算基本支出预算情况说明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年一般公共预算基本支出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448.0417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万元，其中：人员经费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427.3314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万元，主要包括：基本工资、津贴补贴、奖金、社会保障缴费、绩效工资、离休费、退休费、遗属补助、住房公积金等；公用经费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20.7103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万元，主要包括：办公费、印刷费、咨询费、手续费、水费、电费、邮电费、取暖费、物业管理费、差旅费、因公出国（境）费、维修（护）费、租赁费、会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议费、培训费、公务接待费、专用材料费、劳务费、工会经费、福利费、公务用车运行维护费、其他交通费用等。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七、政府性基金预算支出预算情况说明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我局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年无使用政府性基金预算拨款安排的支出。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八、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“三公”经费支出预算情况说明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我局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年“三公”经费预算为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8.5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年“三公”经费支出预算数比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具体支出情况如下：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（一）因公出国（境）费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万元，主要用于单位工作人员公务出国（境）的住宿费、旅费、伙食补助费、杂费、培训费等支出。预算数比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年增加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（二）公务用车购置及运行费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2.5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万元，其中，公务用车购置费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万元；公务用车运行维护费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2.5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万元，主要用于开展工作所需公务用车的燃料费、维修费、过路过桥费、保险费、安全奖励费用等支出。公务用车购置费预算数比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年相比无差异。公务用车运行维护费预算数比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年增加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年相比无差异。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（三）公务接待费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6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万元，主要用于按规定开支的各类公务接待（含外宾接待）支出。预算数与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年相比无差异。主要原因：我局将按照中央八项规定和省委省政府厉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行节约的相关规定要求，严格管控“三公”经费支出。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b/>
          <w:bCs/>
          <w:color w:val="666666"/>
          <w:kern w:val="0"/>
          <w:sz w:val="27"/>
          <w:szCs w:val="27"/>
          <w:shd w:val="clear" w:color="auto" w:fill="FFFFFF"/>
        </w:rPr>
        <w:t>九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、其他重要事项情况说明（以下情况金额为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的，仍需进行情况说明）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（一）机关运行经费支出情况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年机关运行经费支出预算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20.7103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万元，主要保障机构正常运转及正常履职需要，完成预算年度主要工作任务需要。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（二）政府采购支出情况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罗山县石山口水库灌区管理局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2021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年政府采购预算安排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15.098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万元，其中：政府采购货物预算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15.098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万元、政府采购工程预算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万元。采购内容包括计算机设备购置、打印机设备购置等。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（三）绩效目标设置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情况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000000"/>
          <w:kern w:val="0"/>
          <w:sz w:val="27"/>
          <w:szCs w:val="27"/>
        </w:rPr>
        <w:t xml:space="preserve"> </w:t>
      </w:r>
      <w:r>
        <w:rPr>
          <w:rFonts w:ascii="楷体" w:eastAsia="楷体" w:hAnsi="楷体" w:cs="楷体" w:hint="eastAsia"/>
          <w:color w:val="000000"/>
          <w:kern w:val="0"/>
          <w:sz w:val="27"/>
          <w:szCs w:val="27"/>
        </w:rPr>
        <w:t>罗山县石山口水库灌区管理局</w:t>
      </w:r>
      <w:r>
        <w:rPr>
          <w:rFonts w:ascii="楷体" w:eastAsia="楷体" w:hAnsi="楷体" w:cs="楷体" w:hint="eastAsia"/>
          <w:color w:val="000000"/>
          <w:kern w:val="0"/>
          <w:sz w:val="27"/>
          <w:szCs w:val="27"/>
        </w:rPr>
        <w:t>2021</w:t>
      </w:r>
      <w:r>
        <w:rPr>
          <w:rFonts w:ascii="楷体" w:eastAsia="楷体" w:hAnsi="楷体" w:cs="楷体" w:hint="eastAsia"/>
          <w:color w:val="000000"/>
          <w:kern w:val="0"/>
          <w:sz w:val="27"/>
          <w:szCs w:val="27"/>
        </w:rPr>
        <w:t>年没有开展项目预算绩效评价。</w:t>
      </w:r>
    </w:p>
    <w:p w:rsidR="00143A47" w:rsidRDefault="007650E1">
      <w:pPr>
        <w:widowControl/>
        <w:spacing w:before="300"/>
        <w:jc w:val="left"/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（四）国有资产占用情况。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2020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年期末，我局共有车辆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辆，其中：一般公务用车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辆、一般执法执勤用车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辆、特种专业技术用车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辆，其他用车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辆；单价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50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万元以上通用设备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台（套），单位价值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100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万元以上专用设备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0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台（套）。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</w:p>
    <w:p w:rsidR="00143A47" w:rsidRDefault="007650E1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微软雅黑"/>
          <w:color w:val="666666"/>
          <w:szCs w:val="21"/>
        </w:rPr>
      </w:pP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 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第三部分</w:t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Style w:val="a6"/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名词解释</w:t>
      </w:r>
    </w:p>
    <w:p w:rsidR="00143A47" w:rsidRDefault="007650E1">
      <w:pPr>
        <w:widowControl/>
        <w:spacing w:before="300"/>
        <w:jc w:val="left"/>
      </w:pP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一、财政拨款收入：是指省级财政当年拨付的资金。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二、事业收入：是指事业单位开展专业活动及辅助活动所取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得的收入。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三、其他收入：是指部门取得的除“财政拨款”、“事业收入”、“事业单位经营收入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”等以外的收入。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支差额的基金）弥补当年收支缺口的资金。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五、基本支出：是指为保障机构正常运转、完成日常工作任务所必需的开支，其内容包括人员经费和日常公用经费两部分。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六、项目支出：是指在基本支出之外，为完成特定的行政工作任务或事业发展目标所发生的支出。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七、“三公”经费：是指纳入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省级财政预算管理，部门使用财政拨款安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lastRenderedPageBreak/>
        <w:t>排的因公出国（境）费、公务用车购置及运行费和公务接待费。其中，因公出国（境）</w:t>
      </w:r>
      <w:proofErr w:type="gramStart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费反映</w:t>
      </w:r>
      <w:proofErr w:type="gramEnd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单位公务出国（境）的住宿费、旅费、伙食补助费、杂费、培训费等支出；公务用车购置及运行</w:t>
      </w:r>
      <w:proofErr w:type="gramStart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费反映</w:t>
      </w:r>
      <w:proofErr w:type="gramEnd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单位公务用车购置费及租用费、燃料费、维修费、过路过桥费、保险费、安全奖励费用等支出；公务接待</w:t>
      </w:r>
      <w:proofErr w:type="gramStart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费反映</w:t>
      </w:r>
      <w:proofErr w:type="gramEnd"/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单位按规定开支的各类公务接待（含外宾接待）支出。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八、机关运行经费：是指为保障行政单位（含参照公务员法管理的事业单位）运行用于购买货物和服务的各项资金，包括办公及印刷费、邮电费、差旅费、会议费、福利费、日常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维修费及一般设备购置费、办公用房水电费、办公用房取暖费、办公用房物业管理费、公务用车运行维护费以及其他费用。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  <w:t> 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附件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t>:</w:t>
      </w:r>
      <w:r>
        <w:rPr>
          <w:rFonts w:ascii="楷体" w:eastAsia="楷体" w:hAnsi="楷体" w:cs="楷体" w:hint="eastAsia"/>
          <w:color w:val="666666"/>
          <w:kern w:val="0"/>
          <w:sz w:val="27"/>
          <w:szCs w:val="27"/>
          <w:shd w:val="clear" w:color="auto" w:fill="FFFFFF"/>
        </w:rPr>
        <w:br/>
      </w:r>
    </w:p>
    <w:p w:rsidR="00143A47" w:rsidRDefault="00143A47"/>
    <w:sectPr w:rsidR="00143A4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50E1">
      <w:r>
        <w:separator/>
      </w:r>
    </w:p>
  </w:endnote>
  <w:endnote w:type="continuationSeparator" w:id="0">
    <w:p w:rsidR="00000000" w:rsidRDefault="0076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A47" w:rsidRDefault="007650E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43A47" w:rsidRDefault="007650E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" filled="f" stroked="f" strokeweight=".5pt">
              <v:textbox style="mso-fit-shape-to-text:t" inset="0,0,0,0">
                <w:txbxContent>
                  <w:p w:rsidR="00143A47" w:rsidRDefault="007650E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50E1">
      <w:r>
        <w:separator/>
      </w:r>
    </w:p>
  </w:footnote>
  <w:footnote w:type="continuationSeparator" w:id="0">
    <w:p w:rsidR="00000000" w:rsidRDefault="0076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4A84"/>
    <w:rsid w:val="0005572B"/>
    <w:rsid w:val="001011A8"/>
    <w:rsid w:val="001425D2"/>
    <w:rsid w:val="00143A47"/>
    <w:rsid w:val="001656FE"/>
    <w:rsid w:val="00177B58"/>
    <w:rsid w:val="001A34A9"/>
    <w:rsid w:val="001A4931"/>
    <w:rsid w:val="002A1DBF"/>
    <w:rsid w:val="003033AA"/>
    <w:rsid w:val="003134D5"/>
    <w:rsid w:val="003B111A"/>
    <w:rsid w:val="003D6D45"/>
    <w:rsid w:val="004507AE"/>
    <w:rsid w:val="004770C1"/>
    <w:rsid w:val="004A10F5"/>
    <w:rsid w:val="005956C0"/>
    <w:rsid w:val="005A2DFE"/>
    <w:rsid w:val="00680C6C"/>
    <w:rsid w:val="006E0772"/>
    <w:rsid w:val="007650E1"/>
    <w:rsid w:val="00856588"/>
    <w:rsid w:val="0086121B"/>
    <w:rsid w:val="00862786"/>
    <w:rsid w:val="00892BD5"/>
    <w:rsid w:val="008D4CD8"/>
    <w:rsid w:val="00940D45"/>
    <w:rsid w:val="00A415FD"/>
    <w:rsid w:val="00A85856"/>
    <w:rsid w:val="00AA690D"/>
    <w:rsid w:val="00AC195E"/>
    <w:rsid w:val="00AE6549"/>
    <w:rsid w:val="00B80131"/>
    <w:rsid w:val="00B94E5A"/>
    <w:rsid w:val="00BC1128"/>
    <w:rsid w:val="00C55CF6"/>
    <w:rsid w:val="00C8077A"/>
    <w:rsid w:val="00D942A9"/>
    <w:rsid w:val="00DB660A"/>
    <w:rsid w:val="00DF468A"/>
    <w:rsid w:val="00E46181"/>
    <w:rsid w:val="00F97995"/>
    <w:rsid w:val="00FC1141"/>
    <w:rsid w:val="0FA9127B"/>
    <w:rsid w:val="58914A84"/>
    <w:rsid w:val="5FC52875"/>
    <w:rsid w:val="690B6848"/>
    <w:rsid w:val="69A32058"/>
    <w:rsid w:val="77F74BFF"/>
    <w:rsid w:val="7A284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4D656-5B89-4EF1-8182-F56E2ECF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2901</Words>
  <Characters>384</Characters>
  <Application>Microsoft Office Word</Application>
  <DocSecurity>0</DocSecurity>
  <Lines>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37</cp:revision>
  <cp:lastPrinted>2021-07-28T02:21:00Z</cp:lastPrinted>
  <dcterms:created xsi:type="dcterms:W3CDTF">2021-07-20T03:24:00Z</dcterms:created>
  <dcterms:modified xsi:type="dcterms:W3CDTF">2021-07-28T02:22:00Z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95C5DE78DC0B4B9090F6DA329522D616</vt:lpwstr>
  </property>
</Properties>
</file>