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3C6D" w:rsidRPr="00823C6D" w:rsidRDefault="00823C6D" w:rsidP="00823C6D">
      <w:pPr>
        <w:jc w:val="center"/>
        <w:rPr>
          <w:rFonts w:ascii="仿宋_GB2312" w:eastAsia="仿宋_GB2312"/>
          <w:b/>
          <w:bCs/>
          <w:sz w:val="30"/>
          <w:szCs w:val="30"/>
        </w:rPr>
      </w:pPr>
      <w:r w:rsidRPr="00823C6D">
        <w:rPr>
          <w:rFonts w:ascii="仿宋_GB2312" w:eastAsia="仿宋_GB2312" w:hint="eastAsia"/>
          <w:b/>
          <w:bCs/>
          <w:sz w:val="30"/>
          <w:szCs w:val="30"/>
        </w:rPr>
        <w:t>罗山县</w:t>
      </w:r>
      <w:r w:rsidR="00BE293D">
        <w:rPr>
          <w:rFonts w:ascii="仿宋_GB2312" w:eastAsia="仿宋_GB2312" w:hint="eastAsia"/>
          <w:b/>
          <w:bCs/>
          <w:sz w:val="30"/>
          <w:szCs w:val="30"/>
        </w:rPr>
        <w:t>20</w:t>
      </w:r>
      <w:r w:rsidR="003127F1">
        <w:rPr>
          <w:rFonts w:ascii="仿宋_GB2312" w:eastAsia="仿宋_GB2312" w:hint="eastAsia"/>
          <w:b/>
          <w:bCs/>
          <w:sz w:val="30"/>
          <w:szCs w:val="30"/>
        </w:rPr>
        <w:t>20</w:t>
      </w:r>
      <w:r w:rsidR="00BE293D">
        <w:rPr>
          <w:rFonts w:ascii="仿宋_GB2312" w:eastAsia="仿宋_GB2312" w:hint="eastAsia"/>
          <w:b/>
          <w:bCs/>
          <w:sz w:val="30"/>
          <w:szCs w:val="30"/>
        </w:rPr>
        <w:t>年</w:t>
      </w:r>
      <w:r w:rsidRPr="00823C6D">
        <w:rPr>
          <w:rFonts w:ascii="仿宋_GB2312" w:eastAsia="仿宋_GB2312" w:hint="eastAsia"/>
          <w:b/>
          <w:bCs/>
          <w:sz w:val="30"/>
          <w:szCs w:val="30"/>
        </w:rPr>
        <w:t>预算绩效管理工作开展情况的说明</w:t>
      </w:r>
    </w:p>
    <w:p w:rsidR="003127F1" w:rsidRDefault="00823C6D" w:rsidP="003127F1">
      <w:pPr>
        <w:spacing w:line="600" w:lineRule="exact"/>
        <w:ind w:firstLineChars="200" w:firstLine="600"/>
        <w:rPr>
          <w:rFonts w:ascii="黑体" w:eastAsia="黑体" w:hAnsi="黑体" w:cs="黑体"/>
          <w:color w:val="000000"/>
          <w:sz w:val="32"/>
          <w:szCs w:val="32"/>
        </w:rPr>
      </w:pPr>
      <w:r>
        <w:rPr>
          <w:rFonts w:ascii="仿宋_GB2312" w:eastAsia="仿宋_GB2312" w:hint="eastAsia"/>
          <w:sz w:val="30"/>
          <w:szCs w:val="30"/>
        </w:rPr>
        <w:t xml:space="preserve"> </w:t>
      </w:r>
      <w:r w:rsidR="003127F1">
        <w:rPr>
          <w:rFonts w:ascii="仿宋_GB2312" w:eastAsia="仿宋_GB2312" w:hAnsi="宋体" w:cs="宋体" w:hint="eastAsia"/>
          <w:kern w:val="0"/>
          <w:sz w:val="32"/>
          <w:szCs w:val="32"/>
        </w:rPr>
        <w:t>2020年，全县财政工作在县委、县政府的坚强领导下，积极应对风险挑战，迎难而上，克难前行，财政收支双双实现由负转正。全县地方一般公共预算收入完成75633万元，同比</w:t>
      </w:r>
      <w:r w:rsidR="003127F1">
        <w:rPr>
          <w:rFonts w:ascii="仿宋_GB2312" w:eastAsia="仿宋_GB2312" w:hAnsi="宋体" w:cs="宋体" w:hint="eastAsia"/>
          <w:kern w:val="0"/>
          <w:sz w:val="30"/>
          <w:szCs w:val="30"/>
        </w:rPr>
        <w:t>增长2.2%，增幅位居全市第七，高于全市平均增幅0.2个百分点</w:t>
      </w:r>
      <w:r w:rsidR="003127F1">
        <w:rPr>
          <w:rFonts w:ascii="仿宋_GB2312" w:eastAsia="仿宋_GB2312" w:hAnsi="宋体" w:cs="宋体" w:hint="eastAsia"/>
          <w:kern w:val="0"/>
          <w:sz w:val="32"/>
          <w:szCs w:val="32"/>
        </w:rPr>
        <w:t>。其中：</w:t>
      </w:r>
      <w:r w:rsidR="003127F1">
        <w:rPr>
          <w:rFonts w:ascii="仿宋_GB2312" w:eastAsia="仿宋_GB2312" w:hAnsi="宋体" w:cs="宋体" w:hint="eastAsia"/>
          <w:kern w:val="0"/>
          <w:sz w:val="30"/>
          <w:szCs w:val="30"/>
        </w:rPr>
        <w:t>税收完成43044万元，税收占比为56.9%。</w:t>
      </w:r>
      <w:r w:rsidR="003127F1">
        <w:rPr>
          <w:rFonts w:ascii="仿宋_GB2312" w:eastAsia="仿宋_GB2312" w:hAnsi="宋体" w:cs="宋体" w:hint="eastAsia"/>
          <w:kern w:val="0"/>
          <w:sz w:val="32"/>
          <w:szCs w:val="32"/>
        </w:rPr>
        <w:t>全县一般公共预算支出完成448525万元，同比增长5.2%。</w:t>
      </w:r>
    </w:p>
    <w:p w:rsidR="003127F1" w:rsidRDefault="003127F1" w:rsidP="003127F1">
      <w:pPr>
        <w:pStyle w:val="a5"/>
        <w:widowControl/>
        <w:spacing w:beforeAutospacing="0" w:afterAutospacing="0" w:line="600" w:lineRule="exact"/>
        <w:ind w:firstLineChars="200" w:firstLine="640"/>
        <w:rPr>
          <w:rFonts w:ascii="黑体" w:eastAsia="黑体" w:hAnsi="黑体" w:cs="黑体"/>
          <w:color w:val="000000"/>
          <w:kern w:val="2"/>
          <w:sz w:val="32"/>
          <w:szCs w:val="32"/>
        </w:rPr>
      </w:pPr>
      <w:r>
        <w:rPr>
          <w:rFonts w:ascii="黑体" w:eastAsia="黑体" w:hAnsi="黑体" w:cs="黑体" w:hint="eastAsia"/>
          <w:color w:val="000000"/>
          <w:kern w:val="2"/>
          <w:sz w:val="32"/>
          <w:szCs w:val="32"/>
        </w:rPr>
        <w:t>一、主要工作开展情况</w:t>
      </w:r>
    </w:p>
    <w:p w:rsidR="003127F1" w:rsidRDefault="003127F1" w:rsidP="003127F1">
      <w:pPr>
        <w:pStyle w:val="a5"/>
        <w:widowControl/>
        <w:spacing w:beforeAutospacing="0" w:afterAutospacing="0" w:line="600" w:lineRule="exact"/>
        <w:ind w:firstLineChars="200" w:firstLine="640"/>
        <w:rPr>
          <w:rFonts w:ascii="仿宋_GB2312" w:eastAsia="仿宋_GB2312" w:hAnsi="仿宋_GB2312" w:cs="仿宋_GB2312"/>
          <w:color w:val="000000"/>
          <w:kern w:val="2"/>
          <w:sz w:val="32"/>
          <w:szCs w:val="32"/>
        </w:rPr>
      </w:pPr>
      <w:r>
        <w:rPr>
          <w:rFonts w:ascii="楷体_GB2312" w:eastAsia="楷体_GB2312" w:hAnsi="楷体_GB2312" w:cs="楷体_GB2312" w:hint="eastAsia"/>
          <w:color w:val="000000"/>
          <w:kern w:val="2"/>
          <w:sz w:val="32"/>
          <w:szCs w:val="32"/>
        </w:rPr>
        <w:t>（一）财政保障积极有为。</w:t>
      </w:r>
      <w:r>
        <w:rPr>
          <w:rFonts w:ascii="仿宋_GB2312" w:eastAsia="仿宋_GB2312" w:hAnsi="仿宋_GB2312" w:cs="仿宋_GB2312" w:hint="eastAsia"/>
          <w:color w:val="000000"/>
          <w:kern w:val="2"/>
          <w:sz w:val="32"/>
          <w:szCs w:val="32"/>
        </w:rPr>
        <w:t>面对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极其复杂严峻的国内外形势</w:t>
      </w:r>
      <w:r>
        <w:rPr>
          <w:rFonts w:ascii="仿宋_GB2312" w:eastAsia="仿宋_GB2312" w:hAnsi="仿宋_GB2312" w:cs="仿宋_GB2312" w:hint="eastAsia"/>
          <w:color w:val="000000"/>
          <w:kern w:val="2"/>
          <w:sz w:val="32"/>
          <w:szCs w:val="32"/>
        </w:rPr>
        <w:t>，县财政部门积极发挥职能作用，拓宽资金渠道，着力解决“钱从哪里来”。一是强化增收节支。健全综合治税体系，全面加强税收征管，坚决杜绝跑冒滴漏，深挖增收潜力，财政收入最终实现了由负转正。同时，大力压缩非急需、非刚性支出，2020年一般性支出预算安排较2019年压减2370万元，腾出资金统筹用于“三保”等关键领域。二是积极向上争取。积极争取转移支付资金37.3亿元，政府债券资金98000万元，抗疫特别国债14054万元，充分发挥债券资金稳投资、扩内需、补短板的支撑作用。三是盘活存量资金。把长期闲置的资金予以收回，统筹使用，</w:t>
      </w:r>
      <w:r>
        <w:rPr>
          <w:rFonts w:ascii="仿宋_GB2312" w:eastAsia="仿宋_GB2312" w:hAnsi="宋体" w:cs="仿宋_GB2312" w:hint="eastAsia"/>
          <w:color w:val="000000"/>
          <w:sz w:val="32"/>
          <w:szCs w:val="32"/>
          <w:shd w:val="clear" w:color="auto" w:fill="FFFFFF"/>
        </w:rPr>
        <w:t>发挥资金使</w:t>
      </w:r>
      <w:r>
        <w:rPr>
          <w:rFonts w:ascii="仿宋_GB2312" w:eastAsia="仿宋_GB2312" w:hAnsi="仿宋_GB2312" w:cs="仿宋_GB2312" w:hint="eastAsia"/>
          <w:color w:val="000000"/>
          <w:kern w:val="2"/>
          <w:sz w:val="32"/>
          <w:szCs w:val="32"/>
        </w:rPr>
        <w:t>用效益。全年盘活财政存量资金</w:t>
      </w:r>
      <w:r>
        <w:rPr>
          <w:rFonts w:ascii="仿宋_GB2312" w:eastAsia="仿宋_GB2312" w:hAnsi="宋体" w:cs="仿宋_GB2312" w:hint="eastAsia"/>
          <w:color w:val="000000"/>
          <w:sz w:val="32"/>
          <w:szCs w:val="32"/>
          <w:shd w:val="clear" w:color="auto" w:fill="FFFFFF"/>
        </w:rPr>
        <w:t>20227万元。四是用活土地资源，</w:t>
      </w:r>
      <w:r>
        <w:rPr>
          <w:rFonts w:ascii="仿宋_GB2312" w:eastAsia="仿宋_GB2312" w:hAnsi="仿宋_GB2312" w:cs="仿宋_GB2312" w:hint="eastAsia"/>
          <w:color w:val="000000"/>
          <w:kern w:val="2"/>
          <w:sz w:val="32"/>
          <w:szCs w:val="32"/>
        </w:rPr>
        <w:t>实现土地出让收入76602万元、复垦土地B券交易18862万元，占补平衡指标交易8000万元，有效增强了财政保障能力。</w:t>
      </w:r>
    </w:p>
    <w:p w:rsidR="003127F1" w:rsidRDefault="003127F1" w:rsidP="003127F1">
      <w:pPr>
        <w:pStyle w:val="a5"/>
        <w:widowControl/>
        <w:spacing w:beforeAutospacing="0" w:afterAutospacing="0" w:line="600" w:lineRule="exact"/>
        <w:ind w:firstLineChars="200" w:firstLine="640"/>
        <w:jc w:val="both"/>
        <w:rPr>
          <w:rFonts w:ascii="仿宋_GB2312" w:eastAsia="仿宋_GB2312" w:hAnsi="仿宋_GB2312" w:cs="仿宋_GB2312"/>
          <w:color w:val="000000"/>
          <w:kern w:val="2"/>
          <w:sz w:val="32"/>
          <w:szCs w:val="32"/>
        </w:rPr>
      </w:pPr>
      <w:r>
        <w:rPr>
          <w:rFonts w:ascii="楷体_GB2312" w:eastAsia="楷体_GB2312" w:hAnsi="楷体_GB2312" w:cs="楷体_GB2312" w:hint="eastAsia"/>
          <w:color w:val="000000"/>
          <w:kern w:val="2"/>
          <w:sz w:val="32"/>
          <w:szCs w:val="32"/>
        </w:rPr>
        <w:lastRenderedPageBreak/>
        <w:t>（二）服务发展精准有效。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有效应对疫情冲击，优化</w:t>
      </w:r>
      <w:r>
        <w:rPr>
          <w:rFonts w:ascii="仿宋_GB2312" w:eastAsia="仿宋_GB2312" w:hAnsi="仿宋_GB2312" w:cs="仿宋_GB2312" w:hint="eastAsia"/>
          <w:color w:val="000000"/>
          <w:kern w:val="2"/>
          <w:sz w:val="32"/>
          <w:szCs w:val="32"/>
        </w:rPr>
        <w:t>财政政策资金供给，精准发力推动高质量发展。一是支持企业纾困发展。强化减税降费阶段性政策，全年累计为中小微企业和个体工商户减免税收3227万元，免征减征社保费2513万元。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对租赁国有资产类经营用房的工业企业，免缴3个月房租128.5万元。进一步降低融资担保费率和反担保要求，新增精准扶贫和复工复产</w:t>
      </w:r>
      <w:r>
        <w:rPr>
          <w:rFonts w:ascii="仿宋_GB2312" w:eastAsia="仿宋_GB2312" w:hAnsi="仿宋_GB2312" w:cs="仿宋_GB2312" w:hint="eastAsia"/>
          <w:color w:val="000000"/>
          <w:kern w:val="2"/>
          <w:sz w:val="32"/>
          <w:szCs w:val="32"/>
        </w:rPr>
        <w:t>担保贷款12652万元，助保贷融资1110万元。及时兑现企业奖补资金，增强企业发展活力。加快剥离国有企业办社会职能，有序推进国有企业退休人员社会化管理。完成了16家国有企业退休人员社会化管理工作，移交退休人员1818人。二是支持城市功能品质提升。引进社会资本，组建江淮教育产业园开发有限公司，启动华北水利水电大学江淮校区建设。打通了民政中路，启动了北安路、民政北路、行政东路畅通工程，进一步完善城市路网结构。第二自来水厂正式启用，内河治理、老旧小区改造扎实推进，城市功能不断完善，人居环境有效提升。三是保障重大项目建设落地。积极推广PPP模式，引九济石PPP项目成功落地，项目总投资4.28亿元。农村生活污水专项整治项目成功纳入财政部项目管理库，江淮生态城基础设施配套项目纳入储备清单。发挥融资平台作用，先后向发投公司及及其子公司注资25220万元，进一步壮大融资能力。2020年，累计为县重大项目融资1.96亿元，有效缓解了政府投资压力。四是落实财政资金直达机制。上级下达财政直达资金11亿元。</w:t>
      </w:r>
      <w:r>
        <w:rPr>
          <w:rFonts w:ascii="仿宋_GB2312" w:eastAsia="仿宋_GB2312" w:hAnsi="仿宋_GB2312" w:cs="仿宋_GB2312" w:hint="eastAsia"/>
          <w:color w:val="000000"/>
          <w:kern w:val="2"/>
          <w:sz w:val="32"/>
          <w:szCs w:val="32"/>
        </w:rPr>
        <w:lastRenderedPageBreak/>
        <w:t>县财政部门当好“过路财神”，不当“甩手掌柜”，第一时间将资金拨付到企业和群众，为保就业、保民生、保市场主体提供了有力支撑。</w:t>
      </w:r>
    </w:p>
    <w:p w:rsidR="003127F1" w:rsidRDefault="003127F1" w:rsidP="003127F1">
      <w:pPr>
        <w:spacing w:line="60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楷体_GB2312" w:eastAsia="楷体_GB2312" w:hAnsi="楷体_GB2312" w:cs="楷体_GB2312" w:hint="eastAsia"/>
          <w:color w:val="000000"/>
          <w:sz w:val="32"/>
          <w:szCs w:val="32"/>
        </w:rPr>
        <w:t>（三）民生福祉有效保障。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一是疫情防控保障到位。面对突如其来的疫情，县财政部门闻令而动、听令即行，按照急事急办、特事特办原则，优先保障疫情防控经费，加快资金拨付使用。第一时间出台人员救治、医疗保障等财政政策，开通资金拨付、物资采购绿色通道，全力保障全县疫情防控工作。截至2020年底，各级财政累计投入疫情防控资金6800万元，铸就了疫情防控的坚强后盾。二是重点民生保障有力。坚持民生支出优先保障，全县用于民生支出36.2亿元，占一般公共预算支出的80.7%。拨付资金5734万元，全面改善办学条件。投入资金3441万元，全面落实家庭经济困难学生国家资助政策。拨付资金16116万元，全面落实城乡低保、特困人员、残疾人等困难人员救助政策。投入资金5675万元，倾力落实优抚政策。拨付资金4546万元，落实基本公共卫生服务和基本药物制度。筹拨付资金1066万元，扎实推进就业促进工程，推进全方位公共就业服务，足额兑现创业担保财政贴息资金。三是脱贫成果持续巩固。按照“四个不摘”要求，持续加大整合力度，全年共统筹整合财政涉农资金34509.07万元，</w:t>
      </w:r>
      <w:r>
        <w:rPr>
          <w:rFonts w:ascii="仿宋_GB2312" w:eastAsia="仿宋_GB2312" w:hint="eastAsia"/>
          <w:sz w:val="32"/>
          <w:szCs w:val="32"/>
        </w:rPr>
        <w:t>其中，县本级投入资金17529.9万元，较2019年增长98.22%。以扶贫资金动态监控系统为抓手，全面落实资金公示公告制度，让资金在阳光下运行。在全省</w:t>
      </w:r>
      <w:r>
        <w:rPr>
          <w:rFonts w:ascii="仿宋_GB2312" w:eastAsia="仿宋_GB2312" w:hint="eastAsia"/>
          <w:sz w:val="32"/>
          <w:szCs w:val="32"/>
        </w:rPr>
        <w:lastRenderedPageBreak/>
        <w:t>组织的扶贫资金绩效考评中，我县获得优秀等次。四是乡村振兴稳步推进。投入资金5272万元，支持建设5万亩高标准粮田建设，发放耕地地力保护补贴资金11423万元、农机购置补贴资金1806万元，助力扛稳粮食安全生产重任。投入资金6780万元，支持县乡公路建设。投入资金4395万元， 实施农村生活垃圾治理和户厕改造；投入资金1830万元，支持村级集体经济发展试点项目、农村公益事业项目和美丽乡村建设项目，农村生产生活条件持续改善。</w:t>
      </w:r>
    </w:p>
    <w:p w:rsidR="003127F1" w:rsidRDefault="003127F1" w:rsidP="003127F1">
      <w:pPr>
        <w:spacing w:line="60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楷体_GB2312" w:eastAsia="楷体_GB2312" w:hAnsi="楷体_GB2312" w:cs="楷体_GB2312" w:hint="eastAsia"/>
          <w:color w:val="000000"/>
          <w:sz w:val="32"/>
          <w:szCs w:val="32"/>
        </w:rPr>
        <w:t>（四）改革攻坚措施有力。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一是深化国库集中支付改革。县本级授权支付电子化有序推进，200多家预算单位设立零余额账户，实现了授权支付电子化。二是全面推进预决算公开。制定预决算公开标准目录，明确公开的时间、内容、方式，督促预算单位履行预决算公开主体责任，全面开展监督检查，确保公开及时、规范、完整。三是全面优化政府采购营商环境。提高公开招标和分散采购数额标准。精简采购审核审批程序，积极推进政府采购意向公开。深化政府财采购支持中小企业绿色发展、脱贫攻坚等功能。全年办理政府采购787批次，采购支出18546万元。四是积极推行“互联网+政务服务”。政府采购投诉、代理记账机构审批等业务实现网上“一站式”服务，切实让信息多跑路、群众少跑腿。五是稳步推进财政电子票据改革。充分利用信息化手段和互联网技术，实现财政电子票据开具、管理、传输、查询、存储、报销入账、稽查和社会化应用等全流程无纸化电子控制。目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lastRenderedPageBreak/>
        <w:t>前，行政事业单位电子票据系统已经上线运行，医疗电子票据改革稳步推进。六是扎实开展投资评审工作。全年共评审项目223个，送审资金241754.1万元，审减资金24442.5万元，财政资源配置效率进一步提升。</w:t>
      </w:r>
    </w:p>
    <w:p w:rsidR="003127F1" w:rsidRDefault="003127F1" w:rsidP="003127F1">
      <w:pPr>
        <w:pStyle w:val="2"/>
        <w:widowControl/>
        <w:spacing w:line="600" w:lineRule="exact"/>
        <w:ind w:firstLineChars="200" w:firstLine="640"/>
        <w:jc w:val="both"/>
        <w:rPr>
          <w:rFonts w:ascii="仿宋_GB2312" w:eastAsia="仿宋_GB2312" w:hAnsi="仿宋_GB2312" w:cs="仿宋_GB2312" w:hint="default"/>
          <w:szCs w:val="32"/>
        </w:rPr>
      </w:pPr>
      <w:r>
        <w:rPr>
          <w:rFonts w:ascii="楷体_GB2312" w:eastAsia="楷体_GB2312" w:hAnsi="楷体_GB2312" w:cs="楷体_GB2312"/>
          <w:color w:val="000000"/>
          <w:kern w:val="2"/>
          <w:szCs w:val="32"/>
        </w:rPr>
        <w:t>（五）风险管控平稳有序。</w:t>
      </w:r>
      <w:r>
        <w:rPr>
          <w:rFonts w:ascii="仿宋_GB2312" w:eastAsia="仿宋_GB2312" w:hAnsi="仿宋_GB2312" w:cs="仿宋_GB2312"/>
          <w:color w:val="000000"/>
          <w:kern w:val="2"/>
          <w:szCs w:val="32"/>
        </w:rPr>
        <w:t>切实树立风险意识，牢牢守住风险底线。一是防范地方政府债务风险。严格落实债务限额管理规定，截至2020年底，全县地方政府债务余额263725万元，切实控制在债务限额以内，全县政府债务风险总体可控。二是防控国库支付风险。做好库款日常监测，加强库款余额预期管理，抓好资金调度管理，处理好加快支出进度与科学调度库款的关系，确保库款保障水平维持在合理区间，切实防范财政支付风险。三是防范“三保”风险。设立工资专户，</w:t>
      </w:r>
      <w:r>
        <w:rPr>
          <w:rFonts w:ascii="仿宋_GB2312" w:eastAsia="仿宋_GB2312" w:hAnsi="仿宋_GB2312" w:cs="仿宋_GB2312"/>
          <w:kern w:val="2"/>
          <w:szCs w:val="32"/>
        </w:rPr>
        <w:t>在预算安排、预算执行和库款拨付等方面优先保障</w:t>
      </w:r>
      <w:r>
        <w:rPr>
          <w:rFonts w:ascii="仿宋_GB2312" w:eastAsia="仿宋_GB2312" w:hAnsi="仿宋_GB2312" w:cs="仿宋_GB2312"/>
          <w:color w:val="000000"/>
          <w:kern w:val="2"/>
          <w:szCs w:val="32"/>
        </w:rPr>
        <w:t>，积极推进划转部分国有资本充实社会保险基金，全力以赴兜牢“三保”底线。</w:t>
      </w:r>
      <w:r>
        <w:rPr>
          <w:rFonts w:ascii="仿宋_GB2312" w:eastAsia="仿宋_GB2312" w:hAnsi="仿宋_GB2312" w:cs="仿宋_GB2312"/>
          <w:szCs w:val="32"/>
        </w:rPr>
        <w:t>积极筹措资金26.9亿元，确保了</w:t>
      </w:r>
      <w:r>
        <w:rPr>
          <w:rFonts w:ascii="仿宋_GB2312" w:eastAsia="仿宋_GB2312" w:hAnsi="仿宋_GB2312" w:cs="仿宋_GB2312"/>
          <w:color w:val="000000"/>
          <w:kern w:val="2"/>
          <w:szCs w:val="32"/>
        </w:rPr>
        <w:t>全县干部职工工资待遇及时落实，退休及离休人员养老金按时发放到位，运转经费按标准予以保障。</w:t>
      </w:r>
      <w:r>
        <w:rPr>
          <w:rFonts w:ascii="仿宋_GB2312" w:eastAsia="仿宋_GB2312" w:hAnsi="仿宋_GB2312" w:cs="仿宋_GB2312"/>
          <w:szCs w:val="32"/>
        </w:rPr>
        <w:t>人民日报、《中国财经报》先后报道了我县财政化零为整、兜牢“三保”的做法。</w:t>
      </w:r>
    </w:p>
    <w:p w:rsidR="003127F1" w:rsidRDefault="003127F1" w:rsidP="003127F1">
      <w:pPr>
        <w:pStyle w:val="2"/>
        <w:widowControl/>
        <w:spacing w:line="600" w:lineRule="exact"/>
        <w:ind w:firstLineChars="200" w:firstLine="640"/>
        <w:jc w:val="both"/>
        <w:rPr>
          <w:rFonts w:ascii="仿宋_GB2312" w:eastAsia="仿宋_GB2312" w:hAnsi="仿宋_GB2312" w:cs="仿宋_GB2312" w:hint="default"/>
          <w:color w:val="000000"/>
          <w:kern w:val="2"/>
          <w:szCs w:val="32"/>
        </w:rPr>
      </w:pPr>
      <w:r>
        <w:rPr>
          <w:rFonts w:ascii="仿宋_GB2312" w:eastAsia="仿宋_GB2312" w:hAnsi="仿宋_GB2312" w:cs="仿宋_GB2312"/>
          <w:color w:val="000000"/>
          <w:kern w:val="2"/>
          <w:szCs w:val="32"/>
        </w:rPr>
        <w:t>同时，我们也清醒地认识到财政运行中还存在一些困难和问题：收入方面，财政收入增长乏力，传统税源萎缩、新增税源尚未显现，财源培植及收入质量改善任重道远。特别是减税降费及突如其来的新冠疫情，给财政收入造成重大冲击；支出方面，做好“六稳”工作，落实“六保”任务等刚</w:t>
      </w:r>
      <w:r>
        <w:rPr>
          <w:rFonts w:ascii="仿宋_GB2312" w:eastAsia="仿宋_GB2312" w:hAnsi="仿宋_GB2312" w:cs="仿宋_GB2312"/>
          <w:color w:val="000000"/>
          <w:kern w:val="2"/>
          <w:szCs w:val="32"/>
        </w:rPr>
        <w:lastRenderedPageBreak/>
        <w:t>性支出不断攀升，可用财力短缺，收支矛盾异常尖锐；政府债务方面，政府债务陆续进入偿还高峰期，偿债压力较大。财政管理方面，受项目进展制约，有些项目资金支出进度缓慢，大量资金闲置，资金使用效益没有充分发挥。</w:t>
      </w:r>
    </w:p>
    <w:p w:rsidR="004E48D5" w:rsidRPr="003127F1" w:rsidRDefault="004E48D5" w:rsidP="003127F1">
      <w:pPr>
        <w:rPr>
          <w:rFonts w:ascii="仿宋_GB2312" w:eastAsia="仿宋_GB2312"/>
          <w:sz w:val="30"/>
          <w:szCs w:val="30"/>
        </w:rPr>
      </w:pPr>
    </w:p>
    <w:sectPr w:rsidR="004E48D5" w:rsidRPr="003127F1" w:rsidSect="005E20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6F71" w:rsidRPr="00EC42D0" w:rsidRDefault="00D66F71" w:rsidP="00823C6D">
      <w:pPr>
        <w:rPr>
          <w:sz w:val="32"/>
          <w:szCs w:val="32"/>
        </w:rPr>
      </w:pPr>
      <w:r>
        <w:separator/>
      </w:r>
    </w:p>
  </w:endnote>
  <w:endnote w:type="continuationSeparator" w:id="1">
    <w:p w:rsidR="00D66F71" w:rsidRPr="00EC42D0" w:rsidRDefault="00D66F71" w:rsidP="00823C6D">
      <w:pPr>
        <w:rPr>
          <w:sz w:val="32"/>
          <w:szCs w:val="32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6F71" w:rsidRPr="00EC42D0" w:rsidRDefault="00D66F71" w:rsidP="00823C6D">
      <w:pPr>
        <w:rPr>
          <w:sz w:val="32"/>
          <w:szCs w:val="32"/>
        </w:rPr>
      </w:pPr>
      <w:r>
        <w:separator/>
      </w:r>
    </w:p>
  </w:footnote>
  <w:footnote w:type="continuationSeparator" w:id="1">
    <w:p w:rsidR="00D66F71" w:rsidRPr="00EC42D0" w:rsidRDefault="00D66F71" w:rsidP="00823C6D">
      <w:pPr>
        <w:rPr>
          <w:sz w:val="32"/>
          <w:szCs w:val="32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23C6D"/>
    <w:rsid w:val="00296505"/>
    <w:rsid w:val="003127F1"/>
    <w:rsid w:val="004E48D5"/>
    <w:rsid w:val="005E2023"/>
    <w:rsid w:val="00810C06"/>
    <w:rsid w:val="00823C6D"/>
    <w:rsid w:val="00BE293D"/>
    <w:rsid w:val="00CF00BF"/>
    <w:rsid w:val="00D66F71"/>
    <w:rsid w:val="00ED58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2023"/>
    <w:pPr>
      <w:widowControl w:val="0"/>
      <w:jc w:val="both"/>
    </w:pPr>
  </w:style>
  <w:style w:type="paragraph" w:styleId="2">
    <w:name w:val="heading 2"/>
    <w:basedOn w:val="a"/>
    <w:next w:val="a"/>
    <w:link w:val="2Char"/>
    <w:semiHidden/>
    <w:unhideWhenUsed/>
    <w:qFormat/>
    <w:rsid w:val="003127F1"/>
    <w:pPr>
      <w:jc w:val="left"/>
      <w:outlineLvl w:val="1"/>
    </w:pPr>
    <w:rPr>
      <w:rFonts w:ascii="宋体" w:eastAsia="楷体" w:hAnsi="宋体" w:cs="Times New Roman" w:hint="eastAsia"/>
      <w:kern w:val="0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23C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23C6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23C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23C6D"/>
    <w:rPr>
      <w:sz w:val="18"/>
      <w:szCs w:val="18"/>
    </w:rPr>
  </w:style>
  <w:style w:type="character" w:customStyle="1" w:styleId="2Char">
    <w:name w:val="标题 2 Char"/>
    <w:basedOn w:val="a0"/>
    <w:link w:val="2"/>
    <w:semiHidden/>
    <w:rsid w:val="003127F1"/>
    <w:rPr>
      <w:rFonts w:ascii="宋体" w:eastAsia="楷体" w:hAnsi="宋体" w:cs="Times New Roman"/>
      <w:kern w:val="0"/>
      <w:sz w:val="32"/>
      <w:szCs w:val="24"/>
    </w:rPr>
  </w:style>
  <w:style w:type="paragraph" w:styleId="a5">
    <w:name w:val="Normal (Web)"/>
    <w:basedOn w:val="a"/>
    <w:qFormat/>
    <w:rsid w:val="003127F1"/>
    <w:pPr>
      <w:spacing w:beforeAutospacing="1" w:afterAutospacing="1"/>
      <w:jc w:val="left"/>
    </w:pPr>
    <w:rPr>
      <w:rFonts w:cs="Times New Roman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09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1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466</Words>
  <Characters>2660</Characters>
  <Application>Microsoft Office Word</Application>
  <DocSecurity>0</DocSecurity>
  <Lines>22</Lines>
  <Paragraphs>6</Paragraphs>
  <ScaleCrop>false</ScaleCrop>
  <Company>P R C</Company>
  <LinksUpToDate>false</LinksUpToDate>
  <CharactersWithSpaces>3120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5</cp:revision>
  <dcterms:created xsi:type="dcterms:W3CDTF">2021-06-10T08:39:00Z</dcterms:created>
  <dcterms:modified xsi:type="dcterms:W3CDTF">2021-10-27T07:26:00Z</dcterms:modified>
</cp:coreProperties>
</file>