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28"/>
          <w:szCs w:val="28"/>
        </w:rPr>
      </w:pPr>
    </w:p>
    <w:p>
      <w:pPr>
        <w:jc w:val="center"/>
        <w:rPr>
          <w:rFonts w:ascii="黑体" w:hAnsi="黑体" w:eastAsia="黑体" w:cs="黑体"/>
          <w:sz w:val="52"/>
          <w:szCs w:val="52"/>
        </w:rPr>
      </w:pPr>
      <w:r>
        <w:rPr>
          <w:rFonts w:hint="eastAsia" w:ascii="黑体" w:hAnsi="黑体" w:eastAsia="黑体" w:cs="黑体"/>
          <w:sz w:val="52"/>
          <w:szCs w:val="52"/>
          <w:lang w:eastAsia="zh-CN"/>
        </w:rPr>
        <w:t>罗山县财政</w:t>
      </w:r>
      <w:r>
        <w:rPr>
          <w:rFonts w:hint="eastAsia" w:ascii="黑体" w:hAnsi="黑体" w:eastAsia="黑体" w:cs="黑体"/>
          <w:sz w:val="52"/>
          <w:szCs w:val="52"/>
        </w:rPr>
        <w:t>局</w:t>
      </w:r>
    </w:p>
    <w:p>
      <w:pPr>
        <w:jc w:val="center"/>
        <w:rPr>
          <w:rFonts w:ascii="黑体" w:hAnsi="黑体" w:eastAsia="黑体" w:cs="黑体"/>
          <w:sz w:val="52"/>
          <w:szCs w:val="52"/>
        </w:rPr>
      </w:pPr>
      <w:r>
        <w:rPr>
          <w:rFonts w:hint="eastAsia" w:ascii="黑体" w:hAnsi="黑体" w:eastAsia="黑体" w:cs="黑体"/>
          <w:sz w:val="52"/>
          <w:szCs w:val="52"/>
        </w:rPr>
        <w:t>2020年度部门决算公开</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6"/>
          <w:szCs w:val="36"/>
        </w:rPr>
      </w:pPr>
      <w:r>
        <w:rPr>
          <w:rFonts w:hint="eastAsia" w:ascii="黑体" w:hAnsi="黑体" w:eastAsia="黑体" w:cs="黑体"/>
          <w:sz w:val="36"/>
          <w:szCs w:val="36"/>
        </w:rPr>
        <w:t>目　　录</w:t>
      </w:r>
    </w:p>
    <w:p>
      <w:pPr>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罗山县财政局</w:t>
      </w:r>
      <w:r>
        <w:rPr>
          <w:rFonts w:hint="eastAsia" w:ascii="黑体" w:hAnsi="黑体" w:eastAsia="黑体" w:cs="黑体"/>
          <w:sz w:val="32"/>
          <w:szCs w:val="32"/>
        </w:rPr>
        <w:t>概况</w:t>
      </w:r>
    </w:p>
    <w:p>
      <w:pPr>
        <w:widowControl w:val="0"/>
        <w:numPr>
          <w:ilvl w:val="0"/>
          <w:numId w:val="1"/>
        </w:numPr>
        <w:ind w:firstLine="640" w:firstLineChars="200"/>
        <w:rPr>
          <w:sz w:val="32"/>
          <w:szCs w:val="32"/>
        </w:rPr>
      </w:pPr>
      <w:r>
        <w:rPr>
          <w:rFonts w:hint="eastAsia"/>
          <w:sz w:val="32"/>
          <w:szCs w:val="32"/>
        </w:rPr>
        <w:t>部门职责</w:t>
      </w:r>
    </w:p>
    <w:p>
      <w:pPr>
        <w:widowControl w:val="0"/>
        <w:numPr>
          <w:ilvl w:val="0"/>
          <w:numId w:val="1"/>
        </w:numPr>
        <w:ind w:firstLine="640" w:firstLineChars="200"/>
        <w:rPr>
          <w:sz w:val="32"/>
          <w:szCs w:val="32"/>
        </w:rPr>
      </w:pPr>
      <w:r>
        <w:rPr>
          <w:rFonts w:hint="eastAsia"/>
          <w:sz w:val="32"/>
          <w:szCs w:val="32"/>
        </w:rPr>
        <w:t>机构设置</w:t>
      </w:r>
    </w:p>
    <w:p>
      <w:pPr>
        <w:rPr>
          <w:rFonts w:ascii="黑体" w:hAnsi="黑体" w:eastAsia="黑体" w:cs="黑体"/>
          <w:sz w:val="32"/>
          <w:szCs w:val="32"/>
        </w:rPr>
      </w:pPr>
      <w:r>
        <w:rPr>
          <w:rFonts w:hint="eastAsia" w:ascii="黑体" w:hAnsi="黑体" w:eastAsia="黑体" w:cs="黑体"/>
          <w:sz w:val="32"/>
          <w:szCs w:val="32"/>
        </w:rPr>
        <w:t>第二部分　　2020年度部门决算情况说明</w:t>
      </w:r>
    </w:p>
    <w:p>
      <w:pPr>
        <w:ind w:firstLine="640" w:firstLineChars="200"/>
        <w:rPr>
          <w:sz w:val="32"/>
          <w:szCs w:val="32"/>
        </w:rPr>
      </w:pPr>
      <w:r>
        <w:rPr>
          <w:rFonts w:hint="eastAsia"/>
          <w:sz w:val="32"/>
          <w:szCs w:val="32"/>
        </w:rPr>
        <w:t>一、收入支出决算总体情况说明</w:t>
      </w:r>
    </w:p>
    <w:p>
      <w:pPr>
        <w:ind w:firstLine="640" w:firstLineChars="200"/>
        <w:rPr>
          <w:sz w:val="32"/>
          <w:szCs w:val="32"/>
        </w:rPr>
      </w:pPr>
      <w:r>
        <w:rPr>
          <w:rFonts w:hint="eastAsia"/>
          <w:sz w:val="32"/>
          <w:szCs w:val="32"/>
        </w:rPr>
        <w:t>二、收入决算情况说明</w:t>
      </w:r>
    </w:p>
    <w:p>
      <w:pPr>
        <w:ind w:firstLine="640" w:firstLineChars="200"/>
        <w:rPr>
          <w:sz w:val="32"/>
          <w:szCs w:val="32"/>
        </w:rPr>
      </w:pPr>
      <w:r>
        <w:rPr>
          <w:rFonts w:hint="eastAsia"/>
          <w:sz w:val="32"/>
          <w:szCs w:val="32"/>
        </w:rPr>
        <w:t>三、支出决算情况说明</w:t>
      </w:r>
    </w:p>
    <w:p>
      <w:pPr>
        <w:ind w:firstLine="640" w:firstLineChars="200"/>
        <w:rPr>
          <w:sz w:val="32"/>
          <w:szCs w:val="32"/>
        </w:rPr>
      </w:pPr>
      <w:r>
        <w:rPr>
          <w:rFonts w:hint="eastAsia"/>
          <w:sz w:val="32"/>
          <w:szCs w:val="32"/>
        </w:rPr>
        <w:t>四、财政拨款收入支出决算总体情况说明</w:t>
      </w:r>
    </w:p>
    <w:p>
      <w:pPr>
        <w:ind w:firstLine="640" w:firstLineChars="200"/>
        <w:rPr>
          <w:sz w:val="32"/>
          <w:szCs w:val="32"/>
        </w:rPr>
      </w:pPr>
      <w:r>
        <w:rPr>
          <w:rFonts w:hint="eastAsia"/>
          <w:sz w:val="32"/>
          <w:szCs w:val="32"/>
        </w:rPr>
        <w:t>五、一般公共预算财政拨款支出决算情况说明</w:t>
      </w:r>
    </w:p>
    <w:p>
      <w:pPr>
        <w:ind w:firstLine="640" w:firstLineChars="200"/>
        <w:rPr>
          <w:sz w:val="32"/>
          <w:szCs w:val="32"/>
        </w:rPr>
      </w:pPr>
      <w:r>
        <w:rPr>
          <w:rFonts w:hint="eastAsia"/>
          <w:sz w:val="32"/>
          <w:szCs w:val="32"/>
        </w:rPr>
        <w:t>六、一般公共预算财政拨款基本支出决算情况说明</w:t>
      </w:r>
    </w:p>
    <w:p>
      <w:pPr>
        <w:ind w:firstLine="640" w:firstLineChars="200"/>
        <w:rPr>
          <w:sz w:val="32"/>
          <w:szCs w:val="32"/>
        </w:rPr>
      </w:pPr>
      <w:r>
        <w:rPr>
          <w:rFonts w:hint="eastAsia"/>
          <w:sz w:val="32"/>
          <w:szCs w:val="32"/>
        </w:rPr>
        <w:t>七、一般公共预算财政拨款“三公”经费支出决算情况说明</w:t>
      </w:r>
    </w:p>
    <w:p>
      <w:pPr>
        <w:ind w:firstLine="640" w:firstLineChars="200"/>
        <w:rPr>
          <w:sz w:val="32"/>
          <w:szCs w:val="32"/>
        </w:rPr>
      </w:pPr>
      <w:r>
        <w:rPr>
          <w:rFonts w:hint="eastAsia"/>
          <w:sz w:val="32"/>
          <w:szCs w:val="32"/>
        </w:rPr>
        <w:t>八、预算绩效情况说明</w:t>
      </w:r>
    </w:p>
    <w:p>
      <w:pPr>
        <w:ind w:firstLine="640" w:firstLineChars="200"/>
        <w:rPr>
          <w:sz w:val="32"/>
          <w:szCs w:val="32"/>
        </w:rPr>
      </w:pPr>
      <w:r>
        <w:rPr>
          <w:rFonts w:hint="eastAsia"/>
          <w:sz w:val="32"/>
          <w:szCs w:val="32"/>
        </w:rPr>
        <w:t>九、政府性基金预算财政拨款支出决算情况说明</w:t>
      </w:r>
    </w:p>
    <w:p>
      <w:pPr>
        <w:ind w:firstLine="640" w:firstLineChars="200"/>
        <w:rPr>
          <w:sz w:val="32"/>
          <w:szCs w:val="32"/>
        </w:rPr>
      </w:pPr>
      <w:r>
        <w:rPr>
          <w:rFonts w:hint="eastAsia"/>
          <w:sz w:val="32"/>
          <w:szCs w:val="32"/>
        </w:rPr>
        <w:t>十、机关运行经费支出情况说明</w:t>
      </w:r>
    </w:p>
    <w:p>
      <w:pPr>
        <w:ind w:firstLine="640" w:firstLineChars="200"/>
        <w:rPr>
          <w:sz w:val="32"/>
          <w:szCs w:val="32"/>
        </w:rPr>
      </w:pPr>
      <w:r>
        <w:rPr>
          <w:rFonts w:hint="eastAsia"/>
          <w:sz w:val="32"/>
          <w:szCs w:val="32"/>
        </w:rPr>
        <w:t>十一、政府采购支出情况说明</w:t>
      </w:r>
    </w:p>
    <w:p>
      <w:pPr>
        <w:ind w:firstLine="640" w:firstLineChars="200"/>
        <w:rPr>
          <w:sz w:val="32"/>
          <w:szCs w:val="32"/>
        </w:rPr>
      </w:pPr>
      <w:r>
        <w:rPr>
          <w:rFonts w:hint="eastAsia"/>
          <w:sz w:val="32"/>
          <w:szCs w:val="32"/>
        </w:rPr>
        <w:t>十二、国有资产占用情况说明</w:t>
      </w:r>
    </w:p>
    <w:p>
      <w:pPr>
        <w:rPr>
          <w:rFonts w:ascii="黑体" w:hAnsi="黑体" w:eastAsia="黑体" w:cs="黑体"/>
          <w:sz w:val="32"/>
          <w:szCs w:val="32"/>
        </w:rPr>
      </w:pPr>
      <w:r>
        <w:rPr>
          <w:rFonts w:hint="eastAsia" w:ascii="黑体" w:hAnsi="黑体" w:eastAsia="黑体" w:cs="黑体"/>
          <w:sz w:val="32"/>
          <w:szCs w:val="32"/>
        </w:rPr>
        <w:t>第三部分　　名词解释</w:t>
      </w:r>
    </w:p>
    <w:p>
      <w:pPr>
        <w:rPr>
          <w:rFonts w:ascii="黑体" w:hAnsi="黑体" w:eastAsia="黑体" w:cs="黑体"/>
          <w:sz w:val="32"/>
          <w:szCs w:val="32"/>
        </w:rPr>
      </w:pPr>
      <w:r>
        <w:rPr>
          <w:rFonts w:hint="eastAsia" w:ascii="黑体" w:hAnsi="黑体" w:eastAsia="黑体" w:cs="黑体"/>
          <w:sz w:val="32"/>
          <w:szCs w:val="32"/>
        </w:rPr>
        <w:t>第四部分　　2020年度部门决算表（Excel表格形式）</w:t>
      </w:r>
    </w:p>
    <w:p>
      <w:pPr>
        <w:ind w:firstLine="640" w:firstLineChars="200"/>
        <w:rPr>
          <w:sz w:val="32"/>
          <w:szCs w:val="32"/>
        </w:rPr>
      </w:pPr>
      <w:r>
        <w:rPr>
          <w:rFonts w:hint="eastAsia"/>
          <w:sz w:val="32"/>
          <w:szCs w:val="32"/>
        </w:rPr>
        <w:t>一、收入支出决算总表</w:t>
      </w:r>
    </w:p>
    <w:p>
      <w:pPr>
        <w:ind w:firstLine="640" w:firstLineChars="200"/>
        <w:rPr>
          <w:sz w:val="32"/>
          <w:szCs w:val="32"/>
        </w:rPr>
      </w:pPr>
      <w:r>
        <w:rPr>
          <w:rFonts w:hint="eastAsia"/>
          <w:sz w:val="32"/>
          <w:szCs w:val="32"/>
        </w:rPr>
        <w:t>二、收入决算表</w:t>
      </w:r>
    </w:p>
    <w:p>
      <w:pPr>
        <w:ind w:firstLine="640" w:firstLineChars="200"/>
        <w:rPr>
          <w:sz w:val="32"/>
          <w:szCs w:val="32"/>
        </w:rPr>
      </w:pPr>
      <w:r>
        <w:rPr>
          <w:rFonts w:hint="eastAsia"/>
          <w:sz w:val="32"/>
          <w:szCs w:val="32"/>
        </w:rPr>
        <w:t>三、支出决算表</w:t>
      </w:r>
    </w:p>
    <w:p>
      <w:pPr>
        <w:ind w:firstLine="640" w:firstLineChars="200"/>
        <w:rPr>
          <w:sz w:val="32"/>
          <w:szCs w:val="32"/>
        </w:rPr>
      </w:pPr>
      <w:r>
        <w:rPr>
          <w:rFonts w:hint="eastAsia"/>
          <w:sz w:val="32"/>
          <w:szCs w:val="32"/>
        </w:rPr>
        <w:t>四、财政拨款收入支出决算总表</w:t>
      </w:r>
    </w:p>
    <w:p>
      <w:pPr>
        <w:ind w:firstLine="640" w:firstLineChars="200"/>
        <w:rPr>
          <w:sz w:val="32"/>
          <w:szCs w:val="32"/>
        </w:rPr>
      </w:pPr>
      <w:r>
        <w:rPr>
          <w:rFonts w:hint="eastAsia"/>
          <w:sz w:val="32"/>
          <w:szCs w:val="32"/>
        </w:rPr>
        <w:t>五、一般公共预算财政拨款支出决算表</w:t>
      </w:r>
    </w:p>
    <w:p>
      <w:pPr>
        <w:ind w:firstLine="640" w:firstLineChars="200"/>
        <w:rPr>
          <w:sz w:val="32"/>
          <w:szCs w:val="32"/>
        </w:rPr>
      </w:pPr>
      <w:r>
        <w:rPr>
          <w:rFonts w:hint="eastAsia"/>
          <w:sz w:val="32"/>
          <w:szCs w:val="32"/>
        </w:rPr>
        <w:t>六、一般公共预算财政拨款基本支出决算表</w:t>
      </w:r>
    </w:p>
    <w:p>
      <w:pPr>
        <w:ind w:firstLine="640" w:firstLineChars="200"/>
        <w:rPr>
          <w:sz w:val="32"/>
          <w:szCs w:val="32"/>
        </w:rPr>
      </w:pPr>
      <w:r>
        <w:rPr>
          <w:rFonts w:hint="eastAsia"/>
          <w:sz w:val="32"/>
          <w:szCs w:val="32"/>
        </w:rPr>
        <w:t>七、一般公共预算财政拨款“三公”经费支出决算表</w:t>
      </w:r>
    </w:p>
    <w:p>
      <w:pPr>
        <w:ind w:firstLine="640" w:firstLineChars="200"/>
        <w:rPr>
          <w:rFonts w:ascii="黑体" w:hAnsi="黑体" w:eastAsia="黑体" w:cs="黑体"/>
          <w:sz w:val="44"/>
          <w:szCs w:val="44"/>
        </w:rPr>
      </w:pPr>
      <w:r>
        <w:rPr>
          <w:rFonts w:hint="eastAsia"/>
          <w:sz w:val="32"/>
          <w:szCs w:val="32"/>
        </w:rPr>
        <w:t>八、政府性基金预算财政拨款收入支出决算表</w:t>
      </w:r>
    </w:p>
    <w:p>
      <w:pPr>
        <w:jc w:val="center"/>
        <w:rPr>
          <w:rFonts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ascii="黑体" w:eastAsia="黑体"/>
          <w:color w:val="000000"/>
          <w:sz w:val="44"/>
          <w:szCs w:val="44"/>
        </w:rPr>
      </w:pPr>
      <w:r>
        <w:rPr>
          <w:rFonts w:hint="eastAsia" w:ascii="黑体" w:hAnsi="黑体" w:eastAsia="黑体" w:cs="黑体"/>
          <w:sz w:val="44"/>
          <w:szCs w:val="44"/>
        </w:rPr>
        <w:t>第一部分　　</w:t>
      </w:r>
      <w:r>
        <w:rPr>
          <w:rFonts w:hint="eastAsia" w:ascii="黑体" w:hAnsi="黑体" w:eastAsia="黑体" w:cs="黑体"/>
          <w:sz w:val="44"/>
          <w:szCs w:val="44"/>
          <w:lang w:eastAsia="zh-CN"/>
        </w:rPr>
        <w:t>罗山县财政</w:t>
      </w:r>
      <w:r>
        <w:rPr>
          <w:rFonts w:hint="eastAsia" w:ascii="黑体" w:hAnsi="黑体" w:eastAsia="黑体" w:cs="黑体"/>
          <w:sz w:val="44"/>
          <w:szCs w:val="44"/>
        </w:rPr>
        <w:t>局概况</w:t>
      </w:r>
    </w:p>
    <w:p>
      <w:pPr>
        <w:ind w:firstLine="640" w:firstLineChars="200"/>
        <w:outlineLvl w:val="1"/>
        <w:rPr>
          <w:rFonts w:ascii="黑体" w:hAnsi="黑体" w:eastAsia="黑体" w:cs="黑体"/>
          <w:sz w:val="32"/>
          <w:szCs w:val="32"/>
        </w:rPr>
      </w:pPr>
    </w:p>
    <w:p>
      <w:pPr>
        <w:numPr>
          <w:ilvl w:val="0"/>
          <w:numId w:val="2"/>
        </w:numPr>
        <w:ind w:firstLine="640" w:firstLineChars="200"/>
        <w:outlineLvl w:val="1"/>
        <w:rPr>
          <w:rFonts w:hint="eastAsia" w:ascii="黑体" w:hAnsi="黑体" w:eastAsia="黑体" w:cs="黑体"/>
          <w:bCs/>
          <w:sz w:val="32"/>
          <w:szCs w:val="32"/>
        </w:rPr>
      </w:pPr>
      <w:r>
        <w:rPr>
          <w:rFonts w:hint="eastAsia" w:ascii="黑体" w:hAnsi="黑体" w:eastAsia="黑体" w:cs="黑体"/>
          <w:sz w:val="32"/>
          <w:szCs w:val="32"/>
        </w:rPr>
        <w:t>部门</w:t>
      </w:r>
      <w:r>
        <w:rPr>
          <w:rFonts w:hint="eastAsia" w:ascii="黑体" w:hAnsi="黑体" w:eastAsia="黑体" w:cs="黑体"/>
          <w:bCs/>
          <w:sz w:val="32"/>
          <w:szCs w:val="32"/>
        </w:rPr>
        <w:t>职责</w:t>
      </w:r>
    </w:p>
    <w:p>
      <w:pPr>
        <w:spacing w:before="56" w:beforeLines="18"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拟订全县财税发展规划、政策和改革方案并组织实施。分析预测宏观经济形势，参与制定宏观经济政策，提出运用财税政策实施宏观调控和综合平衡社会财力的建议。拟订县与乡（镇）政府与企业的分配政策，完善鼓励公益事业发展的财税政策。</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（二）起草全县财政、财务、会计管理的规章制度，并监督执行。</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（三）负责管理县级各项财政收支。编制年度</w:t>
      </w:r>
      <w:r>
        <w:rPr>
          <w:rFonts w:hint="eastAsia" w:ascii="仿宋_GB2312" w:hAnsi="仿宋_GB2312" w:eastAsia="仿宋_GB2312" w:cs="仿宋_GB2312"/>
          <w:color w:val="000000"/>
          <w:sz w:val="32"/>
          <w:szCs w:val="32"/>
          <w:lang w:val="zh-CN"/>
        </w:rPr>
        <w:t>县</w:t>
      </w:r>
      <w:r>
        <w:rPr>
          <w:rFonts w:hint="eastAsia" w:ascii="仿宋_GB2312" w:hAnsi="仿宋_GB2312" w:eastAsia="仿宋_GB2312" w:cs="仿宋_GB2312"/>
          <w:sz w:val="32"/>
          <w:szCs w:val="32"/>
        </w:rPr>
        <w:t>级预决算草案并组织执行。组织制定经费开支标准、定额，审核批复部门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单位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年度预决算。受县政府委托，向县人民代表大会及其常委会报告财政预算、执行和决算等情况。负责政府投资基金</w:t>
      </w:r>
      <w:r>
        <w:rPr>
          <w:rFonts w:hint="eastAsia" w:ascii="仿宋_GB2312" w:hAnsi="仿宋_GB2312" w:eastAsia="仿宋_GB2312" w:cs="仿宋_GB2312"/>
          <w:color w:val="000000"/>
          <w:sz w:val="32"/>
          <w:szCs w:val="32"/>
          <w:lang w:val="zh-CN"/>
        </w:rPr>
        <w:t>县</w:t>
      </w:r>
      <w:r>
        <w:rPr>
          <w:rFonts w:hint="eastAsia" w:ascii="仿宋_GB2312" w:hAnsi="仿宋_GB2312" w:eastAsia="仿宋_GB2312" w:cs="仿宋_GB2312"/>
          <w:sz w:val="32"/>
          <w:szCs w:val="32"/>
        </w:rPr>
        <w:t>级财政出资的资产管理。负责县级预决算公开。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（四）按分工负责政府非税收入管理。负责政府性基金管理，按规定管理行政事业性收费。管理财政票据。按照彩票管理有关办法，监管彩票市场，按规定管理彩票资金。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（五）组织制定全县国库管理制度、国库集中收付制度，指导和监督县级国库业务，开展国库现金管理工作。制定政府财务报告编制办法并组织实施。负责制定政府采购制度并监督管理。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（六）依法拟订和执行地方政府债务管理制度和办法。负责管理地方政府债余额限额，统一管理政府外债。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（七）根据县政府授权，集中统一履行县属</w:t>
      </w:r>
      <w:r>
        <w:rPr>
          <w:rFonts w:hint="eastAsia" w:ascii="仿宋_GB2312" w:hAnsi="仿宋_GB2312" w:eastAsia="仿宋_GB2312" w:cs="仿宋_GB2312"/>
          <w:bCs/>
          <w:sz w:val="32"/>
          <w:szCs w:val="32"/>
        </w:rPr>
        <w:t>功能类公益类</w:t>
      </w:r>
      <w:r>
        <w:rPr>
          <w:rFonts w:hint="eastAsia" w:ascii="仿宋_GB2312" w:hAnsi="仿宋_GB2312" w:eastAsia="仿宋_GB2312" w:cs="仿宋_GB2312"/>
          <w:sz w:val="32"/>
          <w:szCs w:val="32"/>
        </w:rPr>
        <w:t>企业国有资产管理和县属国有金融资本出资人职责。负责管理所监管企业党的建设工作。按照规定权限和程序对所监管企业领导人员进行管理。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牵头编制国有资产管理情况报告。拟订县属企业国有资产管理制度和国有金融资本管理制度，负责对执行情况进行监督检查。拟订全县和县本级行政事业单位各类国有资产管理规章制度并组织实施和监督检查，拟订需要全县统一规定的开支标准和支出政策。</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负责审核并汇总编制全县国有资本经营预决算草案，拟订国有资本经营预算制度和办法，收取县本级企业国有资本收益。拟订企业财务制度并组织实施。负责财政预算内行政事业单位和社会团体的非贸易外汇管理。</w:t>
      </w:r>
    </w:p>
    <w:p>
      <w:pPr>
        <w:spacing w:line="580" w:lineRule="exact"/>
        <w:ind w:firstLine="640" w:firstLineChars="200"/>
        <w:textAlignment w:val="baseline"/>
        <w:rPr>
          <w:rFonts w:ascii="仿宋_GB2312" w:hAnsi="仿宋_GB2312" w:eastAsia="仿宋_GB2312"/>
          <w:sz w:val="32"/>
          <w:szCs w:val="32"/>
        </w:rPr>
      </w:pPr>
      <w:r>
        <w:rPr>
          <w:rFonts w:hint="eastAsia" w:ascii="仿宋_GB2312" w:hAnsi="仿宋_GB2312" w:eastAsia="仿宋_GB2312"/>
          <w:sz w:val="32"/>
          <w:szCs w:val="32"/>
        </w:rPr>
        <w:t>（十）指导推进所监管国有企业改革和重组，推动国有企业完善现代企业制度、健全公司法人治理结构，推动国有经济布局和结构调整，促进国有资本合理流动。</w:t>
      </w:r>
    </w:p>
    <w:p>
      <w:pPr>
        <w:spacing w:line="580" w:lineRule="exact"/>
        <w:ind w:firstLine="640" w:firstLineChars="200"/>
        <w:textAlignment w:val="baseline"/>
        <w:rPr>
          <w:rFonts w:ascii="仿宋_GB2312" w:hAnsi="仿宋_GB2312" w:eastAsia="仿宋_GB2312"/>
          <w:sz w:val="32"/>
          <w:szCs w:val="32"/>
        </w:rPr>
      </w:pPr>
      <w:r>
        <w:rPr>
          <w:rFonts w:hint="eastAsia" w:ascii="仿宋_GB2312" w:hAnsi="仿宋_GB2312" w:eastAsia="仿宋_GB2312"/>
          <w:sz w:val="32"/>
          <w:szCs w:val="32"/>
        </w:rPr>
        <w:t>（十一）承担监督所监管企业国有资产保值增值责任，建立和完善国有资产保值增值指标体系，拟订考核标准，通过统计、稽核对所监管企业国有资产的保值增值情况进行监管。负责所监管企业工资分配管理工作，</w:t>
      </w:r>
      <w:r>
        <w:rPr>
          <w:rFonts w:hint="eastAsia" w:ascii="仿宋_GB2312" w:hAnsi="仿宋_GB2312" w:eastAsia="仿宋_GB2312"/>
          <w:bCs/>
          <w:sz w:val="32"/>
          <w:szCs w:val="32"/>
        </w:rPr>
        <w:t>拟订</w:t>
      </w:r>
      <w:r>
        <w:rPr>
          <w:rFonts w:hint="eastAsia" w:ascii="仿宋_GB2312" w:hAnsi="仿宋_GB2312" w:eastAsia="仿宋_GB2312"/>
          <w:sz w:val="32"/>
          <w:szCs w:val="32"/>
        </w:rPr>
        <w:t>所监管企业负责人收入分配政策并组织实施。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（十二）负责审核并汇总编制全县社会保险基金预决算草案，会同有关部门拟订有关资金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财务管理制度，承担社会保险基金财政监管工作。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（十三）负责办理和监督县级财政的经济发展支出、县级政府性投资项目的财政拨款，参与拟订县级基建投资有关政策，制定基建财务管理制度。</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（十四）负责管理全县会计工作，监督和规范会计行为，组织实施国家统一的会计制度，指导和监督注册会计师和会计师事务所的业务，指导和管理社会审计。依法管理资产评估有关工作。</w:t>
      </w:r>
    </w:p>
    <w:p>
      <w:pPr>
        <w:pStyle w:val="9"/>
        <w:shd w:val="clear" w:color="auto" w:fill="auto"/>
        <w:spacing w:before="0" w:beforeLines="0" w:after="0" w:afterLines="0" w:line="580" w:lineRule="exact"/>
        <w:ind w:firstLine="640" w:firstLineChars="200"/>
        <w:jc w:val="both"/>
        <w:rPr>
          <w:rFonts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zh-CN"/>
        </w:rPr>
        <w:t>（十五）根据全县安全生产工作的需要，按照现行财政体制，落实相关专项投入和必要的工作经费，加强对资金使用的绩效管理和监督，保障安全生产监督管理工作的正常开展。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zh-CN"/>
        </w:rPr>
        <w:t>（十六）</w:t>
      </w:r>
      <w:r>
        <w:rPr>
          <w:rFonts w:hint="eastAsia" w:ascii="仿宋_GB2312" w:hAnsi="仿宋_GB2312" w:eastAsia="仿宋_GB2312" w:cs="仿宋_GB2312"/>
          <w:sz w:val="32"/>
          <w:szCs w:val="32"/>
        </w:rPr>
        <w:t>完成县委、县政府交办的其他任务。</w:t>
      </w:r>
    </w:p>
    <w:p>
      <w:pPr>
        <w:numPr>
          <w:ilvl w:val="0"/>
          <w:numId w:val="0"/>
        </w:numPr>
        <w:ind w:firstLine="640" w:firstLineChars="200"/>
        <w:outlineLvl w:val="1"/>
        <w:rPr>
          <w:rFonts w:hint="eastAsia" w:ascii="黑体" w:hAnsi="黑体" w:eastAsia="黑体" w:cs="黑体"/>
          <w:bCs/>
          <w:sz w:val="32"/>
          <w:szCs w:val="32"/>
        </w:rPr>
      </w:pPr>
      <w:r>
        <w:rPr>
          <w:rFonts w:hint="eastAsia" w:ascii="仿宋_GB2312" w:hAnsi="仿宋_GB2312" w:eastAsia="仿宋_GB2312" w:cs="仿宋_GB2312"/>
          <w:color w:val="000000"/>
          <w:spacing w:val="0"/>
          <w:sz w:val="32"/>
          <w:szCs w:val="32"/>
          <w:lang w:val="zh-CN"/>
        </w:rPr>
        <w:t>（十七）有关职责分工。</w:t>
      </w: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二、机构设置</w:t>
      </w:r>
    </w:p>
    <w:p>
      <w:pPr>
        <w:widowControl/>
        <w:ind w:firstLine="960" w:firstLineChars="3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罗山县财政局内设机构15个，包括：办公室（信息化管理办公室）、人事教育股、综合股（政策法规股）、预算股（政府债务管理股）、国库股、行政政法股（教育科技文化股）、经济建设股、农业农村股、社会保障股、政府采购监督管理股、企业股（产权管理与考核评价股）、会计股、行政事业资产管理股、财政监督股（预算绩效管理股）、基层财政管理股。</w:t>
      </w:r>
    </w:p>
    <w:p>
      <w:pPr>
        <w:widowControl/>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从决算单位构成看，罗山县财政局部门决算包括：本级决算、所属单位决算。纳入本部门2020年度部门决算编制范围的单位共10个，其中二级预算单位9个，具体是：</w:t>
      </w:r>
    </w:p>
    <w:p>
      <w:pPr>
        <w:spacing w:line="600" w:lineRule="exact"/>
        <w:ind w:firstLine="640" w:firstLineChars="200"/>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eastAsia="zh-CN"/>
        </w:rPr>
        <w:t>1.罗山县财政局本级</w:t>
      </w:r>
    </w:p>
    <w:p>
      <w:pPr>
        <w:spacing w:line="600" w:lineRule="exact"/>
        <w:ind w:firstLine="640" w:firstLineChars="200"/>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eastAsia="zh-CN"/>
        </w:rPr>
        <w:t>2.罗山县财政支付中心</w:t>
      </w:r>
    </w:p>
    <w:p>
      <w:pPr>
        <w:spacing w:line="600" w:lineRule="exact"/>
        <w:ind w:firstLine="640" w:firstLineChars="200"/>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eastAsia="zh-CN"/>
        </w:rPr>
        <w:t>3.罗山县非税收入事务中心</w:t>
      </w:r>
    </w:p>
    <w:p>
      <w:pPr>
        <w:spacing w:line="600" w:lineRule="exact"/>
        <w:ind w:firstLine="640" w:firstLineChars="200"/>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eastAsia="zh-CN"/>
        </w:rPr>
        <w:t>4.罗山县基层财政事务中心</w:t>
      </w:r>
    </w:p>
    <w:p>
      <w:pPr>
        <w:spacing w:line="600" w:lineRule="exact"/>
        <w:ind w:firstLine="640" w:firstLineChars="200"/>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eastAsia="zh-CN"/>
        </w:rPr>
        <w:t>5.罗山县函授站</w:t>
      </w:r>
    </w:p>
    <w:p>
      <w:pPr>
        <w:spacing w:line="600" w:lineRule="exact"/>
        <w:ind w:firstLine="640" w:firstLineChars="200"/>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eastAsia="zh-CN"/>
        </w:rPr>
        <w:t>6.罗山县财政投资评审中心</w:t>
      </w:r>
    </w:p>
    <w:p>
      <w:pPr>
        <w:spacing w:line="600" w:lineRule="exact"/>
        <w:ind w:firstLine="640" w:firstLineChars="200"/>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eastAsia="zh-CN"/>
        </w:rPr>
        <w:t>7.罗山道路交通事故社会救助基金管理中心</w:t>
      </w:r>
    </w:p>
    <w:p>
      <w:pPr>
        <w:spacing w:line="600" w:lineRule="exact"/>
        <w:ind w:firstLine="640" w:firstLineChars="200"/>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eastAsia="zh-CN"/>
        </w:rPr>
        <w:t>8.罗山县经济技术开发公司</w:t>
      </w:r>
    </w:p>
    <w:p>
      <w:pPr>
        <w:spacing w:line="600" w:lineRule="exact"/>
        <w:ind w:firstLine="640" w:firstLineChars="200"/>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eastAsia="zh-CN"/>
        </w:rPr>
        <w:t>9.罗山县宝诚担保有限责任公司</w:t>
      </w:r>
    </w:p>
    <w:p>
      <w:pPr>
        <w:spacing w:line="600" w:lineRule="exact"/>
        <w:ind w:firstLine="640" w:firstLineChars="200"/>
        <w:rPr>
          <w:rFonts w:hint="eastAsia" w:ascii="仿宋_GB2312" w:hAnsi="宋体" w:eastAsia="仿宋_GB2312" w:cs="Arial"/>
          <w:color w:val="000000"/>
          <w:kern w:val="0"/>
          <w:sz w:val="32"/>
          <w:szCs w:val="32"/>
          <w:lang w:eastAsia="zh-CN"/>
        </w:rPr>
      </w:pPr>
      <w:r>
        <w:rPr>
          <w:rFonts w:hint="eastAsia" w:ascii="仿宋_GB2312" w:hAnsi="宋体" w:eastAsia="仿宋_GB2312" w:cs="Arial"/>
          <w:color w:val="000000"/>
          <w:kern w:val="0"/>
          <w:sz w:val="32"/>
          <w:szCs w:val="32"/>
          <w:lang w:eastAsia="zh-CN"/>
        </w:rPr>
        <w:t>10.罗山县财政信息管理中心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p>
    <w:p>
      <w:pPr>
        <w:jc w:val="center"/>
        <w:rPr>
          <w:rFonts w:ascii="黑体" w:hAnsi="黑体" w:eastAsia="黑体" w:cs="黑体"/>
          <w:sz w:val="32"/>
          <w:szCs w:val="32"/>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第二部分</w:t>
      </w:r>
    </w:p>
    <w:p>
      <w:pPr>
        <w:jc w:val="center"/>
        <w:rPr>
          <w:sz w:val="32"/>
          <w:szCs w:val="32"/>
        </w:rPr>
      </w:pPr>
      <w:r>
        <w:rPr>
          <w:rFonts w:hint="eastAsia" w:ascii="黑体" w:hAnsi="黑体" w:eastAsia="黑体" w:cs="黑体"/>
          <w:sz w:val="44"/>
          <w:szCs w:val="44"/>
          <w:lang w:eastAsia="zh-CN"/>
        </w:rPr>
        <w:t>罗山县财政</w:t>
      </w:r>
      <w:r>
        <w:rPr>
          <w:rFonts w:hint="eastAsia" w:ascii="黑体" w:hAnsi="黑体" w:eastAsia="黑体" w:cs="黑体"/>
          <w:sz w:val="44"/>
          <w:szCs w:val="44"/>
        </w:rPr>
        <w:t>局2020年度部门决算情况说明</w:t>
      </w:r>
    </w:p>
    <w:p>
      <w:pPr>
        <w:pStyle w:val="4"/>
        <w:numPr>
          <w:ilvl w:val="0"/>
          <w:numId w:val="3"/>
        </w:numPr>
        <w:shd w:val="clear" w:color="auto" w:fill="FFFFFF"/>
        <w:ind w:left="161" w:leftChars="67" w:firstLine="480" w:firstLineChars="150"/>
        <w:rPr>
          <w:rFonts w:hint="eastAsia" w:ascii="仿宋_GB2312" w:eastAsia="仿宋_GB2312"/>
          <w:sz w:val="32"/>
          <w:szCs w:val="32"/>
        </w:rPr>
      </w:pPr>
      <w:r>
        <w:rPr>
          <w:rFonts w:hint="eastAsia" w:ascii="仿宋_GB2312" w:eastAsia="仿宋_GB2312"/>
          <w:sz w:val="32"/>
          <w:szCs w:val="32"/>
        </w:rPr>
        <w:t>收入支出决算总体情况说明</w:t>
      </w:r>
    </w:p>
    <w:p>
      <w:pPr>
        <w:pStyle w:val="4"/>
        <w:numPr>
          <w:ilvl w:val="0"/>
          <w:numId w:val="0"/>
        </w:numPr>
        <w:shd w:val="clear" w:color="auto" w:fill="FFFFFF"/>
        <w:ind w:leftChars="217" w:firstLine="320" w:firstLineChars="100"/>
        <w:rPr>
          <w:rFonts w:ascii="仿宋_GB2312" w:eastAsia="仿宋_GB2312"/>
          <w:sz w:val="32"/>
          <w:szCs w:val="32"/>
        </w:rPr>
      </w:pPr>
      <w:r>
        <w:rPr>
          <w:rFonts w:hint="eastAsia" w:ascii="仿宋_GB2312" w:eastAsia="仿宋_GB2312"/>
          <w:sz w:val="32"/>
          <w:szCs w:val="32"/>
        </w:rPr>
        <w:t>2020年度收、支总计均为</w:t>
      </w:r>
      <w:r>
        <w:rPr>
          <w:rFonts w:hint="eastAsia" w:ascii="仿宋_GB2312" w:eastAsia="仿宋_GB2312"/>
          <w:sz w:val="32"/>
          <w:szCs w:val="32"/>
          <w:lang w:val="en-US" w:eastAsia="zh-CN"/>
        </w:rPr>
        <w:t>1953.41</w:t>
      </w:r>
      <w:r>
        <w:rPr>
          <w:rFonts w:hint="eastAsia" w:ascii="仿宋_GB2312" w:eastAsia="仿宋_GB2312"/>
          <w:sz w:val="32"/>
          <w:szCs w:val="32"/>
        </w:rPr>
        <w:t>万元。与上年度相比，收、支总计各减少</w:t>
      </w:r>
      <w:r>
        <w:rPr>
          <w:rFonts w:hint="eastAsia" w:ascii="仿宋_GB2312" w:eastAsia="仿宋_GB2312"/>
          <w:sz w:val="32"/>
          <w:szCs w:val="32"/>
          <w:lang w:val="en-US" w:eastAsia="zh-CN"/>
        </w:rPr>
        <w:t>274.4</w:t>
      </w:r>
      <w:r>
        <w:rPr>
          <w:rFonts w:hint="eastAsia" w:ascii="仿宋_GB2312" w:eastAsia="仿宋_GB2312"/>
          <w:sz w:val="32"/>
          <w:szCs w:val="32"/>
        </w:rPr>
        <w:t>万元，下降</w:t>
      </w:r>
      <w:r>
        <w:rPr>
          <w:rFonts w:hint="eastAsia" w:ascii="仿宋_GB2312" w:eastAsia="仿宋_GB2312"/>
          <w:sz w:val="32"/>
          <w:szCs w:val="32"/>
          <w:lang w:val="en-US" w:eastAsia="zh-CN"/>
        </w:rPr>
        <w:t>1</w:t>
      </w:r>
      <w:r>
        <w:rPr>
          <w:rFonts w:hint="eastAsia" w:ascii="仿宋_GB2312" w:eastAsia="仿宋_GB2312"/>
          <w:sz w:val="32"/>
          <w:szCs w:val="32"/>
        </w:rPr>
        <w:t>2.</w:t>
      </w:r>
      <w:r>
        <w:rPr>
          <w:rFonts w:hint="eastAsia" w:ascii="仿宋_GB2312" w:eastAsia="仿宋_GB2312"/>
          <w:sz w:val="32"/>
          <w:szCs w:val="32"/>
          <w:lang w:val="en-US" w:eastAsia="zh-CN"/>
        </w:rPr>
        <w:t>32</w:t>
      </w:r>
      <w:r>
        <w:rPr>
          <w:rFonts w:hint="eastAsia" w:ascii="仿宋_GB2312" w:eastAsia="仿宋_GB2312"/>
          <w:sz w:val="32"/>
          <w:szCs w:val="32"/>
        </w:rPr>
        <w:t>%。主要原因是</w:t>
      </w:r>
      <w:r>
        <w:rPr>
          <w:rFonts w:hint="eastAsia" w:ascii="仿宋_GB2312" w:eastAsia="仿宋_GB2312"/>
          <w:sz w:val="32"/>
          <w:szCs w:val="32"/>
          <w:lang w:eastAsia="zh-CN"/>
        </w:rPr>
        <w:t>合理控制开支</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二、收入决算情况说明</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lang w:eastAsia="zh-CN"/>
        </w:rPr>
      </w:pPr>
      <w:r>
        <w:rPr>
          <w:rFonts w:hint="eastAsia" w:ascii="仿宋_GB2312" w:eastAsia="仿宋_GB2312"/>
          <w:sz w:val="32"/>
          <w:szCs w:val="32"/>
        </w:rPr>
        <w:t>2020年度收入合计</w:t>
      </w:r>
      <w:r>
        <w:rPr>
          <w:rFonts w:hint="eastAsia" w:ascii="仿宋_GB2312" w:eastAsia="仿宋_GB2312"/>
          <w:sz w:val="32"/>
          <w:szCs w:val="32"/>
          <w:lang w:val="en-US" w:eastAsia="zh-CN"/>
        </w:rPr>
        <w:t>1953.41</w:t>
      </w:r>
      <w:r>
        <w:rPr>
          <w:rFonts w:hint="eastAsia" w:ascii="仿宋_GB2312" w:eastAsia="仿宋_GB2312"/>
          <w:sz w:val="32"/>
          <w:szCs w:val="32"/>
        </w:rPr>
        <w:t>万元，其中：财政拨款收入</w:t>
      </w:r>
      <w:r>
        <w:rPr>
          <w:rFonts w:hint="eastAsia" w:ascii="仿宋_GB2312" w:eastAsia="仿宋_GB2312"/>
          <w:sz w:val="32"/>
          <w:szCs w:val="32"/>
          <w:lang w:val="en-US" w:eastAsia="zh-CN"/>
        </w:rPr>
        <w:t>1953.41</w:t>
      </w:r>
      <w:r>
        <w:rPr>
          <w:rFonts w:hint="eastAsia" w:ascii="仿宋_GB2312" w:eastAsia="仿宋_GB2312"/>
          <w:sz w:val="32"/>
          <w:szCs w:val="32"/>
        </w:rPr>
        <w:t>万元，占</w:t>
      </w:r>
      <w:r>
        <w:rPr>
          <w:rFonts w:hint="eastAsia" w:ascii="仿宋_GB2312" w:eastAsia="仿宋_GB2312"/>
          <w:sz w:val="32"/>
          <w:szCs w:val="32"/>
          <w:lang w:val="en-US" w:eastAsia="zh-CN"/>
        </w:rPr>
        <w:t xml:space="preserve">100 </w:t>
      </w:r>
      <w:r>
        <w:rPr>
          <w:rFonts w:hint="eastAsia" w:ascii="仿宋_GB2312" w:eastAsia="仿宋_GB2312"/>
          <w:sz w:val="32"/>
          <w:szCs w:val="32"/>
        </w:rPr>
        <w:t>%</w:t>
      </w:r>
      <w:r>
        <w:rPr>
          <w:rFonts w:hint="eastAsia" w:ascii="仿宋_GB2312" w:eastAsia="仿宋_GB2312"/>
          <w:sz w:val="32"/>
          <w:szCs w:val="32"/>
          <w:lang w:eastAsia="zh-CN"/>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三、支出决算情况说明</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lang w:eastAsia="zh-CN"/>
        </w:rPr>
      </w:pPr>
      <w:r>
        <w:rPr>
          <w:rFonts w:hint="eastAsia" w:ascii="仿宋_GB2312" w:eastAsia="仿宋_GB2312"/>
          <w:sz w:val="32"/>
          <w:szCs w:val="32"/>
        </w:rPr>
        <w:t>2020年度支出合计</w:t>
      </w:r>
      <w:r>
        <w:rPr>
          <w:rFonts w:hint="eastAsia" w:ascii="仿宋_GB2312" w:eastAsia="仿宋_GB2312"/>
          <w:sz w:val="32"/>
          <w:szCs w:val="32"/>
          <w:lang w:val="en-US" w:eastAsia="zh-CN"/>
        </w:rPr>
        <w:t>1953.41</w:t>
      </w:r>
      <w:r>
        <w:rPr>
          <w:rFonts w:hint="eastAsia" w:ascii="仿宋_GB2312" w:eastAsia="仿宋_GB2312"/>
          <w:sz w:val="32"/>
          <w:szCs w:val="32"/>
        </w:rPr>
        <w:t>万元，其中：基本支出</w:t>
      </w:r>
      <w:r>
        <w:rPr>
          <w:rFonts w:hint="eastAsia" w:ascii="仿宋_GB2312" w:eastAsia="仿宋_GB2312"/>
          <w:sz w:val="32"/>
          <w:szCs w:val="32"/>
          <w:lang w:val="en-US" w:eastAsia="zh-CN"/>
        </w:rPr>
        <w:t>1953.41</w:t>
      </w:r>
      <w:r>
        <w:rPr>
          <w:rFonts w:hint="eastAsia" w:ascii="仿宋_GB2312" w:eastAsia="仿宋_GB2312"/>
          <w:sz w:val="32"/>
          <w:szCs w:val="32"/>
        </w:rPr>
        <w:t>万元，占100</w:t>
      </w:r>
      <w:r>
        <w:rPr>
          <w:rFonts w:hint="eastAsia" w:ascii="仿宋_GB2312" w:eastAsia="仿宋_GB2312"/>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eastAsia="zh-CN"/>
        </w:rPr>
        <w:t>。</w:t>
      </w:r>
    </w:p>
    <w:p>
      <w:pPr>
        <w:pStyle w:val="4"/>
        <w:numPr>
          <w:ilvl w:val="0"/>
          <w:numId w:val="1"/>
        </w:numPr>
        <w:shd w:val="clear" w:color="auto" w:fill="FFFFFF"/>
        <w:ind w:left="0" w:leftChars="0" w:firstLine="640" w:firstLineChars="200"/>
        <w:rPr>
          <w:rFonts w:hint="eastAsia" w:ascii="仿宋_GB2312" w:eastAsia="仿宋_GB2312"/>
          <w:sz w:val="32"/>
          <w:szCs w:val="32"/>
        </w:rPr>
      </w:pPr>
      <w:r>
        <w:rPr>
          <w:rFonts w:hint="eastAsia" w:ascii="仿宋_GB2312" w:eastAsia="仿宋_GB2312"/>
          <w:sz w:val="32"/>
          <w:szCs w:val="32"/>
        </w:rPr>
        <w:t>财政拨款收入支出决算总体情况说明</w:t>
      </w:r>
    </w:p>
    <w:p>
      <w:pPr>
        <w:pStyle w:val="4"/>
        <w:numPr>
          <w:ilvl w:val="0"/>
          <w:numId w:val="0"/>
        </w:numPr>
        <w:shd w:val="clear" w:color="auto" w:fill="FFFFFF"/>
        <w:ind w:firstLine="640" w:firstLineChars="200"/>
        <w:rPr>
          <w:rFonts w:hint="eastAsia" w:ascii="仿宋_GB2312" w:eastAsia="仿宋_GB2312"/>
          <w:sz w:val="32"/>
          <w:szCs w:val="32"/>
        </w:rPr>
      </w:pPr>
      <w:r>
        <w:rPr>
          <w:rFonts w:hint="eastAsia" w:ascii="仿宋_GB2312" w:eastAsia="仿宋_GB2312"/>
          <w:sz w:val="32"/>
          <w:szCs w:val="32"/>
        </w:rPr>
        <w:t xml:space="preserve">2020年度财政拨款收、支总计均为 </w:t>
      </w:r>
      <w:r>
        <w:rPr>
          <w:rFonts w:hint="eastAsia" w:ascii="仿宋_GB2312" w:eastAsia="仿宋_GB2312"/>
          <w:sz w:val="32"/>
          <w:szCs w:val="32"/>
          <w:lang w:val="en-US" w:eastAsia="zh-CN"/>
        </w:rPr>
        <w:t>1953.41</w:t>
      </w:r>
      <w:r>
        <w:rPr>
          <w:rFonts w:hint="eastAsia" w:ascii="仿宋_GB2312" w:eastAsia="仿宋_GB2312"/>
          <w:sz w:val="32"/>
          <w:szCs w:val="32"/>
        </w:rPr>
        <w:t>万元。与上年度相比，财政拨款收、支总计各减少</w:t>
      </w:r>
      <w:r>
        <w:rPr>
          <w:rFonts w:hint="eastAsia" w:ascii="仿宋_GB2312" w:eastAsia="仿宋_GB2312"/>
          <w:sz w:val="32"/>
          <w:szCs w:val="32"/>
          <w:lang w:val="en-US" w:eastAsia="zh-CN"/>
        </w:rPr>
        <w:t>274.4</w:t>
      </w:r>
      <w:r>
        <w:rPr>
          <w:rFonts w:hint="eastAsia" w:ascii="仿宋_GB2312" w:eastAsia="仿宋_GB2312"/>
          <w:sz w:val="32"/>
          <w:szCs w:val="32"/>
        </w:rPr>
        <w:t>万元，下降</w:t>
      </w:r>
      <w:r>
        <w:rPr>
          <w:rFonts w:hint="eastAsia" w:ascii="仿宋_GB2312" w:eastAsia="仿宋_GB2312"/>
          <w:sz w:val="32"/>
          <w:szCs w:val="32"/>
          <w:lang w:val="en-US" w:eastAsia="zh-CN"/>
        </w:rPr>
        <w:t>12.32</w:t>
      </w:r>
      <w:r>
        <w:rPr>
          <w:rFonts w:hint="eastAsia" w:ascii="仿宋_GB2312" w:eastAsia="仿宋_GB2312"/>
          <w:sz w:val="32"/>
          <w:szCs w:val="32"/>
        </w:rPr>
        <w:t>%。主要原因是</w:t>
      </w:r>
      <w:r>
        <w:rPr>
          <w:rFonts w:hint="eastAsia" w:ascii="仿宋_GB2312" w:eastAsia="仿宋_GB2312"/>
          <w:sz w:val="32"/>
          <w:szCs w:val="32"/>
          <w:lang w:eastAsia="zh-CN"/>
        </w:rPr>
        <w:t>合理控制开支</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五、一般公共预算财政拨款支出决算情况说明</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rPr>
      </w:pP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（一）总体情况。</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1953.41</w:t>
      </w:r>
      <w:r>
        <w:rPr>
          <w:rFonts w:hint="eastAsia" w:ascii="仿宋_GB2312" w:eastAsia="仿宋_GB2312"/>
          <w:sz w:val="32"/>
          <w:szCs w:val="32"/>
        </w:rPr>
        <w:t>万元，占支出合计的</w:t>
      </w:r>
      <w:r>
        <w:rPr>
          <w:rFonts w:hint="eastAsia" w:ascii="仿宋_GB2312" w:eastAsia="仿宋_GB2312"/>
          <w:sz w:val="32"/>
          <w:szCs w:val="32"/>
          <w:lang w:val="en-US" w:eastAsia="zh-CN"/>
        </w:rPr>
        <w:t xml:space="preserve">100 </w:t>
      </w:r>
      <w:r>
        <w:rPr>
          <w:rFonts w:hint="eastAsia" w:ascii="仿宋_GB2312" w:eastAsia="仿宋_GB2312"/>
          <w:sz w:val="32"/>
          <w:szCs w:val="32"/>
        </w:rPr>
        <w:t>%。与上年度相比，一般公共预算财政拨款支出减少</w:t>
      </w:r>
      <w:r>
        <w:rPr>
          <w:rFonts w:hint="eastAsia" w:ascii="仿宋_GB2312" w:eastAsia="仿宋_GB2312"/>
          <w:sz w:val="32"/>
          <w:szCs w:val="32"/>
          <w:lang w:val="en-US" w:eastAsia="zh-CN"/>
        </w:rPr>
        <w:t>274.4</w:t>
      </w:r>
      <w:r>
        <w:rPr>
          <w:rFonts w:hint="eastAsia" w:ascii="仿宋_GB2312" w:eastAsia="仿宋_GB2312"/>
          <w:sz w:val="32"/>
          <w:szCs w:val="32"/>
        </w:rPr>
        <w:t>万元，下降</w:t>
      </w:r>
      <w:r>
        <w:rPr>
          <w:rFonts w:hint="eastAsia" w:ascii="仿宋_GB2312" w:eastAsia="仿宋_GB2312"/>
          <w:sz w:val="32"/>
          <w:szCs w:val="32"/>
          <w:lang w:val="en-US" w:eastAsia="zh-CN"/>
        </w:rPr>
        <w:t>12.32</w:t>
      </w:r>
      <w:r>
        <w:rPr>
          <w:rFonts w:hint="eastAsia" w:ascii="仿宋_GB2312" w:eastAsia="仿宋_GB2312"/>
          <w:sz w:val="32"/>
          <w:szCs w:val="32"/>
        </w:rPr>
        <w:t>%。主要原因是</w:t>
      </w:r>
      <w:r>
        <w:rPr>
          <w:rFonts w:hint="eastAsia" w:ascii="仿宋_GB2312" w:eastAsia="仿宋_GB2312"/>
          <w:sz w:val="32"/>
          <w:szCs w:val="32"/>
          <w:lang w:eastAsia="zh-CN"/>
        </w:rPr>
        <w:t>合理控制开支</w:t>
      </w:r>
      <w:bookmarkStart w:id="0" w:name="_GoBack"/>
      <w:bookmarkEnd w:id="0"/>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（二）结构情况。</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1953.41</w:t>
      </w:r>
      <w:r>
        <w:rPr>
          <w:rFonts w:hint="eastAsia" w:ascii="仿宋_GB2312" w:eastAsia="仿宋_GB2312"/>
          <w:sz w:val="32"/>
          <w:szCs w:val="32"/>
        </w:rPr>
        <w:t>万元，主要用于以下方面：一般公共服务（类）支出</w:t>
      </w:r>
      <w:r>
        <w:rPr>
          <w:rFonts w:hint="eastAsia" w:ascii="仿宋_GB2312" w:eastAsia="仿宋_GB2312"/>
          <w:sz w:val="32"/>
          <w:szCs w:val="32"/>
          <w:lang w:val="en-US" w:eastAsia="zh-CN"/>
        </w:rPr>
        <w:t>1745.21</w:t>
      </w:r>
      <w:r>
        <w:rPr>
          <w:rFonts w:hint="eastAsia" w:ascii="仿宋_GB2312" w:eastAsia="仿宋_GB2312"/>
          <w:sz w:val="32"/>
          <w:szCs w:val="32"/>
        </w:rPr>
        <w:t>万元，占</w:t>
      </w:r>
      <w:r>
        <w:rPr>
          <w:rFonts w:hint="eastAsia" w:ascii="仿宋_GB2312" w:eastAsia="仿宋_GB2312"/>
          <w:sz w:val="32"/>
          <w:szCs w:val="32"/>
          <w:lang w:val="en-US" w:eastAsia="zh-CN"/>
        </w:rPr>
        <w:t>89.34</w:t>
      </w: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社会保障和就业支出（类）支出99.07万元，占5.07%；卫生健康支出43.78万元，占2.24%；住房保障支出65.36万元，占3.35%。</w:t>
      </w:r>
    </w:p>
    <w:p>
      <w:pPr>
        <w:pStyle w:val="4"/>
        <w:shd w:val="clear" w:color="auto" w:fill="FFFFFF"/>
        <w:spacing w:before="0" w:beforeAutospacing="0" w:after="0" w:afterAutospacing="0"/>
        <w:ind w:firstLine="640" w:firstLineChars="200"/>
        <w:rPr>
          <w:rFonts w:ascii="仿宋_GB2312" w:eastAsia="仿宋_GB2312"/>
          <w:sz w:val="32"/>
          <w:szCs w:val="32"/>
        </w:rPr>
      </w:pPr>
      <w:r>
        <w:rPr>
          <w:rFonts w:hint="eastAsia" w:ascii="仿宋_GB2312" w:eastAsia="仿宋_GB2312"/>
          <w:sz w:val="32"/>
          <w:szCs w:val="32"/>
        </w:rPr>
        <w:t>（三）具体情况。</w:t>
      </w:r>
    </w:p>
    <w:p>
      <w:pPr>
        <w:pStyle w:val="4"/>
        <w:shd w:val="clear" w:color="auto" w:fill="FFFFFF"/>
        <w:spacing w:before="0" w:beforeAutospacing="0" w:after="0" w:afterAutospacing="0"/>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2020 年度一般公共预算财政拨款支出年初预算为1792.63万元，支出决算为 1953.41万元，完成年初预算的108.97%。其中：</w:t>
      </w:r>
    </w:p>
    <w:p>
      <w:pPr>
        <w:pStyle w:val="4"/>
        <w:numPr>
          <w:ilvl w:val="0"/>
          <w:numId w:val="4"/>
        </w:numPr>
        <w:shd w:val="clear" w:color="auto" w:fill="FFFFFF"/>
        <w:spacing w:before="0" w:beforeAutospacing="0" w:after="0" w:afterAutospacing="0"/>
        <w:ind w:left="161" w:leftChars="67" w:firstLine="480" w:firstLineChars="1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一般公共服务支出（类）财政事务（款）行政运行（项）。年初预算为1592.61万元，支出决算为1745.21万元，完成年初预算110%。决算数大于预算数的原因是增人增资，工资晋档及调整。</w:t>
      </w:r>
    </w:p>
    <w:p>
      <w:pPr>
        <w:widowControl/>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2、社会保障和就业支出（类）行政事业单位离退休（款）基本养老保险缴费支出（项）。年初预算87.14万元，支出决算为95.32万元，完成年初预算109.39%。决算数大于预算数的主要原因是工资晋档及调整。</w:t>
      </w:r>
    </w:p>
    <w:p>
      <w:pPr>
        <w:widowControl/>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3、社会保障和就业支出（类）抚恤（款）死亡抚恤（项）。年初预算为3.74万元，支出决算为3.74万元，完成年初预算的100%。</w:t>
      </w:r>
    </w:p>
    <w:p>
      <w:pPr>
        <w:widowControl/>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4、卫生健康支出（类）行政事业单位医疗（款）行政单位医疗（项）。年初预算43.78万元，支出决算43.78万元，完成年初预算的100%。</w:t>
      </w:r>
    </w:p>
    <w:p>
      <w:pPr>
        <w:widowControl/>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5、住房保障支出（类）住房改革支出（款）住房公积金（项）。年初预算65.36万元，支出决算65.36万元，完成年初预算的100%。</w:t>
      </w:r>
    </w:p>
    <w:p>
      <w:pPr>
        <w:pStyle w:val="4"/>
        <w:shd w:val="clear" w:color="auto" w:fill="FFFFFF"/>
        <w:spacing w:before="0" w:beforeAutospacing="0" w:after="0" w:afterAutospacing="0"/>
        <w:ind w:firstLine="320" w:firstLineChars="100"/>
        <w:rPr>
          <w:rFonts w:ascii="仿宋_GB2312" w:eastAsia="仿宋_GB2312"/>
          <w:sz w:val="32"/>
          <w:szCs w:val="32"/>
        </w:rPr>
      </w:pPr>
      <w:r>
        <w:rPr>
          <w:rFonts w:hint="eastAsia" w:ascii="仿宋_GB2312" w:eastAsia="仿宋_GB2312"/>
          <w:sz w:val="32"/>
          <w:szCs w:val="32"/>
        </w:rPr>
        <w:t>六、一般公共预算财政拨款基本支出决算情况说明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年度一般公共预算财政拨款基本支出</w:t>
      </w:r>
      <w:r>
        <w:rPr>
          <w:rFonts w:hint="eastAsia" w:ascii="仿宋_GB2312" w:eastAsia="仿宋_GB2312"/>
          <w:sz w:val="32"/>
          <w:szCs w:val="32"/>
          <w:lang w:val="en-US" w:eastAsia="zh-CN"/>
        </w:rPr>
        <w:t>1953.41</w:t>
      </w:r>
      <w:r>
        <w:rPr>
          <w:rFonts w:hint="eastAsia" w:ascii="仿宋_GB2312" w:eastAsia="仿宋_GB2312"/>
          <w:sz w:val="32"/>
          <w:szCs w:val="32"/>
        </w:rPr>
        <w:t>万元。其中：人员经费</w:t>
      </w:r>
      <w:r>
        <w:rPr>
          <w:rFonts w:hint="eastAsia" w:ascii="仿宋_GB2312" w:eastAsia="仿宋_GB2312"/>
          <w:sz w:val="32"/>
          <w:szCs w:val="32"/>
          <w:lang w:val="en-US" w:eastAsia="zh-CN"/>
        </w:rPr>
        <w:t>1036.44</w:t>
      </w:r>
      <w:r>
        <w:rPr>
          <w:rFonts w:hint="eastAsia" w:ascii="仿宋_GB2312" w:eastAsia="仿宋_GB2312"/>
          <w:sz w:val="32"/>
          <w:szCs w:val="32"/>
        </w:rPr>
        <w:t>万元，主要包括：基本工资、津贴补贴、伙食补助费、绩效工资、机关事业单位基本养老保险 缴费、职业年金缴费、其他社会保障缴费、其他工资福利支出、离休费、退休费、抚恤金、生活补助、医疗费、奖励金、住房公积金、采暖补贴、物业服务补贴、其 他对个人和家庭的补助支出；公用经费</w:t>
      </w:r>
      <w:r>
        <w:rPr>
          <w:rFonts w:hint="eastAsia" w:ascii="仿宋_GB2312" w:eastAsia="仿宋_GB2312"/>
          <w:sz w:val="32"/>
          <w:szCs w:val="32"/>
          <w:lang w:val="en-US" w:eastAsia="zh-CN"/>
        </w:rPr>
        <w:t>916.97</w:t>
      </w:r>
      <w:r>
        <w:rPr>
          <w:rFonts w:hint="eastAsia" w:ascii="仿宋_GB2312" w:eastAsia="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（一）“三公”经费财政拨款支出决算总体情况说明。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年度“三公”经费财政拨款支出预算为</w:t>
      </w:r>
      <w:r>
        <w:rPr>
          <w:rFonts w:hint="eastAsia" w:ascii="仿宋_GB2312" w:eastAsia="仿宋_GB2312"/>
          <w:sz w:val="32"/>
          <w:szCs w:val="32"/>
          <w:lang w:val="en-US" w:eastAsia="zh-CN"/>
        </w:rPr>
        <w:t>9.23</w:t>
      </w:r>
      <w:r>
        <w:rPr>
          <w:rFonts w:hint="eastAsia" w:ascii="仿宋_GB2312" w:eastAsia="仿宋_GB2312"/>
          <w:sz w:val="32"/>
          <w:szCs w:val="32"/>
        </w:rPr>
        <w:t>万元，支出决算为</w:t>
      </w:r>
      <w:r>
        <w:rPr>
          <w:rFonts w:hint="eastAsia" w:ascii="仿宋_GB2312" w:eastAsia="仿宋_GB2312"/>
          <w:sz w:val="32"/>
          <w:szCs w:val="32"/>
          <w:lang w:val="en-US" w:eastAsia="zh-CN"/>
        </w:rPr>
        <w:t>7.9</w:t>
      </w:r>
      <w:r>
        <w:rPr>
          <w:rFonts w:hint="eastAsia" w:ascii="仿宋_GB2312" w:eastAsia="仿宋_GB2312"/>
          <w:sz w:val="32"/>
          <w:szCs w:val="32"/>
        </w:rPr>
        <w:t>万元，完成预算的</w:t>
      </w:r>
      <w:r>
        <w:rPr>
          <w:rFonts w:hint="eastAsia" w:ascii="仿宋_GB2312" w:eastAsia="仿宋_GB2312"/>
          <w:sz w:val="32"/>
          <w:szCs w:val="32"/>
          <w:lang w:val="en-US" w:eastAsia="zh-CN"/>
        </w:rPr>
        <w:t>85.59</w:t>
      </w:r>
      <w:r>
        <w:rPr>
          <w:rFonts w:hint="eastAsia" w:ascii="仿宋_GB2312" w:eastAsia="仿宋_GB2312"/>
          <w:sz w:val="32"/>
          <w:szCs w:val="32"/>
        </w:rPr>
        <w:t>%。2020年度“三公”经费支出决算数与预算数存在差异的主要原因是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是</w:t>
      </w:r>
      <w:r>
        <w:rPr>
          <w:rFonts w:hint="eastAsia" w:ascii="仿宋_GB2312" w:hAnsi="宋体" w:eastAsia="仿宋_GB2312" w:cs="Courier New"/>
          <w:color w:val="auto"/>
          <w:sz w:val="32"/>
          <w:szCs w:val="32"/>
          <w:highlight w:val="none"/>
          <w:lang w:eastAsia="zh-CN"/>
        </w:rPr>
        <w:t>公车改革，加大对公务用车的审核和控制力度</w:t>
      </w:r>
      <w:r>
        <w:rPr>
          <w:rFonts w:hint="eastAsia" w:ascii="仿宋_GB2312" w:hAnsi="宋体" w:eastAsia="仿宋_GB2312" w:cs="Courier New"/>
          <w:color w:val="auto"/>
          <w:sz w:val="32"/>
          <w:szCs w:val="32"/>
          <w:highlight w:val="none"/>
        </w:rPr>
        <w:t>；</w:t>
      </w:r>
      <w:r>
        <w:rPr>
          <w:rFonts w:hint="eastAsia" w:ascii="仿宋_GB2312" w:hAnsi="宋体" w:eastAsia="仿宋_GB2312" w:cs="Courier New"/>
          <w:color w:val="auto"/>
          <w:sz w:val="32"/>
          <w:szCs w:val="32"/>
          <w:highlight w:val="none"/>
          <w:lang w:val="en-US" w:eastAsia="zh-CN"/>
        </w:rPr>
        <w:t>二是</w:t>
      </w:r>
      <w:r>
        <w:rPr>
          <w:rFonts w:hint="eastAsia" w:ascii="仿宋_GB2312" w:hAnsi="仿宋_GB2312" w:eastAsia="仿宋_GB2312" w:cs="仿宋_GB2312"/>
          <w:color w:val="auto"/>
          <w:kern w:val="2"/>
          <w:sz w:val="32"/>
          <w:szCs w:val="32"/>
          <w:highlight w:val="none"/>
          <w:lang w:eastAsia="zh-CN"/>
        </w:rPr>
        <w:t>为深入贯彻中央八项规定精神，推动《中国共产党廉洁自律准则》和《党政机关厉行节约反对浪费条例》等有关规定的落实，规范三公经费管理</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（二）“三公”经费财政拨款支出决算具体情况说明。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年度“三公”经费财政拨款支出决算中，因公出国（境）费支出决算0.00万元，完成预算的0.00%，占0.00%；公务用车购置及运行费支出决算</w:t>
      </w:r>
      <w:r>
        <w:rPr>
          <w:rFonts w:hint="eastAsia" w:ascii="仿宋_GB2312" w:eastAsia="仿宋_GB2312"/>
          <w:sz w:val="32"/>
          <w:szCs w:val="32"/>
          <w:lang w:val="en-US" w:eastAsia="zh-CN"/>
        </w:rPr>
        <w:t>3.29</w:t>
      </w:r>
      <w:r>
        <w:rPr>
          <w:rFonts w:hint="eastAsia" w:ascii="仿宋_GB2312" w:eastAsia="仿宋_GB2312"/>
          <w:sz w:val="32"/>
          <w:szCs w:val="32"/>
        </w:rPr>
        <w:t>万元，完成预算的</w:t>
      </w:r>
      <w:r>
        <w:rPr>
          <w:rFonts w:hint="eastAsia" w:ascii="仿宋_GB2312" w:eastAsia="仿宋_GB2312"/>
          <w:sz w:val="32"/>
          <w:szCs w:val="32"/>
          <w:lang w:val="en-US" w:eastAsia="zh-CN"/>
        </w:rPr>
        <w:t>88.68</w:t>
      </w:r>
      <w:r>
        <w:rPr>
          <w:rFonts w:hint="eastAsia" w:ascii="仿宋_GB2312" w:eastAsia="仿宋_GB2312"/>
          <w:sz w:val="32"/>
          <w:szCs w:val="32"/>
        </w:rPr>
        <w:t>%，占</w:t>
      </w:r>
      <w:r>
        <w:rPr>
          <w:rFonts w:hint="eastAsia" w:ascii="仿宋_GB2312" w:eastAsia="仿宋_GB2312"/>
          <w:sz w:val="32"/>
          <w:szCs w:val="32"/>
          <w:lang w:val="en-US" w:eastAsia="zh-CN"/>
        </w:rPr>
        <w:t>35.64</w:t>
      </w:r>
      <w:r>
        <w:rPr>
          <w:rFonts w:hint="eastAsia" w:ascii="仿宋_GB2312" w:eastAsia="仿宋_GB2312"/>
          <w:sz w:val="32"/>
          <w:szCs w:val="32"/>
        </w:rPr>
        <w:t>%；公务接待费支出决算</w:t>
      </w:r>
      <w:r>
        <w:rPr>
          <w:rFonts w:hint="eastAsia" w:ascii="仿宋_GB2312" w:eastAsia="仿宋_GB2312"/>
          <w:sz w:val="32"/>
          <w:szCs w:val="32"/>
          <w:lang w:val="en-US" w:eastAsia="zh-CN"/>
        </w:rPr>
        <w:t>4.69</w:t>
      </w:r>
      <w:r>
        <w:rPr>
          <w:rFonts w:hint="eastAsia" w:ascii="仿宋_GB2312" w:eastAsia="仿宋_GB2312"/>
          <w:sz w:val="32"/>
          <w:szCs w:val="32"/>
        </w:rPr>
        <w:t xml:space="preserve">万元，完成预算的 </w:t>
      </w:r>
      <w:r>
        <w:rPr>
          <w:rFonts w:hint="eastAsia" w:ascii="仿宋_GB2312" w:eastAsia="仿宋_GB2312"/>
          <w:sz w:val="32"/>
          <w:szCs w:val="32"/>
          <w:lang w:val="en-US" w:eastAsia="zh-CN"/>
        </w:rPr>
        <w:t>84.96</w:t>
      </w:r>
      <w:r>
        <w:rPr>
          <w:rFonts w:hint="eastAsia" w:ascii="仿宋_GB2312" w:eastAsia="仿宋_GB2312"/>
          <w:sz w:val="32"/>
          <w:szCs w:val="32"/>
        </w:rPr>
        <w:t>%，占</w:t>
      </w:r>
      <w:r>
        <w:rPr>
          <w:rFonts w:hint="eastAsia" w:ascii="仿宋_GB2312" w:eastAsia="仿宋_GB2312"/>
          <w:sz w:val="32"/>
          <w:szCs w:val="32"/>
          <w:lang w:val="en-US" w:eastAsia="zh-CN"/>
        </w:rPr>
        <w:t>64.36</w:t>
      </w:r>
      <w:r>
        <w:rPr>
          <w:rFonts w:hint="eastAsia" w:ascii="仿宋_GB2312" w:eastAsia="仿宋_GB2312"/>
          <w:sz w:val="32"/>
          <w:szCs w:val="32"/>
        </w:rPr>
        <w:t>%；具体情况如下：</w:t>
      </w:r>
    </w:p>
    <w:p>
      <w:pPr>
        <w:pStyle w:val="4"/>
        <w:numPr>
          <w:ilvl w:val="0"/>
          <w:numId w:val="5"/>
        </w:numPr>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因公出国（境）费年初预算为 0.00万元，支出决算为0.00 万元，完成年初预算的0.00%。因公出国（境）团组数0个，因公出国（境）人次数0人。</w:t>
      </w:r>
    </w:p>
    <w:p>
      <w:pPr>
        <w:pStyle w:val="4"/>
        <w:numPr>
          <w:ilvl w:val="0"/>
          <w:numId w:val="0"/>
        </w:numPr>
        <w:shd w:val="clear" w:color="auto" w:fill="FFFFFF"/>
        <w:spacing w:before="0" w:beforeAutospacing="0" w:after="0" w:afterAutospacing="0"/>
        <w:ind w:firstLine="640" w:firstLineChars="200"/>
        <w:rPr>
          <w:rFonts w:ascii="仿宋_GB2312" w:eastAsia="仿宋_GB2312"/>
          <w:sz w:val="32"/>
          <w:szCs w:val="32"/>
        </w:rPr>
      </w:pPr>
      <w:r>
        <w:rPr>
          <w:rFonts w:hint="eastAsia" w:ascii="仿宋_GB2312" w:eastAsia="仿宋_GB2312"/>
          <w:sz w:val="32"/>
          <w:szCs w:val="32"/>
        </w:rPr>
        <w:t>2．公务用车购置及运行费年初预算为</w:t>
      </w:r>
      <w:r>
        <w:rPr>
          <w:rFonts w:hint="eastAsia" w:ascii="仿宋_GB2312" w:eastAsia="仿宋_GB2312"/>
          <w:sz w:val="32"/>
          <w:szCs w:val="32"/>
          <w:lang w:val="en-US" w:eastAsia="zh-CN"/>
        </w:rPr>
        <w:t>3.71</w:t>
      </w:r>
      <w:r>
        <w:rPr>
          <w:rFonts w:hint="eastAsia" w:ascii="仿宋_GB2312" w:eastAsia="仿宋_GB2312"/>
          <w:sz w:val="32"/>
          <w:szCs w:val="32"/>
        </w:rPr>
        <w:t>万元，支出决算为</w:t>
      </w:r>
      <w:r>
        <w:rPr>
          <w:rFonts w:hint="eastAsia" w:ascii="仿宋_GB2312" w:eastAsia="仿宋_GB2312"/>
          <w:sz w:val="32"/>
          <w:szCs w:val="32"/>
          <w:lang w:val="en-US" w:eastAsia="zh-CN"/>
        </w:rPr>
        <w:t>3.29</w:t>
      </w:r>
      <w:r>
        <w:rPr>
          <w:rFonts w:hint="eastAsia" w:ascii="仿宋_GB2312" w:eastAsia="仿宋_GB2312"/>
          <w:sz w:val="32"/>
          <w:szCs w:val="32"/>
        </w:rPr>
        <w:t>万元，完成年初预算的</w:t>
      </w:r>
      <w:r>
        <w:rPr>
          <w:rFonts w:hint="eastAsia" w:ascii="仿宋_GB2312" w:eastAsia="仿宋_GB2312"/>
          <w:sz w:val="32"/>
          <w:szCs w:val="32"/>
          <w:lang w:val="en-US" w:eastAsia="zh-CN"/>
        </w:rPr>
        <w:t>88.68</w:t>
      </w:r>
      <w:r>
        <w:rPr>
          <w:rFonts w:hint="eastAsia" w:ascii="仿宋_GB2312" w:eastAsia="仿宋_GB2312"/>
          <w:sz w:val="32"/>
          <w:szCs w:val="32"/>
        </w:rPr>
        <w:t>%，决算数与年初预算数存在差异的主要原因是</w:t>
      </w:r>
      <w:r>
        <w:rPr>
          <w:rFonts w:hint="eastAsia" w:ascii="仿宋_GB2312" w:hAnsi="宋体" w:eastAsia="仿宋_GB2312" w:cs="Courier New"/>
          <w:sz w:val="32"/>
          <w:szCs w:val="32"/>
          <w:lang w:eastAsia="zh-CN"/>
        </w:rPr>
        <w:t>公车改革，加大对公务用车的审核和控制力度</w:t>
      </w:r>
      <w:r>
        <w:rPr>
          <w:rFonts w:hint="eastAsia" w:ascii="仿宋_GB2312" w:eastAsia="仿宋_GB2312"/>
          <w:sz w:val="32"/>
          <w:szCs w:val="32"/>
        </w:rPr>
        <w:t>。其中：</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lang w:val="en-US" w:eastAsia="zh-CN"/>
        </w:rPr>
      </w:pPr>
      <w:r>
        <w:rPr>
          <w:rFonts w:hint="eastAsia" w:ascii="仿宋_GB2312" w:eastAsia="仿宋_GB2312"/>
          <w:sz w:val="32"/>
          <w:szCs w:val="32"/>
        </w:rPr>
        <w:t>公务用车购置支出0.00万元，购置车辆</w:t>
      </w:r>
      <w:r>
        <w:rPr>
          <w:rFonts w:hint="eastAsia" w:ascii="仿宋_GB2312" w:eastAsia="仿宋_GB2312"/>
          <w:sz w:val="32"/>
          <w:szCs w:val="32"/>
          <w:lang w:val="en-US" w:eastAsia="zh-CN"/>
        </w:rPr>
        <w:t>0</w:t>
      </w:r>
      <w:r>
        <w:rPr>
          <w:rFonts w:hint="eastAsia" w:ascii="仿宋_GB2312" w:eastAsia="仿宋_GB2312"/>
          <w:sz w:val="32"/>
          <w:szCs w:val="32"/>
        </w:rPr>
        <w:t>台</w:t>
      </w:r>
      <w:r>
        <w:rPr>
          <w:rFonts w:hint="eastAsia" w:ascii="仿宋_GB2312" w:eastAsia="仿宋_GB2312"/>
          <w:sz w:val="32"/>
          <w:szCs w:val="32"/>
          <w:lang w:eastAsia="zh-CN"/>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公务用车运行支出</w:t>
      </w:r>
      <w:r>
        <w:rPr>
          <w:rFonts w:hint="eastAsia" w:ascii="仿宋_GB2312" w:eastAsia="仿宋_GB2312"/>
          <w:sz w:val="32"/>
          <w:szCs w:val="32"/>
          <w:lang w:val="en-US" w:eastAsia="zh-CN"/>
        </w:rPr>
        <w:t>3.29</w:t>
      </w:r>
      <w:r>
        <w:rPr>
          <w:rFonts w:hint="eastAsia" w:ascii="仿宋_GB2312" w:eastAsia="仿宋_GB2312"/>
          <w:sz w:val="32"/>
          <w:szCs w:val="32"/>
        </w:rPr>
        <w:t>万元。主要用于</w:t>
      </w:r>
      <w:r>
        <w:rPr>
          <w:rFonts w:hint="eastAsia" w:ascii="仿宋_GB2312" w:hAnsi="仿宋_GB2312" w:eastAsia="仿宋_GB2312" w:cs="仿宋_GB2312"/>
          <w:kern w:val="2"/>
          <w:sz w:val="32"/>
          <w:szCs w:val="32"/>
        </w:rPr>
        <w:t>开展工作所需用车的燃料费、</w:t>
      </w:r>
      <w:r>
        <w:rPr>
          <w:rFonts w:hint="eastAsia" w:hAnsi="仿宋_GB2312" w:cs="仿宋_GB2312"/>
          <w:kern w:val="2"/>
          <w:sz w:val="32"/>
          <w:szCs w:val="32"/>
          <w:lang w:eastAsia="zh-CN"/>
        </w:rPr>
        <w:t>租车费、</w:t>
      </w:r>
      <w:r>
        <w:rPr>
          <w:rFonts w:hint="eastAsia" w:ascii="仿宋_GB2312" w:hAnsi="仿宋_GB2312" w:eastAsia="仿宋_GB2312" w:cs="仿宋_GB2312"/>
          <w:kern w:val="2"/>
          <w:sz w:val="32"/>
          <w:szCs w:val="32"/>
        </w:rPr>
        <w:t>维修费、过路过桥费、保险费等支出</w:t>
      </w:r>
      <w:r>
        <w:rPr>
          <w:rFonts w:hint="eastAsia" w:ascii="仿宋_GB2312" w:eastAsia="仿宋_GB2312"/>
          <w:sz w:val="32"/>
          <w:szCs w:val="32"/>
        </w:rPr>
        <w:t>。2020年期末，单位开支财政拨款的公务用车保有量为</w:t>
      </w:r>
      <w:r>
        <w:rPr>
          <w:rFonts w:hint="eastAsia" w:ascii="仿宋_GB2312" w:eastAsia="仿宋_GB2312"/>
          <w:sz w:val="32"/>
          <w:szCs w:val="32"/>
          <w:lang w:val="en-US" w:eastAsia="zh-CN"/>
        </w:rPr>
        <w:t>2辆</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3. 公务接待费年初预算为</w:t>
      </w:r>
      <w:r>
        <w:rPr>
          <w:rFonts w:hint="eastAsia" w:ascii="仿宋_GB2312" w:eastAsia="仿宋_GB2312"/>
          <w:sz w:val="32"/>
          <w:szCs w:val="32"/>
          <w:lang w:val="en-US" w:eastAsia="zh-CN"/>
        </w:rPr>
        <w:t>5.52</w:t>
      </w:r>
      <w:r>
        <w:rPr>
          <w:rFonts w:hint="eastAsia" w:ascii="仿宋_GB2312" w:eastAsia="仿宋_GB2312"/>
          <w:sz w:val="32"/>
          <w:szCs w:val="32"/>
        </w:rPr>
        <w:t>万元，支出决算为</w:t>
      </w:r>
      <w:r>
        <w:rPr>
          <w:rFonts w:hint="eastAsia" w:ascii="仿宋_GB2312" w:eastAsia="仿宋_GB2312"/>
          <w:sz w:val="32"/>
          <w:szCs w:val="32"/>
          <w:lang w:val="en-US" w:eastAsia="zh-CN"/>
        </w:rPr>
        <w:t>4.69</w:t>
      </w:r>
      <w:r>
        <w:rPr>
          <w:rFonts w:hint="eastAsia" w:ascii="仿宋_GB2312" w:eastAsia="仿宋_GB2312"/>
          <w:sz w:val="32"/>
          <w:szCs w:val="32"/>
        </w:rPr>
        <w:t>万元，完成年初预算的</w:t>
      </w:r>
      <w:r>
        <w:rPr>
          <w:rFonts w:hint="eastAsia" w:ascii="仿宋_GB2312" w:eastAsia="仿宋_GB2312"/>
          <w:sz w:val="32"/>
          <w:szCs w:val="32"/>
          <w:lang w:val="en-US" w:eastAsia="zh-CN"/>
        </w:rPr>
        <w:t>84.96</w:t>
      </w:r>
      <w:r>
        <w:rPr>
          <w:rFonts w:hint="eastAsia" w:ascii="仿宋_GB2312" w:eastAsia="仿宋_GB2312"/>
          <w:sz w:val="32"/>
          <w:szCs w:val="32"/>
        </w:rPr>
        <w:t>%。决算数与年初预算数存在差异的主要原因是</w:t>
      </w:r>
      <w:r>
        <w:rPr>
          <w:rFonts w:hint="eastAsia" w:ascii="仿宋_GB2312" w:hAnsi="仿宋_GB2312" w:eastAsia="仿宋_GB2312" w:cs="仿宋_GB2312"/>
          <w:kern w:val="2"/>
          <w:sz w:val="32"/>
          <w:szCs w:val="32"/>
          <w:lang w:eastAsia="zh-CN"/>
        </w:rPr>
        <w:t>为深入贯彻中央八项规定精神，推动《中国共产党廉洁自律准则》和《党政机关厉行节约反对浪费条例》等有关规定的落实，规范三公经费管理</w:t>
      </w:r>
      <w:r>
        <w:rPr>
          <w:rFonts w:hint="eastAsia" w:ascii="仿宋_GB2312" w:eastAsia="仿宋_GB2312"/>
          <w:sz w:val="32"/>
          <w:szCs w:val="32"/>
        </w:rPr>
        <w:t>。其中：外宾接待支出</w:t>
      </w:r>
      <w:r>
        <w:rPr>
          <w:rFonts w:hint="eastAsia" w:ascii="仿宋_GB2312" w:eastAsia="仿宋_GB2312"/>
          <w:sz w:val="32"/>
          <w:szCs w:val="32"/>
          <w:lang w:val="en-US" w:eastAsia="zh-CN"/>
        </w:rPr>
        <w:t>0</w:t>
      </w:r>
      <w:r>
        <w:rPr>
          <w:rFonts w:hint="eastAsia" w:ascii="仿宋_GB2312" w:eastAsia="仿宋_GB2312"/>
          <w:sz w:val="32"/>
          <w:szCs w:val="32"/>
        </w:rPr>
        <w:t>万元。其他国内公务接待支出</w:t>
      </w:r>
      <w:r>
        <w:rPr>
          <w:rFonts w:hint="eastAsia" w:ascii="仿宋_GB2312" w:eastAsia="仿宋_GB2312"/>
          <w:sz w:val="32"/>
          <w:szCs w:val="32"/>
          <w:lang w:val="en-US" w:eastAsia="zh-CN"/>
        </w:rPr>
        <w:t>4.69</w:t>
      </w:r>
      <w:r>
        <w:rPr>
          <w:rFonts w:hint="eastAsia" w:ascii="仿宋_GB2312" w:eastAsia="仿宋_GB2312"/>
          <w:sz w:val="32"/>
          <w:szCs w:val="32"/>
        </w:rPr>
        <w:t>万元。主要用于</w:t>
      </w:r>
      <w:r>
        <w:rPr>
          <w:rFonts w:hint="eastAsia" w:ascii="仿宋_GB2312" w:hAnsi="仿宋_GB2312" w:eastAsia="仿宋_GB2312" w:cs="仿宋_GB2312"/>
          <w:kern w:val="2"/>
          <w:sz w:val="32"/>
          <w:szCs w:val="32"/>
          <w:highlight w:val="none"/>
        </w:rPr>
        <w:t>按规定开支的各类公务接待支出</w:t>
      </w:r>
      <w:r>
        <w:rPr>
          <w:rFonts w:hint="eastAsia" w:ascii="仿宋_GB2312" w:eastAsia="仿宋_GB2312"/>
          <w:sz w:val="32"/>
          <w:szCs w:val="32"/>
        </w:rPr>
        <w:t>。2020年共接待国内来访团组</w:t>
      </w:r>
      <w:r>
        <w:rPr>
          <w:rFonts w:hint="eastAsia" w:ascii="仿宋_GB2312" w:eastAsia="仿宋_GB2312"/>
          <w:sz w:val="32"/>
          <w:szCs w:val="32"/>
          <w:lang w:val="en-US" w:eastAsia="zh-CN"/>
        </w:rPr>
        <w:t>89</w:t>
      </w:r>
      <w:r>
        <w:rPr>
          <w:rFonts w:hint="eastAsia" w:ascii="仿宋_GB2312" w:eastAsia="仿宋_GB2312"/>
          <w:sz w:val="32"/>
          <w:szCs w:val="32"/>
        </w:rPr>
        <w:t>个、来宾</w:t>
      </w:r>
      <w:r>
        <w:rPr>
          <w:rFonts w:hint="eastAsia" w:ascii="仿宋_GB2312" w:eastAsia="仿宋_GB2312"/>
          <w:sz w:val="32"/>
          <w:szCs w:val="32"/>
          <w:lang w:val="en-US" w:eastAsia="zh-CN"/>
        </w:rPr>
        <w:t>495</w:t>
      </w:r>
      <w:r>
        <w:rPr>
          <w:rFonts w:hint="eastAsia" w:ascii="仿宋_GB2312" w:eastAsia="仿宋_GB2312"/>
          <w:sz w:val="32"/>
          <w:szCs w:val="32"/>
        </w:rPr>
        <w:t>人次（不包括陪同人员）。</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八、预算绩效情况说明</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（一）绩效管理工作开展情况。</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hAnsi="仿宋_GB2312" w:eastAsia="仿宋_GB2312" w:cs="仿宋_GB2312"/>
          <w:sz w:val="32"/>
          <w:szCs w:val="32"/>
          <w:lang w:eastAsia="zh-CN"/>
        </w:rPr>
        <w:t>我局根据年初预算批复和本单位实际，</w:t>
      </w: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eastAsia="zh-CN"/>
        </w:rPr>
        <w:t>按照要求列支各项支出。</w:t>
      </w:r>
    </w:p>
    <w:p>
      <w:pPr>
        <w:pStyle w:val="4"/>
        <w:numPr>
          <w:ilvl w:val="0"/>
          <w:numId w:val="6"/>
        </w:numPr>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项目绩效自评结果。</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项目资金严格按照预算要求，规范使用。</w:t>
      </w:r>
    </w:p>
    <w:p>
      <w:pPr>
        <w:pStyle w:val="4"/>
        <w:numPr>
          <w:ilvl w:val="0"/>
          <w:numId w:val="6"/>
        </w:numPr>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以单位为主体开展的重点绩效评价结果。</w:t>
      </w:r>
    </w:p>
    <w:p>
      <w:pPr>
        <w:pStyle w:val="4"/>
        <w:numPr>
          <w:ilvl w:val="0"/>
          <w:numId w:val="0"/>
        </w:numPr>
        <w:shd w:val="clear" w:color="auto" w:fill="FFFFFF"/>
        <w:spacing w:before="0" w:beforeAutospacing="0" w:after="0" w:afterAutospacing="0"/>
        <w:ind w:firstLine="640" w:firstLineChars="200"/>
        <w:rPr>
          <w:rFonts w:hint="eastAsia" w:ascii="仿宋_GB2312" w:eastAsia="仿宋_GB2312"/>
          <w:sz w:val="32"/>
          <w:szCs w:val="32"/>
        </w:rPr>
      </w:pPr>
      <w:r>
        <w:rPr>
          <w:rFonts w:hint="eastAsia" w:ascii="仿宋_GB2312" w:hAnsi="仿宋_GB2312" w:eastAsia="仿宋_GB2312" w:cs="仿宋_GB2312"/>
          <w:color w:val="auto"/>
          <w:sz w:val="32"/>
          <w:szCs w:val="32"/>
          <w:highlight w:val="none"/>
          <w:lang w:eastAsia="zh-CN"/>
        </w:rPr>
        <w:t>我局</w:t>
      </w:r>
      <w:r>
        <w:rPr>
          <w:rFonts w:hint="eastAsia" w:ascii="仿宋_GB2312" w:hAnsi="仿宋_GB2312" w:eastAsia="仿宋_GB2312" w:cs="仿宋_GB2312"/>
          <w:color w:val="auto"/>
          <w:sz w:val="32"/>
          <w:szCs w:val="32"/>
          <w:highlight w:val="none"/>
          <w:lang w:val="en-US" w:eastAsia="zh-CN"/>
        </w:rPr>
        <w:t>2020年无重点绩效评价工作。</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九、政府性基金预算财政拨款支出决算情况说明</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2020年度政府性基金预算财政拨款支出年初预算为0万元，支出决算为0万元，完成年初预算的 0.00%。</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lang w:eastAsia="zh-CN"/>
        </w:rPr>
        <w:t>我局</w:t>
      </w:r>
      <w:r>
        <w:rPr>
          <w:rFonts w:hint="eastAsia" w:ascii="仿宋_GB2312" w:hAnsi="仿宋_GB2312" w:eastAsia="仿宋_GB2312" w:cs="仿宋_GB2312"/>
          <w:color w:val="auto"/>
          <w:sz w:val="32"/>
          <w:szCs w:val="32"/>
          <w:highlight w:val="none"/>
          <w:lang w:val="en-US" w:eastAsia="zh-CN"/>
        </w:rPr>
        <w:t>2020年度没有政府性基金收入，也没有使用政府性基金安排的支出</w:t>
      </w:r>
      <w:r>
        <w:rPr>
          <w:rFonts w:hint="eastAsia" w:ascii="仿宋_GB2312" w:hAnsi="仿宋_GB2312" w:eastAsia="仿宋_GB2312" w:cs="仿宋_GB2312"/>
          <w:color w:val="auto"/>
          <w:sz w:val="32"/>
          <w:szCs w:val="32"/>
          <w:highlight w:val="none"/>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十、机关运行经费支出情况说明</w:t>
      </w:r>
    </w:p>
    <w:p>
      <w:pPr>
        <w:widowControl/>
        <w:ind w:firstLine="640" w:firstLineChars="200"/>
        <w:rPr>
          <w:rFonts w:hint="eastAsia" w:ascii="仿宋_GB2312" w:hAnsi="仿宋_GB2312" w:eastAsia="仿宋_GB2312" w:cs="仿宋_GB2312"/>
          <w:color w:val="auto"/>
          <w:sz w:val="32"/>
          <w:szCs w:val="32"/>
          <w:highlight w:val="none"/>
        </w:rPr>
      </w:pPr>
      <w:r>
        <w:rPr>
          <w:rFonts w:hint="eastAsia" w:ascii="仿宋_GB2312" w:eastAsia="仿宋_GB2312"/>
          <w:sz w:val="32"/>
          <w:szCs w:val="32"/>
        </w:rPr>
        <w:t>2020年度机关运行经费初预算为</w:t>
      </w:r>
      <w:r>
        <w:rPr>
          <w:rFonts w:hint="eastAsia" w:ascii="仿宋_GB2312" w:eastAsia="仿宋_GB2312"/>
          <w:sz w:val="32"/>
          <w:szCs w:val="32"/>
          <w:lang w:val="en-US" w:eastAsia="zh-CN"/>
        </w:rPr>
        <w:t>1792.63</w:t>
      </w:r>
      <w:r>
        <w:rPr>
          <w:rFonts w:hint="eastAsia" w:ascii="仿宋_GB2312" w:eastAsia="仿宋_GB2312"/>
          <w:sz w:val="32"/>
          <w:szCs w:val="32"/>
        </w:rPr>
        <w:t xml:space="preserve">万元，支出决算为 </w:t>
      </w:r>
      <w:r>
        <w:rPr>
          <w:rFonts w:hint="eastAsia" w:ascii="仿宋_GB2312" w:eastAsia="仿宋_GB2312"/>
          <w:sz w:val="32"/>
          <w:szCs w:val="32"/>
          <w:lang w:val="en-US" w:eastAsia="zh-CN"/>
        </w:rPr>
        <w:t>1953.41</w:t>
      </w:r>
      <w:r>
        <w:rPr>
          <w:rFonts w:hint="eastAsia" w:ascii="仿宋_GB2312" w:eastAsia="仿宋_GB2312"/>
          <w:sz w:val="32"/>
          <w:szCs w:val="32"/>
        </w:rPr>
        <w:t>万元，完成年初预算的</w:t>
      </w:r>
      <w:r>
        <w:rPr>
          <w:rFonts w:hint="eastAsia" w:ascii="仿宋_GB2312" w:eastAsia="仿宋_GB2312"/>
          <w:sz w:val="32"/>
          <w:szCs w:val="32"/>
          <w:lang w:val="en-US" w:eastAsia="zh-CN"/>
        </w:rPr>
        <w:t>108.97</w:t>
      </w:r>
      <w:r>
        <w:rPr>
          <w:rFonts w:hint="eastAsia" w:ascii="仿宋_GB2312" w:eastAsia="仿宋_GB2312"/>
          <w:sz w:val="32"/>
          <w:szCs w:val="32"/>
        </w:rPr>
        <w:t>%。决算数与年初预算数存在差异的主要原因是</w:t>
      </w:r>
      <w:r>
        <w:rPr>
          <w:rFonts w:hint="eastAsia" w:ascii="仿宋_GB2312" w:hAnsi="仿宋_GB2312" w:eastAsia="仿宋_GB2312" w:cs="仿宋_GB2312"/>
          <w:sz w:val="32"/>
          <w:szCs w:val="32"/>
          <w:lang w:eastAsia="zh-CN"/>
        </w:rPr>
        <w:t>增人增资、</w:t>
      </w:r>
      <w:r>
        <w:rPr>
          <w:rFonts w:hint="eastAsia" w:ascii="仿宋_GB2312" w:hAnsi="仿宋_GB2312" w:eastAsia="仿宋_GB2312" w:cs="仿宋_GB2312"/>
          <w:sz w:val="32"/>
          <w:szCs w:val="32"/>
          <w:lang w:val="en-US" w:eastAsia="zh-CN"/>
        </w:rPr>
        <w:t>财政供养人员正常晋级晋档及工资调整</w:t>
      </w:r>
      <w:r>
        <w:rPr>
          <w:rFonts w:hint="eastAsia" w:ascii="仿宋_GB2312" w:hAnsi="仿宋_GB2312" w:eastAsia="仿宋_GB2312" w:cs="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十一、政府采购支出情况说明</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lang w:eastAsia="zh-CN"/>
        </w:rPr>
      </w:pPr>
      <w:r>
        <w:rPr>
          <w:rFonts w:hint="eastAsia" w:ascii="仿宋_GB2312" w:eastAsia="仿宋_GB2312"/>
          <w:sz w:val="32"/>
          <w:szCs w:val="32"/>
        </w:rPr>
        <w:t>2020 年度政府采购支出总额</w:t>
      </w:r>
      <w:r>
        <w:rPr>
          <w:rFonts w:hint="eastAsia" w:ascii="仿宋_GB2312" w:eastAsia="仿宋_GB2312"/>
          <w:sz w:val="32"/>
          <w:szCs w:val="32"/>
          <w:lang w:val="en-US" w:eastAsia="zh-CN"/>
        </w:rPr>
        <w:t>65</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65</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十二、国有资产占用情况说明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年期末，我单位共有车辆</w:t>
      </w:r>
      <w:r>
        <w:rPr>
          <w:rFonts w:hint="eastAsia" w:ascii="仿宋_GB2312" w:eastAsia="仿宋_GB2312"/>
          <w:sz w:val="32"/>
          <w:szCs w:val="32"/>
          <w:lang w:val="en-US" w:eastAsia="zh-CN"/>
        </w:rPr>
        <w:t>2</w:t>
      </w:r>
      <w:r>
        <w:rPr>
          <w:rFonts w:hint="eastAsia" w:ascii="仿宋_GB2312" w:eastAsia="仿宋_GB2312"/>
          <w:sz w:val="32"/>
          <w:szCs w:val="32"/>
        </w:rPr>
        <w:t>辆，其中：省级领导干部用车0辆、主要领导干部用车</w:t>
      </w:r>
      <w:r>
        <w:rPr>
          <w:rFonts w:hint="eastAsia" w:ascii="仿宋_GB2312" w:eastAsia="仿宋_GB2312"/>
          <w:sz w:val="32"/>
          <w:szCs w:val="32"/>
          <w:lang w:val="en-US" w:eastAsia="zh-CN"/>
        </w:rPr>
        <w:t>1</w:t>
      </w:r>
      <w:r>
        <w:rPr>
          <w:rFonts w:hint="eastAsia" w:ascii="仿宋_GB2312" w:eastAsia="仿宋_GB2312"/>
          <w:sz w:val="32"/>
          <w:szCs w:val="32"/>
        </w:rPr>
        <w:t>辆、机要通信用车0辆、应急保障车0辆、执法执勤用车 0辆、特种专业技术用车0辆、离退休干部用车0辆、其他用车</w:t>
      </w:r>
      <w:r>
        <w:rPr>
          <w:rFonts w:hint="eastAsia" w:ascii="仿宋_GB2312" w:eastAsia="仿宋_GB2312"/>
          <w:sz w:val="32"/>
          <w:szCs w:val="32"/>
          <w:lang w:val="en-US" w:eastAsia="zh-CN"/>
        </w:rPr>
        <w:t>1</w:t>
      </w:r>
      <w:r>
        <w:rPr>
          <w:rFonts w:hint="eastAsia" w:ascii="仿宋_GB2312" w:eastAsia="仿宋_GB2312"/>
          <w:sz w:val="32"/>
          <w:szCs w:val="32"/>
        </w:rPr>
        <w:t>辆；单位价值50万元以上通用设备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台（套），单位价值100万元以上专用设备0台（套）。</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ind w:firstLine="2400" w:firstLineChars="500"/>
        <w:jc w:val="both"/>
        <w:outlineLvl w:val="0"/>
        <w:rPr>
          <w:rFonts w:ascii="黑体" w:hAnsi="黑体" w:eastAsia="黑体" w:cs="黑体"/>
          <w:sz w:val="48"/>
          <w:szCs w:val="48"/>
        </w:rPr>
      </w:pPr>
      <w:r>
        <w:rPr>
          <w:rFonts w:hint="eastAsia" w:ascii="黑体" w:hAnsi="黑体" w:eastAsia="黑体" w:cs="黑体"/>
          <w:sz w:val="48"/>
          <w:szCs w:val="48"/>
        </w:rPr>
        <w:t>第三部分  名词解释</w:t>
      </w:r>
    </w:p>
    <w:p>
      <w:pPr>
        <w:spacing w:line="590" w:lineRule="exact"/>
        <w:ind w:firstLine="640" w:firstLineChars="200"/>
        <w:jc w:val="center"/>
        <w:rPr>
          <w:rFonts w:ascii="仿宋_GB2312" w:hAnsi="仿宋_GB2312" w:eastAsia="仿宋_GB2312" w:cs="仿宋_GB2312"/>
          <w:sz w:val="32"/>
          <w:szCs w:val="32"/>
        </w:rPr>
      </w:pP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ind w:firstLine="640" w:firstLineChars="200"/>
        <w:rPr>
          <w:rFonts w:ascii="仿宋_GB2312" w:hAnsi="仿宋_GB2312" w:eastAsia="仿宋_GB2312" w:cs="仿宋_GB2312"/>
          <w:sz w:val="32"/>
          <w:szCs w:val="32"/>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ind w:firstLine="3080" w:firstLineChars="700"/>
        <w:jc w:val="both"/>
        <w:outlineLvl w:val="0"/>
        <w:rPr>
          <w:rFonts w:hint="eastAsia" w:ascii="黑体" w:hAnsi="黑体" w:eastAsia="黑体" w:cs="黑体"/>
          <w:sz w:val="44"/>
          <w:szCs w:val="44"/>
        </w:rPr>
      </w:pPr>
    </w:p>
    <w:p>
      <w:pPr>
        <w:ind w:firstLine="3080" w:firstLineChars="700"/>
        <w:jc w:val="both"/>
        <w:outlineLvl w:val="0"/>
        <w:rPr>
          <w:rFonts w:hint="eastAsia" w:ascii="黑体" w:hAnsi="黑体" w:eastAsia="黑体" w:cs="黑体"/>
          <w:sz w:val="44"/>
          <w:szCs w:val="44"/>
        </w:rPr>
      </w:pPr>
    </w:p>
    <w:p>
      <w:pPr>
        <w:ind w:firstLine="3080" w:firstLineChars="700"/>
        <w:jc w:val="both"/>
        <w:outlineLvl w:val="0"/>
        <w:rPr>
          <w:rFonts w:hint="eastAsia" w:ascii="黑体" w:hAnsi="黑体" w:eastAsia="黑体" w:cs="黑体"/>
          <w:sz w:val="44"/>
          <w:szCs w:val="44"/>
        </w:rPr>
      </w:pPr>
    </w:p>
    <w:p>
      <w:pPr>
        <w:ind w:firstLine="3080" w:firstLineChars="700"/>
        <w:jc w:val="both"/>
        <w:outlineLvl w:val="0"/>
        <w:rPr>
          <w:rFonts w:hint="eastAsia" w:ascii="黑体" w:hAnsi="黑体" w:eastAsia="黑体" w:cs="黑体"/>
          <w:sz w:val="44"/>
          <w:szCs w:val="44"/>
        </w:rPr>
      </w:pPr>
    </w:p>
    <w:p>
      <w:pPr>
        <w:ind w:firstLine="3080" w:firstLineChars="700"/>
        <w:jc w:val="both"/>
        <w:outlineLvl w:val="0"/>
        <w:rPr>
          <w:rFonts w:hint="eastAsia" w:ascii="黑体" w:hAnsi="黑体" w:eastAsia="黑体" w:cs="黑体"/>
          <w:sz w:val="44"/>
          <w:szCs w:val="44"/>
        </w:rPr>
      </w:pPr>
    </w:p>
    <w:p>
      <w:pPr>
        <w:ind w:firstLine="3080" w:firstLineChars="700"/>
        <w:jc w:val="both"/>
        <w:outlineLvl w:val="0"/>
        <w:rPr>
          <w:rFonts w:hint="eastAsia" w:ascii="黑体" w:hAnsi="黑体" w:eastAsia="黑体" w:cs="黑体"/>
          <w:sz w:val="44"/>
          <w:szCs w:val="44"/>
        </w:rPr>
      </w:pPr>
    </w:p>
    <w:p>
      <w:pPr>
        <w:ind w:firstLine="3080" w:firstLineChars="700"/>
        <w:jc w:val="both"/>
        <w:outlineLvl w:val="0"/>
        <w:rPr>
          <w:rFonts w:hint="eastAsia" w:ascii="黑体" w:hAnsi="黑体" w:eastAsia="黑体" w:cs="黑体"/>
          <w:sz w:val="44"/>
          <w:szCs w:val="44"/>
        </w:rPr>
      </w:pPr>
    </w:p>
    <w:p>
      <w:pPr>
        <w:ind w:firstLine="3080" w:firstLineChars="700"/>
        <w:jc w:val="both"/>
        <w:outlineLvl w:val="0"/>
        <w:rPr>
          <w:rFonts w:hint="eastAsia" w:ascii="黑体" w:hAnsi="黑体" w:eastAsia="黑体" w:cs="黑体"/>
          <w:sz w:val="44"/>
          <w:szCs w:val="44"/>
        </w:rPr>
      </w:pPr>
    </w:p>
    <w:p>
      <w:pPr>
        <w:ind w:firstLine="3080" w:firstLineChars="700"/>
        <w:jc w:val="both"/>
        <w:outlineLvl w:val="0"/>
        <w:rPr>
          <w:rFonts w:hint="eastAsia" w:ascii="黑体" w:hAnsi="黑体" w:eastAsia="黑体" w:cs="黑体"/>
          <w:sz w:val="44"/>
          <w:szCs w:val="44"/>
        </w:rPr>
      </w:pPr>
    </w:p>
    <w:p>
      <w:pPr>
        <w:ind w:firstLine="3080" w:firstLineChars="700"/>
        <w:jc w:val="both"/>
        <w:outlineLvl w:val="0"/>
        <w:rPr>
          <w:rFonts w:hint="eastAsia" w:ascii="黑体" w:hAnsi="黑体" w:eastAsia="黑体" w:cs="黑体"/>
          <w:sz w:val="44"/>
          <w:szCs w:val="44"/>
        </w:rPr>
      </w:pPr>
    </w:p>
    <w:p>
      <w:pPr>
        <w:ind w:firstLine="3080" w:firstLineChars="700"/>
        <w:jc w:val="both"/>
        <w:outlineLvl w:val="0"/>
        <w:rPr>
          <w:rFonts w:ascii="黑体" w:hAnsi="黑体" w:eastAsia="黑体" w:cs="黑体"/>
          <w:sz w:val="44"/>
          <w:szCs w:val="44"/>
        </w:rPr>
      </w:pPr>
      <w:r>
        <w:rPr>
          <w:rFonts w:hint="eastAsia" w:ascii="黑体" w:hAnsi="黑体" w:eastAsia="黑体" w:cs="黑体"/>
          <w:sz w:val="44"/>
          <w:szCs w:val="44"/>
        </w:rPr>
        <w:t>第四部分</w:t>
      </w:r>
    </w:p>
    <w:p>
      <w:pPr>
        <w:jc w:val="center"/>
        <w:rPr>
          <w:rFonts w:ascii="黑体" w:hAnsi="黑体" w:eastAsia="黑体" w:cs="黑体"/>
          <w:sz w:val="48"/>
          <w:szCs w:val="48"/>
        </w:rPr>
      </w:pPr>
      <w:r>
        <w:rPr>
          <w:rFonts w:hint="eastAsia" w:ascii="黑体" w:hAnsi="黑体" w:eastAsia="黑体" w:cs="黑体"/>
          <w:sz w:val="44"/>
          <w:szCs w:val="44"/>
          <w:lang w:eastAsia="zh-CN"/>
        </w:rPr>
        <w:t>罗山县财政</w:t>
      </w:r>
      <w:r>
        <w:rPr>
          <w:rFonts w:hint="eastAsia" w:ascii="黑体" w:hAnsi="黑体" w:eastAsia="黑体" w:cs="黑体"/>
          <w:sz w:val="44"/>
          <w:szCs w:val="44"/>
        </w:rPr>
        <w:t>局2020年度部门决算公开表</w:t>
      </w:r>
    </w:p>
    <w:p>
      <w:pPr>
        <w:rPr>
          <w:rFonts w:ascii="黑体" w:eastAsia="黑体"/>
          <w:color w:val="000000"/>
          <w:sz w:val="28"/>
          <w:szCs w:val="28"/>
        </w:rPr>
      </w:pPr>
    </w:p>
    <w:p>
      <w:pPr>
        <w:rPr>
          <w:rFonts w:hint="eastAsia" w:ascii="仿宋_GB2312" w:eastAsia="仿宋_GB2312"/>
          <w:color w:val="000000"/>
          <w:sz w:val="32"/>
          <w:szCs w:val="32"/>
        </w:rPr>
      </w:pPr>
      <w:r>
        <w:rPr>
          <w:rFonts w:hint="eastAsia" w:ascii="仿宋_GB2312" w:eastAsia="仿宋_GB2312"/>
          <w:color w:val="000000"/>
          <w:sz w:val="32"/>
          <w:szCs w:val="32"/>
        </w:rPr>
        <w:t>说明：表中单元格数据为空时，表示该单元格数据为零；整张表数据为空时，表示部门该表中所有数据均为零，当年无表中相关收支。</w:t>
      </w: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sectPr>
          <w:pgSz w:w="11907" w:h="16840"/>
          <w:pgMar w:top="1440" w:right="1800" w:bottom="1440" w:left="1800" w:header="851" w:footer="992" w:gutter="0"/>
          <w:cols w:space="425" w:num="1"/>
          <w:docGrid w:type="lines" w:linePitch="312" w:charSpace="0"/>
        </w:sectPr>
      </w:pPr>
    </w:p>
    <w:p>
      <w:pPr>
        <w:jc w:val="center"/>
        <w:rPr>
          <w:rFonts w:hint="eastAsia" w:ascii="仿宋_GB2312" w:eastAsia="仿宋_GB2312"/>
          <w:b w:val="0"/>
          <w:bCs w:val="0"/>
          <w:color w:val="000000"/>
          <w:sz w:val="32"/>
          <w:szCs w:val="32"/>
          <w:lang w:eastAsia="zh-CN"/>
        </w:rPr>
      </w:pPr>
      <w:r>
        <w:rPr>
          <w:rFonts w:hint="eastAsia" w:ascii="黑体" w:hAnsi="黑体" w:eastAsia="黑体" w:cs="黑体"/>
          <w:b w:val="0"/>
          <w:bCs w:val="0"/>
          <w:color w:val="000000"/>
          <w:sz w:val="30"/>
          <w:szCs w:val="30"/>
          <w:lang w:eastAsia="zh-CN"/>
        </w:rPr>
        <w:t>收入支出决算总表</w:t>
      </w:r>
    </w:p>
    <w:tbl>
      <w:tblPr>
        <w:tblStyle w:val="5"/>
        <w:tblW w:w="141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24"/>
        <w:gridCol w:w="798"/>
        <w:gridCol w:w="1963"/>
        <w:gridCol w:w="4165"/>
        <w:gridCol w:w="798"/>
        <w:gridCol w:w="1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部门：罗山县财政局</w:t>
            </w: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19,534,131.24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17,452,089.24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990,672.00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653,572.00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19,534,131.24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19,534,131.24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19,534,131.24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19,534,131.24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注：本表反映部门本年度的总收支和年末结转结余情况。本套报表金额单位转换时可能存在尾数误差。</w:t>
            </w:r>
          </w:p>
        </w:tc>
      </w:tr>
    </w:tbl>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tbl>
      <w:tblPr>
        <w:tblStyle w:val="5"/>
        <w:tblW w:w="140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6"/>
        <w:gridCol w:w="222"/>
        <w:gridCol w:w="222"/>
        <w:gridCol w:w="3616"/>
        <w:gridCol w:w="1527"/>
        <w:gridCol w:w="1561"/>
        <w:gridCol w:w="807"/>
        <w:gridCol w:w="810"/>
        <w:gridCol w:w="795"/>
        <w:gridCol w:w="791"/>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3" w:type="dxa"/>
            <w:gridSpan w:val="11"/>
            <w:tcBorders>
              <w:top w:val="nil"/>
              <w:left w:val="nil"/>
              <w:bottom w:val="nil"/>
              <w:right w:val="single" w:color="80808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96" w:type="dxa"/>
            <w:tcBorders>
              <w:top w:val="nil"/>
              <w:left w:val="nil"/>
              <w:bottom w:val="nil"/>
              <w:right w:val="nil"/>
            </w:tcBorders>
            <w:shd w:val="clear" w:color="auto" w:fill="FFFFFF"/>
            <w:noWrap/>
            <w:vAlign w:val="center"/>
          </w:tcPr>
          <w:p>
            <w:pPr>
              <w:jc w:val="left"/>
              <w:rPr>
                <w:rFonts w:hint="eastAsia" w:ascii="Tahoma" w:hAnsi="Tahoma" w:eastAsia="Tahoma" w:cs="Tahoma"/>
                <w:i w:val="0"/>
                <w:iCs w:val="0"/>
                <w:color w:val="000000"/>
                <w:sz w:val="16"/>
                <w:szCs w:val="16"/>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6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2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6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0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9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6" w:type="dxa"/>
            <w:tcBorders>
              <w:top w:val="nil"/>
              <w:left w:val="nil"/>
              <w:bottom w:val="nil"/>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96"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部门：罗山县财政局</w:t>
            </w:r>
          </w:p>
        </w:tc>
        <w:tc>
          <w:tcPr>
            <w:tcW w:w="222"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616"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27"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61"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807"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10"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95"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91"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6" w:type="dxa"/>
            <w:tcBorders>
              <w:top w:val="nil"/>
              <w:left w:val="nil"/>
              <w:bottom w:val="single" w:color="808080" w:sz="4" w:space="0"/>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5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2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56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80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81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79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79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53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61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2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0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52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0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52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0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5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527"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7"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3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5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19,534,131.24</w:t>
            </w:r>
          </w:p>
        </w:tc>
        <w:tc>
          <w:tcPr>
            <w:tcW w:w="15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19,534,131.24</w:t>
            </w:r>
          </w:p>
        </w:tc>
        <w:tc>
          <w:tcPr>
            <w:tcW w:w="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17,452,089.24</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17,452,089.24</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20106</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财政事务</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17,452,089.24</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17,452,089.24</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2010601</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5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17,452,089.24</w:t>
            </w:r>
          </w:p>
        </w:tc>
        <w:tc>
          <w:tcPr>
            <w:tcW w:w="15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17,452,089.24</w:t>
            </w:r>
          </w:p>
        </w:tc>
        <w:tc>
          <w:tcPr>
            <w:tcW w:w="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990,672.00</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990,672.00</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953,232.00</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953,232.00</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2080501</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15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73,548.00</w:t>
            </w:r>
          </w:p>
        </w:tc>
        <w:tc>
          <w:tcPr>
            <w:tcW w:w="15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73,548.00</w:t>
            </w:r>
          </w:p>
        </w:tc>
        <w:tc>
          <w:tcPr>
            <w:tcW w:w="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5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879,684.00</w:t>
            </w:r>
          </w:p>
        </w:tc>
        <w:tc>
          <w:tcPr>
            <w:tcW w:w="15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879,684.00</w:t>
            </w:r>
          </w:p>
        </w:tc>
        <w:tc>
          <w:tcPr>
            <w:tcW w:w="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37,440.00</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37,440.00</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15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37,440.00</w:t>
            </w:r>
          </w:p>
        </w:tc>
        <w:tc>
          <w:tcPr>
            <w:tcW w:w="15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37,440.00</w:t>
            </w:r>
          </w:p>
        </w:tc>
        <w:tc>
          <w:tcPr>
            <w:tcW w:w="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437,798.00</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437,798.00</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437,798.00</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437,798.00</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15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437,798.00</w:t>
            </w:r>
          </w:p>
        </w:tc>
        <w:tc>
          <w:tcPr>
            <w:tcW w:w="15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437,798.00</w:t>
            </w:r>
          </w:p>
        </w:tc>
        <w:tc>
          <w:tcPr>
            <w:tcW w:w="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653,572.00</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653,572.00</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653,572.00</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653,572.00</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5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653,572.00</w:t>
            </w:r>
          </w:p>
        </w:tc>
        <w:tc>
          <w:tcPr>
            <w:tcW w:w="15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653,572.00</w:t>
            </w:r>
          </w:p>
        </w:tc>
        <w:tc>
          <w:tcPr>
            <w:tcW w:w="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83" w:type="dxa"/>
            <w:gridSpan w:val="1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tbl>
      <w:tblPr>
        <w:tblStyle w:val="5"/>
        <w:tblpPr w:leftFromText="180" w:rightFromText="180" w:vertAnchor="text" w:horzAnchor="page" w:tblpX="1532" w:tblpY="158"/>
        <w:tblOverlap w:val="never"/>
        <w:tblW w:w="14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6"/>
        <w:gridCol w:w="222"/>
        <w:gridCol w:w="222"/>
        <w:gridCol w:w="624"/>
        <w:gridCol w:w="569"/>
        <w:gridCol w:w="1530"/>
        <w:gridCol w:w="893"/>
        <w:gridCol w:w="1715"/>
        <w:gridCol w:w="647"/>
        <w:gridCol w:w="656"/>
        <w:gridCol w:w="370"/>
        <w:gridCol w:w="970"/>
        <w:gridCol w:w="190"/>
        <w:gridCol w:w="826"/>
        <w:gridCol w:w="690"/>
        <w:gridCol w:w="315"/>
        <w:gridCol w:w="900"/>
        <w:gridCol w:w="636"/>
        <w:gridCol w:w="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444" w:hRule="atLeast"/>
        </w:trPr>
        <w:tc>
          <w:tcPr>
            <w:tcW w:w="14171" w:type="dxa"/>
            <w:gridSpan w:val="18"/>
            <w:tcBorders>
              <w:top w:val="nil"/>
              <w:left w:val="nil"/>
              <w:bottom w:val="nil"/>
              <w:right w:val="single" w:color="80808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8"/>
                <w:szCs w:val="28"/>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285" w:hRule="atLeast"/>
        </w:trPr>
        <w:tc>
          <w:tcPr>
            <w:tcW w:w="2196" w:type="dxa"/>
            <w:tcBorders>
              <w:top w:val="nil"/>
              <w:left w:val="nil"/>
              <w:bottom w:val="nil"/>
              <w:right w:val="nil"/>
            </w:tcBorders>
            <w:shd w:val="clear" w:color="auto" w:fill="FFFFFF"/>
            <w:noWrap/>
            <w:vAlign w:val="center"/>
          </w:tcPr>
          <w:p>
            <w:pPr>
              <w:jc w:val="left"/>
              <w:rPr>
                <w:rFonts w:hint="eastAsia" w:ascii="Tahoma" w:hAnsi="Tahoma" w:eastAsia="Tahoma" w:cs="Tahoma"/>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616" w:type="dxa"/>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1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673"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7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16"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05"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6" w:type="dxa"/>
            <w:gridSpan w:val="2"/>
            <w:tcBorders>
              <w:top w:val="nil"/>
              <w:left w:val="nil"/>
              <w:bottom w:val="nil"/>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196"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部门：罗山县财政局</w:t>
            </w:r>
          </w:p>
        </w:tc>
        <w:tc>
          <w:tcPr>
            <w:tcW w:w="222"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616" w:type="dxa"/>
            <w:gridSpan w:val="4"/>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15"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2020年度</w:t>
            </w:r>
          </w:p>
        </w:tc>
        <w:tc>
          <w:tcPr>
            <w:tcW w:w="1673" w:type="dxa"/>
            <w:gridSpan w:val="3"/>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70"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16" w:type="dxa"/>
            <w:gridSpan w:val="2"/>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05" w:type="dxa"/>
            <w:gridSpan w:val="2"/>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6" w:type="dxa"/>
            <w:gridSpan w:val="2"/>
            <w:tcBorders>
              <w:top w:val="nil"/>
              <w:left w:val="nil"/>
              <w:bottom w:val="single" w:color="808080" w:sz="4" w:space="0"/>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6256" w:type="dxa"/>
            <w:gridSpan w:val="7"/>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71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673" w:type="dxa"/>
            <w:gridSpan w:val="3"/>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97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016"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005"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536"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616" w:type="dxa"/>
            <w:gridSpan w:val="4"/>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7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73" w:type="dxa"/>
            <w:gridSpan w:val="3"/>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7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1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0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gridSpan w:val="4"/>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7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73" w:type="dxa"/>
            <w:gridSpan w:val="3"/>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7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1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0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12" w:hRule="atLeast"/>
        </w:trPr>
        <w:tc>
          <w:tcPr>
            <w:tcW w:w="26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gridSpan w:val="4"/>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7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73" w:type="dxa"/>
            <w:gridSpan w:val="3"/>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7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1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0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6256" w:type="dxa"/>
            <w:gridSpan w:val="7"/>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71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3"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6"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0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36"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6256" w:type="dxa"/>
            <w:gridSpan w:val="7"/>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19,534,131.24</w:t>
            </w:r>
          </w:p>
        </w:tc>
        <w:tc>
          <w:tcPr>
            <w:tcW w:w="1673"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19,534,131.24</w:t>
            </w:r>
          </w:p>
        </w:tc>
        <w:tc>
          <w:tcPr>
            <w:tcW w:w="9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17,452,089.24</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17,452,089.24</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20106</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财政事务</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17,452,089.24</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17,452,089.24</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2010601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17,452,089.24</w:t>
            </w:r>
          </w:p>
        </w:tc>
        <w:tc>
          <w:tcPr>
            <w:tcW w:w="1673"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17,452,089.24</w:t>
            </w:r>
          </w:p>
        </w:tc>
        <w:tc>
          <w:tcPr>
            <w:tcW w:w="9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990,672.00</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990,672.00</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953,232.00</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953,232.00</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73,548.00</w:t>
            </w:r>
          </w:p>
        </w:tc>
        <w:tc>
          <w:tcPr>
            <w:tcW w:w="1673"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73,548.00</w:t>
            </w:r>
          </w:p>
        </w:tc>
        <w:tc>
          <w:tcPr>
            <w:tcW w:w="9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879,684.00</w:t>
            </w:r>
          </w:p>
        </w:tc>
        <w:tc>
          <w:tcPr>
            <w:tcW w:w="1673"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879,684.00</w:t>
            </w:r>
          </w:p>
        </w:tc>
        <w:tc>
          <w:tcPr>
            <w:tcW w:w="9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37,440.00</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37,440.00</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37,440.00</w:t>
            </w:r>
          </w:p>
        </w:tc>
        <w:tc>
          <w:tcPr>
            <w:tcW w:w="1673"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37,440.00</w:t>
            </w:r>
          </w:p>
        </w:tc>
        <w:tc>
          <w:tcPr>
            <w:tcW w:w="9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437,798.00</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437,798.00</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437,798.00</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437,798.00</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437,798.00</w:t>
            </w:r>
          </w:p>
        </w:tc>
        <w:tc>
          <w:tcPr>
            <w:tcW w:w="1673"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437,798.00</w:t>
            </w:r>
          </w:p>
        </w:tc>
        <w:tc>
          <w:tcPr>
            <w:tcW w:w="9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653,572.00</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653,572.00</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653,572.00</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653,572.00</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653,572.00</w:t>
            </w:r>
          </w:p>
        </w:tc>
        <w:tc>
          <w:tcPr>
            <w:tcW w:w="1673"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653,572.00</w:t>
            </w:r>
          </w:p>
        </w:tc>
        <w:tc>
          <w:tcPr>
            <w:tcW w:w="9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9" w:type="dxa"/>
          <w:trHeight w:val="300" w:hRule="atLeast"/>
        </w:trPr>
        <w:tc>
          <w:tcPr>
            <w:tcW w:w="14171" w:type="dxa"/>
            <w:gridSpan w:val="1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780" w:type="dxa"/>
            <w:gridSpan w:val="19"/>
            <w:tcBorders>
              <w:top w:val="nil"/>
              <w:left w:val="nil"/>
              <w:bottom w:val="nil"/>
              <w:right w:val="nil"/>
            </w:tcBorders>
            <w:shd w:val="clear" w:color="auto" w:fill="FFFFFF"/>
            <w:noWrap/>
            <w:vAlign w:val="center"/>
          </w:tcPr>
          <w:p>
            <w:pPr>
              <w:jc w:val="both"/>
              <w:rPr>
                <w:rFonts w:hint="eastAsia" w:ascii="黑体" w:hAnsi="宋体" w:eastAsia="黑体" w:cs="黑体"/>
                <w:i w:val="0"/>
                <w:iCs w:val="0"/>
                <w:color w:val="000000"/>
                <w:kern w:val="0"/>
                <w:sz w:val="30"/>
                <w:szCs w:val="30"/>
                <w:u w:val="none"/>
                <w:lang w:val="en-US" w:eastAsia="zh-CN" w:bidi="ar"/>
              </w:rPr>
            </w:pPr>
          </w:p>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nil"/>
              <w:bottom w:val="nil"/>
              <w:right w:val="nil"/>
            </w:tcBorders>
            <w:shd w:val="clear" w:color="auto" w:fill="FFFFFF"/>
            <w:noWrap/>
            <w:vAlign w:val="center"/>
          </w:tcPr>
          <w:p>
            <w:pPr>
              <w:jc w:val="left"/>
              <w:rPr>
                <w:rFonts w:hint="eastAsia" w:ascii="Tahoma" w:hAnsi="Tahoma" w:eastAsia="Tahoma" w:cs="Tahoma"/>
                <w:i w:val="0"/>
                <w:iCs w:val="0"/>
                <w:color w:val="000000"/>
                <w:sz w:val="16"/>
                <w:szCs w:val="16"/>
                <w:u w:val="none"/>
              </w:rPr>
            </w:pPr>
          </w:p>
        </w:tc>
        <w:tc>
          <w:tcPr>
            <w:tcW w:w="56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55"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5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0"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16"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15"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45" w:type="dxa"/>
            <w:gridSpan w:val="2"/>
            <w:tcBorders>
              <w:top w:val="nil"/>
              <w:left w:val="nil"/>
              <w:bottom w:val="nil"/>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264" w:type="dxa"/>
            <w:gridSpan w:val="4"/>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部门：罗山县财政局</w:t>
            </w:r>
          </w:p>
        </w:tc>
        <w:tc>
          <w:tcPr>
            <w:tcW w:w="569"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0"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55" w:type="dxa"/>
            <w:gridSpan w:val="3"/>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56"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530" w:type="dxa"/>
            <w:gridSpan w:val="3"/>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16" w:type="dxa"/>
            <w:gridSpan w:val="2"/>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15" w:type="dxa"/>
            <w:gridSpan w:val="2"/>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45" w:type="dxa"/>
            <w:gridSpan w:val="2"/>
            <w:tcBorders>
              <w:top w:val="nil"/>
              <w:left w:val="nil"/>
              <w:bottom w:val="single" w:color="808080" w:sz="4" w:space="0"/>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6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9417" w:type="dxa"/>
            <w:gridSpan w:val="1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4" w:type="dxa"/>
            <w:gridSpan w:val="4"/>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53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255" w:type="dxa"/>
            <w:gridSpan w:val="3"/>
            <w:vMerge w:val="restart"/>
            <w:tcBorders>
              <w:top w:val="nil"/>
              <w:left w:val="nil"/>
              <w:bottom w:val="single" w:color="000000" w:sz="4" w:space="0"/>
              <w:right w:val="single" w:color="000000" w:sz="4" w:space="0"/>
            </w:tcBorders>
            <w:shd w:val="clear" w:color="auto" w:fill="C0C0C0"/>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5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530" w:type="dxa"/>
            <w:gridSpan w:val="3"/>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16"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215"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245"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64" w:type="dxa"/>
            <w:gridSpan w:val="4"/>
            <w:vMerge w:val="continue"/>
            <w:tcBorders>
              <w:top w:val="nil"/>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iCs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255" w:type="dxa"/>
            <w:gridSpan w:val="3"/>
            <w:vMerge w:val="continue"/>
            <w:tcBorders>
              <w:top w:val="nil"/>
              <w:left w:val="nil"/>
              <w:bottom w:val="single" w:color="000000" w:sz="4" w:space="0"/>
              <w:right w:val="single" w:color="000000" w:sz="4" w:space="0"/>
            </w:tcBorders>
            <w:shd w:val="clear" w:color="auto" w:fill="C0C0C0"/>
            <w:vAlign w:val="bottom"/>
          </w:tcPr>
          <w:p>
            <w:pPr>
              <w:jc w:val="both"/>
              <w:rPr>
                <w:rFonts w:hint="eastAsia" w:ascii="宋体" w:hAnsi="宋体" w:eastAsia="宋体" w:cs="宋体"/>
                <w:i w:val="0"/>
                <w:iCs w:val="0"/>
                <w:color w:val="000000"/>
                <w:sz w:val="20"/>
                <w:szCs w:val="20"/>
                <w:u w:val="none"/>
              </w:rPr>
            </w:pPr>
          </w:p>
        </w:tc>
        <w:tc>
          <w:tcPr>
            <w:tcW w:w="6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0" w:type="dxa"/>
            <w:gridSpan w:val="3"/>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51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53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55" w:type="dxa"/>
            <w:gridSpan w:val="3"/>
            <w:tcBorders>
              <w:top w:val="nil"/>
              <w:left w:val="nil"/>
              <w:bottom w:val="single" w:color="000000" w:sz="4" w:space="0"/>
              <w:right w:val="single" w:color="000000" w:sz="4" w:space="0"/>
            </w:tcBorders>
            <w:shd w:val="clear" w:color="auto" w:fill="C0C0C0"/>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656"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530"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19,534,131.24</w:t>
            </w: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17,452,089.24</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17,452,089.24</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990,672.00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990,672.00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437,798.00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437,798.00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653,572.00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653,572.00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19,534,131.24</w:t>
            </w: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19,534,131.24</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19,534,131.24</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55" w:type="dxa"/>
            <w:gridSpan w:val="3"/>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530" w:type="dxa"/>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1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15"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45"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55" w:type="dxa"/>
            <w:gridSpan w:val="3"/>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530" w:type="dxa"/>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1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15"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45"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55" w:type="dxa"/>
            <w:gridSpan w:val="3"/>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530" w:type="dxa"/>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1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15"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45"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69" w:type="dxa"/>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19,534,131.24</w:t>
            </w: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6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53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19,534,131.24</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19,534,131.24</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535" w:type="dxa"/>
            <w:gridSpan w:val="1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245"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tbl>
      <w:tblPr>
        <w:tblStyle w:val="5"/>
        <w:tblpPr w:leftFromText="180" w:rightFromText="180" w:vertAnchor="text" w:horzAnchor="page" w:tblpX="1468" w:tblpY="-151"/>
        <w:tblOverlap w:val="never"/>
        <w:tblW w:w="143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674"/>
        <w:gridCol w:w="945"/>
        <w:gridCol w:w="137"/>
        <w:gridCol w:w="252"/>
        <w:gridCol w:w="252"/>
        <w:gridCol w:w="484"/>
        <w:gridCol w:w="226"/>
        <w:gridCol w:w="569"/>
        <w:gridCol w:w="947"/>
        <w:gridCol w:w="238"/>
        <w:gridCol w:w="495"/>
        <w:gridCol w:w="735"/>
        <w:gridCol w:w="421"/>
        <w:gridCol w:w="704"/>
        <w:gridCol w:w="210"/>
        <w:gridCol w:w="720"/>
        <w:gridCol w:w="505"/>
        <w:gridCol w:w="335"/>
        <w:gridCol w:w="315"/>
        <w:gridCol w:w="418"/>
        <w:gridCol w:w="557"/>
        <w:gridCol w:w="514"/>
        <w:gridCol w:w="626"/>
        <w:gridCol w:w="948"/>
        <w:gridCol w:w="168"/>
        <w:gridCol w:w="423"/>
        <w:gridCol w:w="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75" w:hRule="atLeast"/>
        </w:trPr>
        <w:tc>
          <w:tcPr>
            <w:tcW w:w="13551" w:type="dxa"/>
            <w:gridSpan w:val="27"/>
            <w:tcBorders>
              <w:top w:val="nil"/>
              <w:left w:val="nil"/>
              <w:bottom w:val="nil"/>
              <w:right w:val="single" w:color="80808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489" w:type="dxa"/>
            <w:gridSpan w:val="4"/>
            <w:tcBorders>
              <w:top w:val="nil"/>
              <w:left w:val="nil"/>
              <w:bottom w:val="nil"/>
              <w:right w:val="nil"/>
            </w:tcBorders>
            <w:shd w:val="clear" w:color="auto" w:fill="FFFFFF"/>
            <w:noWrap/>
            <w:vAlign w:val="center"/>
          </w:tcPr>
          <w:p>
            <w:pPr>
              <w:jc w:val="left"/>
              <w:rPr>
                <w:rFonts w:hint="eastAsia" w:ascii="Tahoma" w:hAnsi="Tahoma" w:eastAsia="Tahoma" w:cs="Tahoma"/>
                <w:i w:val="0"/>
                <w:iCs w:val="0"/>
                <w:color w:val="000000"/>
                <w:sz w:val="16"/>
                <w:szCs w:val="16"/>
                <w:u w:val="none"/>
              </w:rPr>
            </w:pPr>
          </w:p>
        </w:tc>
        <w:tc>
          <w:tcPr>
            <w:tcW w:w="25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5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15" w:type="dxa"/>
            <w:gridSpan w:val="8"/>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39" w:type="dxa"/>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39" w:type="dxa"/>
            <w:gridSpan w:val="5"/>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65" w:type="dxa"/>
            <w:gridSpan w:val="4"/>
            <w:tcBorders>
              <w:top w:val="nil"/>
              <w:left w:val="nil"/>
              <w:bottom w:val="nil"/>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489" w:type="dxa"/>
            <w:gridSpan w:val="4"/>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部门：罗山县财政局</w:t>
            </w:r>
          </w:p>
        </w:tc>
        <w:tc>
          <w:tcPr>
            <w:tcW w:w="252"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52"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15" w:type="dxa"/>
            <w:gridSpan w:val="8"/>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2139" w:type="dxa"/>
            <w:gridSpan w:val="4"/>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39" w:type="dxa"/>
            <w:gridSpan w:val="5"/>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65" w:type="dxa"/>
            <w:gridSpan w:val="4"/>
            <w:tcBorders>
              <w:top w:val="nil"/>
              <w:left w:val="nil"/>
              <w:bottom w:val="single" w:color="808080" w:sz="4" w:space="0"/>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7108" w:type="dxa"/>
            <w:gridSpan w:val="1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443" w:type="dxa"/>
            <w:gridSpan w:val="1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4115" w:type="dxa"/>
            <w:gridSpan w:val="8"/>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139" w:type="dxa"/>
            <w:gridSpan w:val="4"/>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139" w:type="dxa"/>
            <w:gridSpan w:val="5"/>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165" w:type="dxa"/>
            <w:gridSpan w:val="4"/>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270" w:hRule="atLeast"/>
        </w:trPr>
        <w:tc>
          <w:tcPr>
            <w:tcW w:w="2993" w:type="dxa"/>
            <w:gridSpan w:val="6"/>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115" w:type="dxa"/>
            <w:gridSpan w:val="8"/>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139" w:type="dxa"/>
            <w:gridSpan w:val="4"/>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39" w:type="dxa"/>
            <w:gridSpan w:val="5"/>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65" w:type="dxa"/>
            <w:gridSpan w:val="4"/>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115" w:type="dxa"/>
            <w:gridSpan w:val="8"/>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139" w:type="dxa"/>
            <w:gridSpan w:val="4"/>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39" w:type="dxa"/>
            <w:gridSpan w:val="5"/>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65" w:type="dxa"/>
            <w:gridSpan w:val="4"/>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7108" w:type="dxa"/>
            <w:gridSpan w:val="1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7108" w:type="dxa"/>
            <w:gridSpan w:val="1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139"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19,534,131.24</w:t>
            </w:r>
          </w:p>
        </w:tc>
        <w:tc>
          <w:tcPr>
            <w:tcW w:w="2139"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19,534,131.24</w:t>
            </w:r>
          </w:p>
        </w:tc>
        <w:tc>
          <w:tcPr>
            <w:tcW w:w="2165"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w:t>
            </w:r>
          </w:p>
        </w:tc>
        <w:tc>
          <w:tcPr>
            <w:tcW w:w="4115" w:type="dxa"/>
            <w:gridSpan w:val="8"/>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17,452,089.24</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17,452,089.24</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20106</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财政事务</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17,452,089.24</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17,452,089.24</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2010601</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139"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17,452,089.24</w:t>
            </w:r>
          </w:p>
        </w:tc>
        <w:tc>
          <w:tcPr>
            <w:tcW w:w="2139"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17,452,089.24</w:t>
            </w:r>
          </w:p>
        </w:tc>
        <w:tc>
          <w:tcPr>
            <w:tcW w:w="2165"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990,672.00</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990,672.00</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953,232.00</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953,232.00</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2080501</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2139"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73,548.00</w:t>
            </w:r>
          </w:p>
        </w:tc>
        <w:tc>
          <w:tcPr>
            <w:tcW w:w="2139"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73,548.00</w:t>
            </w:r>
          </w:p>
        </w:tc>
        <w:tc>
          <w:tcPr>
            <w:tcW w:w="2165"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2139"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879,684.00</w:t>
            </w:r>
          </w:p>
        </w:tc>
        <w:tc>
          <w:tcPr>
            <w:tcW w:w="2139"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879,684.00</w:t>
            </w:r>
          </w:p>
        </w:tc>
        <w:tc>
          <w:tcPr>
            <w:tcW w:w="2165"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37,440.00</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37,440.00</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2139"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37,440.00</w:t>
            </w:r>
          </w:p>
        </w:tc>
        <w:tc>
          <w:tcPr>
            <w:tcW w:w="2139"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37,440.00</w:t>
            </w:r>
          </w:p>
        </w:tc>
        <w:tc>
          <w:tcPr>
            <w:tcW w:w="2165"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437,798.00</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437,798.00</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437,798.00</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437,798.00</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2139"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437,798.00</w:t>
            </w:r>
          </w:p>
        </w:tc>
        <w:tc>
          <w:tcPr>
            <w:tcW w:w="2139"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437,798.00</w:t>
            </w:r>
          </w:p>
        </w:tc>
        <w:tc>
          <w:tcPr>
            <w:tcW w:w="2165"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653,572.00</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653,572.00</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653,572.00</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653,572.00</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2139"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653,572.00</w:t>
            </w:r>
          </w:p>
        </w:tc>
        <w:tc>
          <w:tcPr>
            <w:tcW w:w="2139"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653,572.00</w:t>
            </w:r>
          </w:p>
        </w:tc>
        <w:tc>
          <w:tcPr>
            <w:tcW w:w="2165"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6" w:type="dxa"/>
          <w:trHeight w:val="300" w:hRule="atLeast"/>
        </w:trPr>
        <w:tc>
          <w:tcPr>
            <w:tcW w:w="13551" w:type="dxa"/>
            <w:gridSpan w:val="2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14377" w:type="dxa"/>
            <w:gridSpan w:val="28"/>
            <w:tcBorders>
              <w:top w:val="nil"/>
              <w:left w:val="nil"/>
              <w:bottom w:val="nil"/>
              <w:right w:val="single" w:color="808080" w:sz="4" w:space="0"/>
            </w:tcBorders>
            <w:shd w:val="clear" w:color="auto" w:fill="FFFFFF"/>
            <w:noWrap/>
            <w:vAlign w:val="center"/>
          </w:tcPr>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33" w:type="dxa"/>
            <w:tcBorders>
              <w:top w:val="nil"/>
              <w:left w:val="nil"/>
              <w:bottom w:val="nil"/>
              <w:right w:val="nil"/>
            </w:tcBorders>
            <w:shd w:val="clear" w:color="auto" w:fill="FFFFFF"/>
            <w:noWrap/>
            <w:vAlign w:val="center"/>
          </w:tcPr>
          <w:p>
            <w:pPr>
              <w:jc w:val="left"/>
              <w:rPr>
                <w:rFonts w:hint="eastAsia" w:ascii="Tahoma" w:hAnsi="Tahoma" w:eastAsia="Tahoma" w:cs="Tahoma"/>
                <w:i w:val="0"/>
                <w:iCs w:val="0"/>
                <w:color w:val="000000"/>
                <w:sz w:val="16"/>
                <w:szCs w:val="16"/>
                <w:u w:val="none"/>
              </w:rPr>
            </w:pPr>
          </w:p>
        </w:tc>
        <w:tc>
          <w:tcPr>
            <w:tcW w:w="2970" w:type="dxa"/>
            <w:gridSpan w:val="7"/>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16"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33"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070" w:type="dxa"/>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60"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33"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645" w:type="dxa"/>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14377" w:type="dxa"/>
            <w:gridSpan w:val="28"/>
            <w:tcBorders>
              <w:top w:val="nil"/>
              <w:left w:val="nil"/>
              <w:bottom w:val="single" w:color="auto" w:sz="4" w:space="0"/>
              <w:right w:val="single" w:color="80808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部门：罗山县财政局</w:t>
            </w:r>
          </w:p>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19" w:type="dxa"/>
            <w:gridSpan w:val="10"/>
            <w:tcBorders>
              <w:top w:val="single" w:color="auto"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9158" w:type="dxa"/>
            <w:gridSpan w:val="18"/>
            <w:tcBorders>
              <w:top w:val="single" w:color="auto"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970" w:type="dxa"/>
            <w:gridSpan w:val="7"/>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16"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3"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070" w:type="dxa"/>
            <w:gridSpan w:val="4"/>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60" w:type="dxa"/>
            <w:gridSpan w:val="3"/>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3"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645" w:type="dxa"/>
            <w:gridSpan w:val="4"/>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17" w:type="dxa"/>
            <w:gridSpan w:val="3"/>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970" w:type="dxa"/>
            <w:gridSpan w:val="7"/>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1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33"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70" w:type="dxa"/>
            <w:gridSpan w:val="4"/>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0" w:type="dxa"/>
            <w:gridSpan w:val="3"/>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33"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45" w:type="dxa"/>
            <w:gridSpan w:val="4"/>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17" w:type="dxa"/>
            <w:gridSpan w:val="3"/>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10,253,443.24</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9,169,700.00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8,282,389.24</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4,191,780.16</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871,423.00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437,798.00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8,261.00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653,572.00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110,988.00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73,548.00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46,929.00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37,440.00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4,898,000.00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32,990.84</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645" w:type="dxa"/>
            <w:gridSpan w:val="4"/>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417" w:type="dxa"/>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645" w:type="dxa"/>
            <w:gridSpan w:val="4"/>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417" w:type="dxa"/>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970" w:type="dxa"/>
            <w:gridSpan w:val="7"/>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51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645" w:type="dxa"/>
            <w:gridSpan w:val="4"/>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417" w:type="dxa"/>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3" w:type="dxa"/>
            <w:gridSpan w:val="8"/>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10,364,431.24</w:t>
            </w:r>
          </w:p>
        </w:tc>
        <w:tc>
          <w:tcPr>
            <w:tcW w:w="7741" w:type="dxa"/>
            <w:gridSpan w:val="1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9,169,700.00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377" w:type="dxa"/>
            <w:gridSpan w:val="2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49" w:type="dxa"/>
          <w:trHeight w:val="555" w:hRule="atLeast"/>
        </w:trPr>
        <w:tc>
          <w:tcPr>
            <w:tcW w:w="13128" w:type="dxa"/>
            <w:gridSpan w:val="26"/>
            <w:tcBorders>
              <w:top w:val="nil"/>
              <w:left w:val="nil"/>
              <w:bottom w:val="nil"/>
              <w:right w:val="single" w:color="808080" w:sz="4" w:space="0"/>
            </w:tcBorders>
            <w:shd w:val="clear" w:color="auto" w:fill="FFFFFF"/>
            <w:noWrap/>
            <w:vAlign w:val="center"/>
          </w:tcPr>
          <w:p>
            <w:pPr>
              <w:jc w:val="center"/>
              <w:rPr>
                <w:rFonts w:hint="eastAsia" w:ascii="黑体" w:hAnsi="宋体" w:eastAsia="黑体" w:cs="黑体"/>
                <w:i w:val="0"/>
                <w:iCs w:val="0"/>
                <w:color w:val="000000"/>
                <w:kern w:val="0"/>
                <w:sz w:val="44"/>
                <w:szCs w:val="44"/>
                <w:u w:val="none"/>
                <w:lang w:val="en-US" w:eastAsia="zh-CN" w:bidi="ar"/>
              </w:rPr>
            </w:pPr>
          </w:p>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49" w:type="dxa"/>
          <w:trHeight w:val="300" w:hRule="atLeast"/>
        </w:trPr>
        <w:tc>
          <w:tcPr>
            <w:tcW w:w="13128" w:type="dxa"/>
            <w:gridSpan w:val="26"/>
            <w:tcBorders>
              <w:top w:val="nil"/>
              <w:left w:val="nil"/>
              <w:bottom w:val="nil"/>
              <w:right w:val="single" w:color="80808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预算代码：120</w:t>
            </w:r>
          </w:p>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49" w:type="dxa"/>
          <w:trHeight w:val="300" w:hRule="atLeast"/>
        </w:trPr>
        <w:tc>
          <w:tcPr>
            <w:tcW w:w="13128" w:type="dxa"/>
            <w:gridSpan w:val="26"/>
            <w:tcBorders>
              <w:top w:val="nil"/>
              <w:left w:val="nil"/>
              <w:bottom w:val="single" w:color="808080" w:sz="4" w:space="0"/>
              <w:right w:val="single" w:color="80808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部门：罗山县财政局</w:t>
            </w:r>
          </w:p>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49" w:type="dxa"/>
          <w:trHeight w:val="300" w:hRule="atLeast"/>
        </w:trPr>
        <w:tc>
          <w:tcPr>
            <w:tcW w:w="6687" w:type="dxa"/>
            <w:gridSpan w:val="13"/>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441" w:type="dxa"/>
            <w:gridSpan w:val="1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49" w:type="dxa"/>
          <w:trHeight w:val="300" w:hRule="atLeast"/>
        </w:trPr>
        <w:tc>
          <w:tcPr>
            <w:tcW w:w="1407" w:type="dxa"/>
            <w:gridSpan w:val="2"/>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4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105" w:type="dxa"/>
            <w:gridSpan w:val="8"/>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230"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1125"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30"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270" w:type="dxa"/>
            <w:gridSpan w:val="7"/>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116"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49" w:type="dxa"/>
          <w:trHeight w:val="600" w:hRule="atLeast"/>
        </w:trPr>
        <w:tc>
          <w:tcPr>
            <w:tcW w:w="1407" w:type="dxa"/>
            <w:gridSpan w:val="2"/>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9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18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230"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2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30"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55"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7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140"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11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49" w:type="dxa"/>
          <w:trHeight w:val="300" w:hRule="atLeast"/>
        </w:trPr>
        <w:tc>
          <w:tcPr>
            <w:tcW w:w="1407" w:type="dxa"/>
            <w:gridSpan w:val="2"/>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5" w:type="dxa"/>
            <w:gridSpan w:val="4"/>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8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0"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30"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55"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0"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16"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49" w:type="dxa"/>
          <w:trHeight w:val="300" w:hRule="atLeast"/>
        </w:trPr>
        <w:tc>
          <w:tcPr>
            <w:tcW w:w="140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92,322.02</w:t>
            </w:r>
          </w:p>
        </w:tc>
        <w:tc>
          <w:tcPr>
            <w:tcW w:w="9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37,104.02</w:t>
            </w:r>
          </w:p>
        </w:tc>
        <w:tc>
          <w:tcPr>
            <w:tcW w:w="79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37,104.02</w:t>
            </w:r>
          </w:p>
        </w:tc>
        <w:tc>
          <w:tcPr>
            <w:tcW w:w="12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55,218.00</w:t>
            </w:r>
          </w:p>
        </w:tc>
        <w:tc>
          <w:tcPr>
            <w:tcW w:w="112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79,919.84</w:t>
            </w:r>
          </w:p>
        </w:tc>
        <w:tc>
          <w:tcPr>
            <w:tcW w:w="9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32,990.84</w:t>
            </w:r>
          </w:p>
        </w:tc>
        <w:tc>
          <w:tcPr>
            <w:tcW w:w="97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32,990.84</w:t>
            </w:r>
          </w:p>
        </w:tc>
        <w:tc>
          <w:tcPr>
            <w:tcW w:w="11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49" w:type="dxa"/>
          <w:trHeight w:val="600" w:hRule="atLeast"/>
        </w:trPr>
        <w:tc>
          <w:tcPr>
            <w:tcW w:w="13128" w:type="dxa"/>
            <w:gridSpan w:val="26"/>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pPr>
        <w:keepNext w:val="0"/>
        <w:keepLines w:val="0"/>
        <w:widowControl/>
        <w:suppressLineNumbers w:val="0"/>
        <w:jc w:val="center"/>
        <w:textAlignment w:val="center"/>
        <w:rPr>
          <w:rFonts w:hint="eastAsia" w:ascii="黑体" w:hAnsi="宋体" w:eastAsia="黑体" w:cs="黑体"/>
          <w:i w:val="0"/>
          <w:color w:val="000000"/>
          <w:kern w:val="0"/>
          <w:sz w:val="44"/>
          <w:szCs w:val="44"/>
          <w:u w:val="none"/>
          <w:lang w:val="en-US" w:eastAsia="zh-CN" w:bidi="ar"/>
        </w:rPr>
      </w:pPr>
    </w:p>
    <w:p>
      <w:pPr>
        <w:keepNext w:val="0"/>
        <w:keepLines w:val="0"/>
        <w:widowControl/>
        <w:suppressLineNumbers w:val="0"/>
        <w:jc w:val="center"/>
        <w:textAlignment w:val="center"/>
        <w:rPr>
          <w:rFonts w:hint="eastAsia" w:ascii="黑体" w:hAnsi="宋体" w:eastAsia="黑体" w:cs="黑体"/>
          <w:i w:val="0"/>
          <w:color w:val="000000"/>
          <w:kern w:val="0"/>
          <w:sz w:val="44"/>
          <w:szCs w:val="44"/>
          <w:u w:val="none"/>
          <w:lang w:val="en-US" w:eastAsia="zh-CN" w:bidi="ar"/>
        </w:rPr>
      </w:pPr>
    </w:p>
    <w:p>
      <w:pPr>
        <w:keepNext w:val="0"/>
        <w:keepLines w:val="0"/>
        <w:widowControl/>
        <w:suppressLineNumbers w:val="0"/>
        <w:jc w:val="center"/>
        <w:textAlignment w:val="center"/>
        <w:rPr>
          <w:rFonts w:hint="eastAsia" w:ascii="黑体" w:hAnsi="宋体" w:eastAsia="黑体" w:cs="黑体"/>
          <w:i w:val="0"/>
          <w:color w:val="000000"/>
          <w:kern w:val="0"/>
          <w:sz w:val="44"/>
          <w:szCs w:val="44"/>
          <w:u w:val="none"/>
          <w:lang w:val="en-US" w:eastAsia="zh-CN" w:bidi="ar"/>
        </w:rPr>
      </w:pPr>
    </w:p>
    <w:p>
      <w:pPr>
        <w:keepNext w:val="0"/>
        <w:keepLines w:val="0"/>
        <w:widowControl/>
        <w:suppressLineNumbers w:val="0"/>
        <w:jc w:val="center"/>
        <w:textAlignment w:val="center"/>
        <w:rPr>
          <w:rFonts w:hint="eastAsia" w:ascii="黑体" w:hAnsi="宋体" w:eastAsia="黑体" w:cs="黑体"/>
          <w:i w:val="0"/>
          <w:color w:val="000000"/>
          <w:kern w:val="0"/>
          <w:sz w:val="44"/>
          <w:szCs w:val="44"/>
          <w:u w:val="none"/>
          <w:lang w:val="en-US" w:eastAsia="zh-CN" w:bidi="ar"/>
        </w:rPr>
      </w:pPr>
    </w:p>
    <w:p>
      <w:pPr>
        <w:keepNext w:val="0"/>
        <w:keepLines w:val="0"/>
        <w:widowControl/>
        <w:suppressLineNumbers w:val="0"/>
        <w:jc w:val="center"/>
        <w:textAlignment w:val="center"/>
        <w:rPr>
          <w:rFonts w:hint="eastAsia" w:ascii="黑体" w:hAnsi="宋体" w:eastAsia="黑体" w:cs="黑体"/>
          <w:i w:val="0"/>
          <w:color w:val="000000"/>
          <w:kern w:val="0"/>
          <w:sz w:val="44"/>
          <w:szCs w:val="44"/>
          <w:u w:val="none"/>
          <w:lang w:val="en-US" w:eastAsia="zh-CN" w:bidi="ar"/>
        </w:rPr>
      </w:pPr>
    </w:p>
    <w:p>
      <w:pPr>
        <w:keepNext w:val="0"/>
        <w:keepLines w:val="0"/>
        <w:widowControl/>
        <w:suppressLineNumbers w:val="0"/>
        <w:jc w:val="center"/>
        <w:textAlignment w:val="center"/>
        <w:rPr>
          <w:rFonts w:hint="eastAsia" w:ascii="黑体" w:hAnsi="宋体" w:eastAsia="黑体" w:cs="黑体"/>
          <w:i w:val="0"/>
          <w:color w:val="000000"/>
          <w:kern w:val="0"/>
          <w:sz w:val="44"/>
          <w:szCs w:val="44"/>
          <w:u w:val="none"/>
          <w:lang w:val="en-US" w:eastAsia="zh-CN" w:bidi="ar"/>
        </w:rPr>
      </w:pPr>
    </w:p>
    <w:p>
      <w:pPr>
        <w:keepNext w:val="0"/>
        <w:keepLines w:val="0"/>
        <w:widowControl/>
        <w:suppressLineNumbers w:val="0"/>
        <w:jc w:val="center"/>
        <w:textAlignment w:val="center"/>
        <w:rPr>
          <w:rFonts w:hint="eastAsia" w:ascii="黑体" w:hAnsi="宋体" w:eastAsia="黑体" w:cs="黑体"/>
          <w:i w:val="0"/>
          <w:color w:val="000000"/>
          <w:kern w:val="0"/>
          <w:sz w:val="44"/>
          <w:szCs w:val="44"/>
          <w:u w:val="none"/>
          <w:lang w:val="en-US" w:eastAsia="zh-CN" w:bidi="ar"/>
        </w:rPr>
      </w:pPr>
      <w:r>
        <w:rPr>
          <w:rFonts w:hint="eastAsia" w:ascii="黑体" w:hAnsi="宋体" w:eastAsia="黑体" w:cs="黑体"/>
          <w:i w:val="0"/>
          <w:color w:val="000000"/>
          <w:kern w:val="0"/>
          <w:sz w:val="44"/>
          <w:szCs w:val="44"/>
          <w:u w:val="none"/>
          <w:lang w:val="en-US" w:eastAsia="zh-CN" w:bidi="ar"/>
        </w:rPr>
        <w:t>政府性基金预算财政拨款收入支出决算表</w:t>
      </w:r>
    </w:p>
    <w:p>
      <w:pPr>
        <w:keepNext w:val="0"/>
        <w:keepLines w:val="0"/>
        <w:widowControl/>
        <w:suppressLineNumbers w:val="0"/>
        <w:jc w:val="center"/>
        <w:textAlignment w:val="center"/>
        <w:rPr>
          <w:rFonts w:hint="eastAsia" w:ascii="黑体" w:hAnsi="宋体" w:eastAsia="黑体" w:cs="黑体"/>
          <w:i w:val="0"/>
          <w:color w:val="000000"/>
          <w:kern w:val="0"/>
          <w:sz w:val="44"/>
          <w:szCs w:val="44"/>
          <w:u w:val="none"/>
          <w:lang w:val="en-US" w:eastAsia="zh-CN" w:bidi="ar"/>
        </w:rPr>
      </w:pPr>
      <w:r>
        <w:rPr>
          <w:rFonts w:hint="eastAsia" w:ascii="黑体" w:hAnsi="宋体" w:eastAsia="黑体" w:cs="黑体"/>
          <w:i w:val="0"/>
          <w:color w:val="000000"/>
          <w:kern w:val="0"/>
          <w:sz w:val="44"/>
          <w:szCs w:val="44"/>
          <w:u w:val="none"/>
          <w:lang w:val="en-US" w:eastAsia="zh-CN" w:bidi="ar"/>
        </w:rPr>
        <w:t xml:space="preserve">                                                    </w:t>
      </w:r>
    </w:p>
    <w:tbl>
      <w:tblPr>
        <w:tblStyle w:val="5"/>
        <w:tblW w:w="0" w:type="auto"/>
        <w:tblInd w:w="0" w:type="dxa"/>
        <w:tblLayout w:type="fixed"/>
        <w:tblCellMar>
          <w:top w:w="15" w:type="dxa"/>
          <w:left w:w="15" w:type="dxa"/>
          <w:bottom w:w="15" w:type="dxa"/>
          <w:right w:w="15" w:type="dxa"/>
        </w:tblCellMar>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tblPrEx>
          <w:tblCellMar>
            <w:top w:w="15" w:type="dxa"/>
            <w:left w:w="15" w:type="dxa"/>
            <w:bottom w:w="15" w:type="dxa"/>
            <w:right w:w="15" w:type="dxa"/>
          </w:tblCellMar>
        </w:tblPrEx>
        <w:trPr>
          <w:trHeight w:val="285" w:hRule="atLeast"/>
        </w:trPr>
        <w:tc>
          <w:tcPr>
            <w:tcW w:w="251" w:type="dxa"/>
            <w:noWrap w:val="0"/>
            <w:vAlign w:val="bottom"/>
          </w:tcPr>
          <w:p>
            <w:pPr>
              <w:rPr>
                <w:rFonts w:hint="eastAsia" w:ascii="Arial" w:hAnsi="Arial" w:cs="Arial"/>
                <w:color w:val="000000"/>
                <w:sz w:val="20"/>
                <w:szCs w:val="20"/>
              </w:rPr>
            </w:pPr>
          </w:p>
        </w:tc>
        <w:tc>
          <w:tcPr>
            <w:tcW w:w="599" w:type="dxa"/>
            <w:gridSpan w:val="3"/>
            <w:noWrap w:val="0"/>
            <w:vAlign w:val="bottom"/>
          </w:tcPr>
          <w:p>
            <w:pPr>
              <w:rPr>
                <w:rFonts w:ascii="Arial" w:hAnsi="Arial" w:cs="Arial"/>
                <w:color w:val="000000"/>
                <w:sz w:val="20"/>
                <w:szCs w:val="20"/>
              </w:rPr>
            </w:pPr>
          </w:p>
        </w:tc>
        <w:tc>
          <w:tcPr>
            <w:tcW w:w="601" w:type="dxa"/>
            <w:gridSpan w:val="2"/>
            <w:noWrap w:val="0"/>
            <w:vAlign w:val="bottom"/>
          </w:tcPr>
          <w:p>
            <w:pPr>
              <w:rPr>
                <w:rFonts w:ascii="Arial" w:hAnsi="Arial" w:cs="Arial"/>
                <w:color w:val="000000"/>
                <w:sz w:val="20"/>
                <w:szCs w:val="20"/>
              </w:rPr>
            </w:pPr>
          </w:p>
        </w:tc>
        <w:tc>
          <w:tcPr>
            <w:tcW w:w="2420" w:type="dxa"/>
            <w:noWrap w:val="0"/>
            <w:vAlign w:val="bottom"/>
          </w:tcPr>
          <w:p>
            <w:pPr>
              <w:rPr>
                <w:rFonts w:ascii="Arial" w:hAnsi="Arial" w:cs="Arial"/>
                <w:color w:val="000000"/>
                <w:sz w:val="20"/>
                <w:szCs w:val="20"/>
              </w:rPr>
            </w:pPr>
          </w:p>
        </w:tc>
        <w:tc>
          <w:tcPr>
            <w:tcW w:w="1043" w:type="dxa"/>
            <w:gridSpan w:val="2"/>
            <w:noWrap w:val="0"/>
            <w:vAlign w:val="bottom"/>
          </w:tcPr>
          <w:p>
            <w:pPr>
              <w:rPr>
                <w:rFonts w:ascii="Arial" w:hAnsi="Arial" w:cs="Arial"/>
                <w:color w:val="000000"/>
                <w:sz w:val="20"/>
                <w:szCs w:val="20"/>
              </w:rPr>
            </w:pPr>
          </w:p>
        </w:tc>
        <w:tc>
          <w:tcPr>
            <w:tcW w:w="602" w:type="dxa"/>
            <w:gridSpan w:val="2"/>
            <w:noWrap w:val="0"/>
            <w:vAlign w:val="bottom"/>
          </w:tcPr>
          <w:p>
            <w:pPr>
              <w:rPr>
                <w:rFonts w:ascii="Arial" w:hAnsi="Arial" w:cs="Arial"/>
                <w:color w:val="000000"/>
                <w:sz w:val="20"/>
                <w:szCs w:val="20"/>
              </w:rPr>
            </w:pPr>
          </w:p>
        </w:tc>
        <w:tc>
          <w:tcPr>
            <w:tcW w:w="686" w:type="dxa"/>
            <w:noWrap w:val="0"/>
            <w:vAlign w:val="bottom"/>
          </w:tcPr>
          <w:p>
            <w:pPr>
              <w:rPr>
                <w:rFonts w:ascii="Arial" w:hAnsi="Arial" w:cs="Arial"/>
                <w:color w:val="000000"/>
                <w:sz w:val="20"/>
                <w:szCs w:val="20"/>
              </w:rPr>
            </w:pPr>
          </w:p>
        </w:tc>
        <w:tc>
          <w:tcPr>
            <w:tcW w:w="959" w:type="dxa"/>
            <w:gridSpan w:val="2"/>
            <w:noWrap w:val="0"/>
            <w:vAlign w:val="bottom"/>
          </w:tcPr>
          <w:p>
            <w:pPr>
              <w:rPr>
                <w:rFonts w:ascii="Arial" w:hAnsi="Arial" w:cs="Arial"/>
                <w:color w:val="000000"/>
                <w:sz w:val="20"/>
                <w:szCs w:val="20"/>
              </w:rPr>
            </w:pPr>
          </w:p>
        </w:tc>
        <w:tc>
          <w:tcPr>
            <w:tcW w:w="1116" w:type="dxa"/>
            <w:gridSpan w:val="2"/>
            <w:noWrap w:val="0"/>
            <w:vAlign w:val="bottom"/>
          </w:tcPr>
          <w:p>
            <w:pPr>
              <w:rPr>
                <w:rFonts w:ascii="Arial" w:hAnsi="Arial" w:cs="Arial"/>
                <w:color w:val="000000"/>
                <w:sz w:val="20"/>
                <w:szCs w:val="20"/>
              </w:rPr>
            </w:pPr>
          </w:p>
        </w:tc>
        <w:tc>
          <w:tcPr>
            <w:tcW w:w="256" w:type="dxa"/>
            <w:noWrap w:val="0"/>
            <w:vAlign w:val="bottom"/>
          </w:tcPr>
          <w:p>
            <w:pPr>
              <w:rPr>
                <w:rFonts w:ascii="Arial" w:hAnsi="Arial" w:cs="Arial"/>
                <w:color w:val="000000"/>
                <w:sz w:val="20"/>
                <w:szCs w:val="20"/>
              </w:rPr>
            </w:pPr>
          </w:p>
        </w:tc>
        <w:tc>
          <w:tcPr>
            <w:tcW w:w="1390" w:type="dxa"/>
            <w:gridSpan w:val="2"/>
            <w:noWrap w:val="0"/>
            <w:vAlign w:val="bottom"/>
          </w:tcPr>
          <w:p>
            <w:pPr>
              <w:rPr>
                <w:rFonts w:ascii="Arial" w:hAnsi="Arial" w:cs="Arial"/>
                <w:color w:val="000000"/>
                <w:sz w:val="20"/>
                <w:szCs w:val="20"/>
              </w:rPr>
            </w:pPr>
          </w:p>
        </w:tc>
        <w:tc>
          <w:tcPr>
            <w:tcW w:w="603" w:type="dxa"/>
            <w:gridSpan w:val="2"/>
            <w:noWrap w:val="0"/>
            <w:vAlign w:val="bottom"/>
          </w:tcPr>
          <w:p>
            <w:pPr>
              <w:rPr>
                <w:rFonts w:ascii="Arial" w:hAnsi="Arial" w:cs="Arial"/>
                <w:color w:val="000000"/>
                <w:sz w:val="20"/>
                <w:szCs w:val="20"/>
              </w:rPr>
            </w:pPr>
          </w:p>
        </w:tc>
        <w:tc>
          <w:tcPr>
            <w:tcW w:w="338" w:type="dxa"/>
            <w:noWrap w:val="0"/>
            <w:vAlign w:val="bottom"/>
          </w:tcPr>
          <w:p>
            <w:pPr>
              <w:rPr>
                <w:rFonts w:ascii="Arial" w:hAnsi="Arial" w:cs="Arial"/>
                <w:color w:val="000000"/>
                <w:sz w:val="20"/>
                <w:szCs w:val="20"/>
              </w:rPr>
            </w:pPr>
          </w:p>
        </w:tc>
        <w:tc>
          <w:tcPr>
            <w:tcW w:w="1307" w:type="dxa"/>
            <w:gridSpan w:val="2"/>
            <w:noWrap w:val="0"/>
            <w:vAlign w:val="bottom"/>
          </w:tcPr>
          <w:p>
            <w:pPr>
              <w:rPr>
                <w:rFonts w:ascii="Arial" w:hAnsi="Arial" w:cs="Arial"/>
                <w:color w:val="000000"/>
                <w:sz w:val="20"/>
                <w:szCs w:val="20"/>
              </w:rPr>
            </w:pPr>
          </w:p>
        </w:tc>
        <w:tc>
          <w:tcPr>
            <w:tcW w:w="1812" w:type="dxa"/>
            <w:gridSpan w:val="3"/>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15" w:type="dxa"/>
            <w:left w:w="15" w:type="dxa"/>
            <w:bottom w:w="15" w:type="dxa"/>
            <w:right w:w="15" w:type="dxa"/>
          </w:tblCellMar>
        </w:tblPrEx>
        <w:trPr>
          <w:trHeight w:val="285" w:hRule="atLeast"/>
        </w:trPr>
        <w:tc>
          <w:tcPr>
            <w:tcW w:w="3871" w:type="dxa"/>
            <w:gridSpan w:val="7"/>
            <w:shd w:val="clear" w:color="auto" w:fill="FFFFFF"/>
            <w:noWrap w:val="0"/>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eastAsia="zh-CN" w:bidi="ar"/>
              </w:rPr>
              <w:t>罗山县财政局</w:t>
            </w:r>
          </w:p>
        </w:tc>
        <w:tc>
          <w:tcPr>
            <w:tcW w:w="1043" w:type="dxa"/>
            <w:gridSpan w:val="2"/>
            <w:noWrap w:val="0"/>
            <w:vAlign w:val="bottom"/>
          </w:tcPr>
          <w:p>
            <w:pPr>
              <w:rPr>
                <w:rFonts w:ascii="Arial" w:hAnsi="Arial" w:cs="Arial"/>
                <w:color w:val="000000"/>
                <w:sz w:val="20"/>
                <w:szCs w:val="20"/>
              </w:rPr>
            </w:pPr>
          </w:p>
        </w:tc>
        <w:tc>
          <w:tcPr>
            <w:tcW w:w="602" w:type="dxa"/>
            <w:gridSpan w:val="2"/>
            <w:noWrap w:val="0"/>
            <w:vAlign w:val="bottom"/>
          </w:tcPr>
          <w:p>
            <w:pPr>
              <w:rPr>
                <w:rFonts w:ascii="Arial" w:hAnsi="Arial" w:cs="Arial"/>
                <w:color w:val="000000"/>
                <w:sz w:val="20"/>
                <w:szCs w:val="20"/>
              </w:rPr>
            </w:pPr>
          </w:p>
        </w:tc>
        <w:tc>
          <w:tcPr>
            <w:tcW w:w="686" w:type="dxa"/>
            <w:noWrap w:val="0"/>
            <w:vAlign w:val="bottom"/>
          </w:tcPr>
          <w:p>
            <w:pPr>
              <w:rPr>
                <w:rFonts w:ascii="Arial" w:hAnsi="Arial" w:cs="Arial"/>
                <w:color w:val="000000"/>
                <w:sz w:val="20"/>
                <w:szCs w:val="20"/>
              </w:rPr>
            </w:pPr>
          </w:p>
        </w:tc>
        <w:tc>
          <w:tcPr>
            <w:tcW w:w="959" w:type="dxa"/>
            <w:gridSpan w:val="2"/>
            <w:noWrap w:val="0"/>
            <w:vAlign w:val="bottom"/>
          </w:tcPr>
          <w:p>
            <w:pPr>
              <w:rPr>
                <w:rFonts w:ascii="Arial" w:hAnsi="Arial" w:cs="Arial"/>
                <w:color w:val="000000"/>
                <w:sz w:val="20"/>
                <w:szCs w:val="20"/>
              </w:rPr>
            </w:pPr>
          </w:p>
        </w:tc>
        <w:tc>
          <w:tcPr>
            <w:tcW w:w="1116" w:type="dxa"/>
            <w:gridSpan w:val="2"/>
            <w:noWrap w:val="0"/>
            <w:vAlign w:val="bottom"/>
          </w:tcPr>
          <w:p>
            <w:pPr>
              <w:rPr>
                <w:rFonts w:ascii="Arial" w:hAnsi="Arial" w:cs="Arial"/>
                <w:color w:val="000000"/>
                <w:sz w:val="20"/>
                <w:szCs w:val="20"/>
              </w:rPr>
            </w:pPr>
          </w:p>
        </w:tc>
        <w:tc>
          <w:tcPr>
            <w:tcW w:w="256" w:type="dxa"/>
            <w:noWrap w:val="0"/>
            <w:vAlign w:val="bottom"/>
          </w:tcPr>
          <w:p>
            <w:pPr>
              <w:rPr>
                <w:rFonts w:ascii="Arial" w:hAnsi="Arial" w:cs="Arial"/>
                <w:color w:val="000000"/>
                <w:sz w:val="20"/>
                <w:szCs w:val="20"/>
              </w:rPr>
            </w:pPr>
          </w:p>
        </w:tc>
        <w:tc>
          <w:tcPr>
            <w:tcW w:w="1390" w:type="dxa"/>
            <w:gridSpan w:val="2"/>
            <w:noWrap w:val="0"/>
            <w:vAlign w:val="bottom"/>
          </w:tcPr>
          <w:p>
            <w:pPr>
              <w:rPr>
                <w:rFonts w:ascii="Arial" w:hAnsi="Arial" w:cs="Arial"/>
                <w:color w:val="000000"/>
                <w:sz w:val="20"/>
                <w:szCs w:val="20"/>
              </w:rPr>
            </w:pPr>
          </w:p>
        </w:tc>
        <w:tc>
          <w:tcPr>
            <w:tcW w:w="603" w:type="dxa"/>
            <w:gridSpan w:val="2"/>
            <w:noWrap w:val="0"/>
            <w:vAlign w:val="bottom"/>
          </w:tcPr>
          <w:p>
            <w:pPr>
              <w:rPr>
                <w:rFonts w:ascii="Arial" w:hAnsi="Arial" w:cs="Arial"/>
                <w:color w:val="000000"/>
                <w:sz w:val="20"/>
                <w:szCs w:val="20"/>
              </w:rPr>
            </w:pPr>
          </w:p>
        </w:tc>
        <w:tc>
          <w:tcPr>
            <w:tcW w:w="338" w:type="dxa"/>
            <w:noWrap w:val="0"/>
            <w:vAlign w:val="bottom"/>
          </w:tcPr>
          <w:p>
            <w:pPr>
              <w:rPr>
                <w:rFonts w:ascii="Arial" w:hAnsi="Arial" w:cs="Arial"/>
                <w:color w:val="000000"/>
                <w:sz w:val="20"/>
                <w:szCs w:val="20"/>
              </w:rPr>
            </w:pPr>
          </w:p>
        </w:tc>
        <w:tc>
          <w:tcPr>
            <w:tcW w:w="1307" w:type="dxa"/>
            <w:gridSpan w:val="2"/>
            <w:noWrap w:val="0"/>
            <w:vAlign w:val="bottom"/>
          </w:tcPr>
          <w:p>
            <w:pPr>
              <w:rPr>
                <w:rFonts w:ascii="Arial" w:hAnsi="Arial" w:cs="Arial"/>
                <w:color w:val="000000"/>
                <w:sz w:val="20"/>
                <w:szCs w:val="20"/>
              </w:rPr>
            </w:pPr>
          </w:p>
        </w:tc>
        <w:tc>
          <w:tcPr>
            <w:tcW w:w="1812" w:type="dxa"/>
            <w:gridSpan w:val="3"/>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300" w:hRule="atLeast"/>
        </w:trPr>
        <w:tc>
          <w:tcPr>
            <w:tcW w:w="933"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938" w:type="dxa"/>
            <w:gridSpan w:val="2"/>
            <w:vMerge w:val="restart"/>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2331" w:type="dxa"/>
            <w:gridSpan w:val="5"/>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2331" w:type="dxa"/>
            <w:gridSpan w:val="5"/>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2331" w:type="dxa"/>
            <w:gridSpan w:val="5"/>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3119" w:type="dxa"/>
            <w:gridSpan w:val="5"/>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CellMar>
            <w:top w:w="15" w:type="dxa"/>
            <w:left w:w="15" w:type="dxa"/>
            <w:bottom w:w="15" w:type="dxa"/>
            <w:right w:w="15" w:type="dxa"/>
          </w:tblCellMar>
        </w:tblPrEx>
        <w:trPr>
          <w:trHeight w:val="300"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基本支出结转</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项目支出结转和结余</w:t>
            </w: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6"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基本支出结转</w:t>
            </w:r>
          </w:p>
        </w:tc>
        <w:tc>
          <w:tcPr>
            <w:tcW w:w="1566"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项目支出结转和结余</w:t>
            </w:r>
          </w:p>
        </w:tc>
      </w:tr>
      <w:tr>
        <w:tblPrEx>
          <w:tblCellMar>
            <w:top w:w="15" w:type="dxa"/>
            <w:left w:w="15" w:type="dxa"/>
            <w:bottom w:w="15" w:type="dxa"/>
            <w:right w:w="15" w:type="dxa"/>
          </w:tblCellMar>
        </w:tblPrEx>
        <w:trPr>
          <w:trHeight w:val="312"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6"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w:t>
            </w:r>
          </w:p>
        </w:tc>
        <w:tc>
          <w:tcPr>
            <w:tcW w:w="789"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项目支出结余</w:t>
            </w:r>
          </w:p>
        </w:tc>
      </w:tr>
      <w:tr>
        <w:tblPrEx>
          <w:tblCellMar>
            <w:top w:w="15" w:type="dxa"/>
            <w:left w:w="15" w:type="dxa"/>
            <w:bottom w:w="15" w:type="dxa"/>
            <w:right w:w="15" w:type="dxa"/>
          </w:tblCellMar>
        </w:tblPrEx>
        <w:trPr>
          <w:trHeight w:val="615"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6"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89"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00" w:hRule="atLeast"/>
        </w:trPr>
        <w:tc>
          <w:tcPr>
            <w:tcW w:w="311" w:type="dxa"/>
            <w:gridSpan w:val="2"/>
            <w:vMerge w:val="restart"/>
            <w:tcBorders>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类</w:t>
            </w:r>
          </w:p>
        </w:tc>
        <w:tc>
          <w:tcPr>
            <w:tcW w:w="311" w:type="dxa"/>
            <w:vMerge w:val="restart"/>
            <w:tcBorders>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款</w:t>
            </w:r>
          </w:p>
        </w:tc>
        <w:tc>
          <w:tcPr>
            <w:tcW w:w="311" w:type="dxa"/>
            <w:gridSpan w:val="2"/>
            <w:vMerge w:val="restart"/>
            <w:tcBorders>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项</w:t>
            </w:r>
          </w:p>
        </w:tc>
        <w:tc>
          <w:tcPr>
            <w:tcW w:w="2938"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776"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789"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r>
      <w:tr>
        <w:tblPrEx>
          <w:tblCellMar>
            <w:top w:w="15" w:type="dxa"/>
            <w:left w:w="15" w:type="dxa"/>
            <w:bottom w:w="15" w:type="dxa"/>
            <w:right w:w="15" w:type="dxa"/>
          </w:tblCellMar>
        </w:tblPrEx>
        <w:trPr>
          <w:trHeight w:val="300" w:hRule="atLeast"/>
        </w:trPr>
        <w:tc>
          <w:tcPr>
            <w:tcW w:w="311" w:type="dxa"/>
            <w:gridSpan w:val="2"/>
            <w:vMerge w:val="continue"/>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11"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11"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6"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89"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r>
      <w:tr>
        <w:tblPrEx>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0" w:hRule="atLeast"/>
        </w:trPr>
        <w:tc>
          <w:tcPr>
            <w:tcW w:w="13983" w:type="dxa"/>
            <w:gridSpan w:val="27"/>
            <w:shd w:val="clear" w:color="auto" w:fill="FFFFFF"/>
            <w:noWrap w:val="0"/>
            <w:vAlign w:val="center"/>
          </w:tcPr>
          <w:p>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注：本表反映部门本年度政府性基金预算财政拨款收入支出及结转和结余情况。</w:t>
            </w:r>
          </w:p>
          <w:p>
            <w:pPr>
              <w:widowControl/>
              <w:jc w:val="left"/>
              <w:textAlignment w:val="center"/>
              <w:rPr>
                <w:rFonts w:hint="default" w:ascii="宋体" w:hAnsi="宋体" w:cs="宋体"/>
                <w:color w:val="000000"/>
                <w:sz w:val="22"/>
                <w:lang w:val="en-US"/>
              </w:rPr>
            </w:pPr>
            <w:r>
              <w:rPr>
                <w:rFonts w:hint="eastAsia" w:ascii="宋体" w:hAnsi="宋体" w:eastAsia="宋体" w:cs="宋体"/>
                <w:color w:val="auto"/>
                <w:sz w:val="21"/>
                <w:szCs w:val="21"/>
                <w:highlight w:val="none"/>
                <w:lang w:val="en-US" w:eastAsia="zh-CN"/>
              </w:rPr>
              <w:t>说明：我部门没有政府性基金收入，也没有使用政府性基金安排的支出，故本表无数据。</w:t>
            </w:r>
          </w:p>
        </w:tc>
      </w:tr>
    </w:tbl>
    <w:p>
      <w:pPr>
        <w:rPr>
          <w:rFonts w:hint="eastAsia" w:ascii="仿宋_GB2312" w:eastAsia="仿宋_GB2312"/>
          <w:color w:val="000000"/>
          <w:sz w:val="32"/>
          <w:szCs w:val="32"/>
        </w:rPr>
      </w:pPr>
    </w:p>
    <w:sectPr>
      <w:pgSz w:w="16840" w:h="11907"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_x0004_falt">
    <w:altName w:val="Microsoft JhengHei"/>
    <w:panose1 w:val="020205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48DFE"/>
    <w:multiLevelType w:val="singleLevel"/>
    <w:tmpl w:val="AC448DFE"/>
    <w:lvl w:ilvl="0" w:tentative="0">
      <w:start w:val="1"/>
      <w:numFmt w:val="chineseCounting"/>
      <w:suff w:val="nothing"/>
      <w:lvlText w:val="%1、"/>
      <w:lvlJc w:val="left"/>
      <w:rPr>
        <w:rFonts w:hint="eastAsia"/>
      </w:rPr>
    </w:lvl>
  </w:abstractNum>
  <w:abstractNum w:abstractNumId="1">
    <w:nsid w:val="00E3C3DE"/>
    <w:multiLevelType w:val="singleLevel"/>
    <w:tmpl w:val="00E3C3DE"/>
    <w:lvl w:ilvl="0" w:tentative="0">
      <w:start w:val="1"/>
      <w:numFmt w:val="decimal"/>
      <w:suff w:val="nothing"/>
      <w:lvlText w:val="%1．"/>
      <w:lvlJc w:val="left"/>
    </w:lvl>
  </w:abstractNum>
  <w:abstractNum w:abstractNumId="2">
    <w:nsid w:val="2C02F24E"/>
    <w:multiLevelType w:val="singleLevel"/>
    <w:tmpl w:val="2C02F24E"/>
    <w:lvl w:ilvl="0" w:tentative="0">
      <w:start w:val="1"/>
      <w:numFmt w:val="chineseCounting"/>
      <w:suff w:val="nothing"/>
      <w:lvlText w:val="%1、"/>
      <w:lvlJc w:val="left"/>
      <w:rPr>
        <w:rFonts w:hint="eastAsia"/>
      </w:rPr>
    </w:lvl>
  </w:abstractNum>
  <w:abstractNum w:abstractNumId="3">
    <w:nsid w:val="3B824022"/>
    <w:multiLevelType w:val="singleLevel"/>
    <w:tmpl w:val="3B824022"/>
    <w:lvl w:ilvl="0" w:tentative="0">
      <w:start w:val="1"/>
      <w:numFmt w:val="decimal"/>
      <w:suff w:val="nothing"/>
      <w:lvlText w:val="%1、"/>
      <w:lvlJc w:val="left"/>
    </w:lvl>
  </w:abstractNum>
  <w:abstractNum w:abstractNumId="4">
    <w:nsid w:val="5971BE17"/>
    <w:multiLevelType w:val="singleLevel"/>
    <w:tmpl w:val="5971BE17"/>
    <w:lvl w:ilvl="0" w:tentative="0">
      <w:start w:val="1"/>
      <w:numFmt w:val="chineseCounting"/>
      <w:suff w:val="nothing"/>
      <w:lvlText w:val="%1、"/>
      <w:lvlJc w:val="left"/>
    </w:lvl>
  </w:abstractNum>
  <w:abstractNum w:abstractNumId="5">
    <w:nsid w:val="72D865BD"/>
    <w:multiLevelType w:val="singleLevel"/>
    <w:tmpl w:val="72D865BD"/>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4"/>
  <w:bordersDoNotSurroundHeader w:val="0"/>
  <w:bordersDoNotSurroundFooter w:val="0"/>
  <w:documentProtection w:enforcement="0"/>
  <w:defaultTabStop w:val="420"/>
  <w:drawingGridVerticalSpacing w:val="16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380C49"/>
    <w:rsid w:val="0005518E"/>
    <w:rsid w:val="000D3621"/>
    <w:rsid w:val="001C7E92"/>
    <w:rsid w:val="00380C49"/>
    <w:rsid w:val="00463B25"/>
    <w:rsid w:val="004C77BC"/>
    <w:rsid w:val="00582974"/>
    <w:rsid w:val="006C602E"/>
    <w:rsid w:val="007169BE"/>
    <w:rsid w:val="0087510B"/>
    <w:rsid w:val="008B058C"/>
    <w:rsid w:val="008F0429"/>
    <w:rsid w:val="009008AB"/>
    <w:rsid w:val="00B07176"/>
    <w:rsid w:val="00B30B3E"/>
    <w:rsid w:val="00C53051"/>
    <w:rsid w:val="00C73F3D"/>
    <w:rsid w:val="00CA1E5C"/>
    <w:rsid w:val="00CB1114"/>
    <w:rsid w:val="00CE118F"/>
    <w:rsid w:val="00D45C75"/>
    <w:rsid w:val="00D60397"/>
    <w:rsid w:val="00E23DC1"/>
    <w:rsid w:val="00E91CCC"/>
    <w:rsid w:val="00FD03C9"/>
    <w:rsid w:val="093220CF"/>
    <w:rsid w:val="0F311FDB"/>
    <w:rsid w:val="13234E15"/>
    <w:rsid w:val="16B35032"/>
    <w:rsid w:val="16DC185C"/>
    <w:rsid w:val="19B825A9"/>
    <w:rsid w:val="1C2D599C"/>
    <w:rsid w:val="2E2A206E"/>
    <w:rsid w:val="33283D8C"/>
    <w:rsid w:val="359226A8"/>
    <w:rsid w:val="38863DEE"/>
    <w:rsid w:val="3E9552FD"/>
    <w:rsid w:val="42D51941"/>
    <w:rsid w:val="527E377C"/>
    <w:rsid w:val="52CC1D29"/>
    <w:rsid w:val="5B895A3C"/>
    <w:rsid w:val="5F0A2DC8"/>
    <w:rsid w:val="61645194"/>
    <w:rsid w:val="6F48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pPr>
  </w:style>
  <w:style w:type="character" w:customStyle="1" w:styleId="7">
    <w:name w:val="页眉 Char"/>
    <w:basedOn w:val="6"/>
    <w:link w:val="3"/>
    <w:semiHidden/>
    <w:uiPriority w:val="99"/>
    <w:rPr>
      <w:rFonts w:ascii="宋体" w:hAnsi="宋体" w:eastAsia="宋体" w:cs="宋体"/>
      <w:kern w:val="0"/>
      <w:sz w:val="18"/>
      <w:szCs w:val="18"/>
    </w:rPr>
  </w:style>
  <w:style w:type="character" w:customStyle="1" w:styleId="8">
    <w:name w:val="页脚 Char"/>
    <w:basedOn w:val="6"/>
    <w:link w:val="2"/>
    <w:semiHidden/>
    <w:uiPriority w:val="99"/>
    <w:rPr>
      <w:rFonts w:ascii="宋体" w:hAnsi="宋体" w:eastAsia="宋体" w:cs="宋体"/>
      <w:kern w:val="0"/>
      <w:sz w:val="18"/>
      <w:szCs w:val="18"/>
    </w:rPr>
  </w:style>
  <w:style w:type="paragraph" w:customStyle="1" w:styleId="9">
    <w:name w:val="Body text|2"/>
    <w:basedOn w:val="1"/>
    <w:uiPriority w:val="0"/>
    <w:pPr>
      <w:shd w:val="clear" w:color="auto" w:fill="FFFFFF"/>
      <w:spacing w:before="860" w:beforeLines="0" w:after="1600" w:afterLines="0" w:line="300" w:lineRule="exact"/>
      <w:jc w:val="center"/>
    </w:pPr>
    <w:rPr>
      <w:rFonts w:ascii="PMingLiU_x0004_falt" w:hAnsi="PMingLiU_x0004_falt" w:eastAsia="PMingLiU_x0004_falt" w:cs="PMingLiU_x0004_falt"/>
      <w:spacing w:val="5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666</Words>
  <Characters>3797</Characters>
  <Lines>31</Lines>
  <Paragraphs>8</Paragraphs>
  <TotalTime>159</TotalTime>
  <ScaleCrop>false</ScaleCrop>
  <LinksUpToDate>false</LinksUpToDate>
  <CharactersWithSpaces>4455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Administrator</cp:lastModifiedBy>
  <cp:lastPrinted>2021-10-26T08:39:00Z</cp:lastPrinted>
  <dcterms:modified xsi:type="dcterms:W3CDTF">2021-10-27T08:05:53Z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2A08BA19BC9A44F283D921FCB92A2D61</vt:lpwstr>
  </property>
</Properties>
</file>